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As filed with the Securities and Exchange Commission February 20, 1997</w:t>
      </w:r>
    </w:p>
    <w:p>
      <w:pPr>
        <w:spacing w:after="0" w:line="202"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Registration No. __________</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REGISTRATION STATEMENT UNDER</w:t>
      </w:r>
    </w:p>
    <w:p>
      <w:pPr>
        <w:jc w:val="center"/>
        <w:ind w:right="177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FIRST HAWAIIAN,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99-0156159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880" w:space="720"/>
            <w:col w:w="4619"/>
          </w:cols>
          <w:pgMar w:left="240" w:top="244" w:right="1440" w:bottom="1440" w:gutter="0" w:footer="0" w:header="0"/>
          <w:type w:val="continuous"/>
        </w:sectPr>
      </w:pPr>
    </w:p>
    <w:p>
      <w:pPr>
        <w:spacing w:after="0" w:line="18"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999 Bishop Street, Honolulu, Hawaii</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300"/>
        <w:spacing w:after="0"/>
        <w:rPr>
          <w:sz w:val="20"/>
          <w:szCs w:val="20"/>
          <w:color w:val="auto"/>
        </w:rPr>
      </w:pPr>
      <w:r>
        <w:rPr>
          <w:rFonts w:ascii="Courier New" w:cs="Courier New" w:eastAsia="Courier New" w:hAnsi="Courier New"/>
          <w:sz w:val="18"/>
          <w:szCs w:val="18"/>
          <w:color w:val="auto"/>
        </w:rPr>
        <w:t>96813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line="24"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FIRST HAWAIIAN, INC. PROFIT SHARING PLAN</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FIRST HAWAIIAN, INC. FUTURE PLAN</w:t>
      </w:r>
    </w:p>
    <w:p>
      <w:pPr>
        <w:ind w:left="2860"/>
        <w:spacing w:after="0" w:line="238" w:lineRule="auto"/>
        <w:rPr>
          <w:sz w:val="20"/>
          <w:szCs w:val="20"/>
          <w:color w:val="auto"/>
        </w:rPr>
      </w:pPr>
      <w:r>
        <w:rPr>
          <w:rFonts w:ascii="Courier New" w:cs="Courier New" w:eastAsia="Courier New" w:hAnsi="Courier New"/>
          <w:sz w:val="18"/>
          <w:szCs w:val="18"/>
          <w:color w:val="auto"/>
        </w:rPr>
        <w:t>(Full title of the plans)</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Walter A. Dods, Jr.</w:t>
      </w:r>
    </w:p>
    <w:p>
      <w:pPr>
        <w:ind w:left="2320"/>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ind w:left="3160"/>
        <w:spacing w:after="0"/>
        <w:rPr>
          <w:sz w:val="20"/>
          <w:szCs w:val="20"/>
          <w:color w:val="auto"/>
        </w:rPr>
      </w:pPr>
      <w:r>
        <w:rPr>
          <w:rFonts w:ascii="Courier New" w:cs="Courier New" w:eastAsia="Courier New" w:hAnsi="Courier New"/>
          <w:sz w:val="18"/>
          <w:szCs w:val="18"/>
          <w:color w:val="auto"/>
        </w:rPr>
        <w:t>First Hawaiian, Inc.</w:t>
      </w:r>
    </w:p>
    <w:p>
      <w:pPr>
        <w:ind w:left="3280"/>
        <w:spacing w:after="0" w:line="237" w:lineRule="auto"/>
        <w:rPr>
          <w:sz w:val="20"/>
          <w:szCs w:val="20"/>
          <w:color w:val="auto"/>
        </w:rPr>
      </w:pPr>
      <w:r>
        <w:rPr>
          <w:rFonts w:ascii="Courier New" w:cs="Courier New" w:eastAsia="Courier New" w:hAnsi="Courier New"/>
          <w:sz w:val="18"/>
          <w:szCs w:val="18"/>
          <w:color w:val="auto"/>
        </w:rPr>
        <w:t>999 Bishop Street</w:t>
      </w:r>
    </w:p>
    <w:p>
      <w:pPr>
        <w:ind w:left="3060"/>
        <w:spacing w:after="0" w:line="238" w:lineRule="auto"/>
        <w:rPr>
          <w:sz w:val="20"/>
          <w:szCs w:val="20"/>
          <w:color w:val="auto"/>
        </w:rPr>
      </w:pPr>
      <w:r>
        <w:rPr>
          <w:rFonts w:ascii="Courier New" w:cs="Courier New" w:eastAsia="Courier New" w:hAnsi="Courier New"/>
          <w:sz w:val="18"/>
          <w:szCs w:val="18"/>
          <w:color w:val="auto"/>
        </w:rPr>
        <w:t>Honolulu, Hawaii 96813</w:t>
      </w:r>
    </w:p>
    <w:p>
      <w:pPr>
        <w:sectPr>
          <w:pgSz w:w="11900" w:h="16838" w:orient="portrait"/>
          <w:cols w:equalWidth="0" w:num="1">
            <w:col w:w="10219"/>
          </w:cols>
          <w:pgMar w:left="240" w:top="244" w:right="1440" w:bottom="1440" w:gutter="0" w:footer="0" w:header="0"/>
          <w:type w:val="continuous"/>
        </w:sectPr>
      </w:pPr>
    </w:p>
    <w:p>
      <w:pPr>
        <w:jc w:val="center"/>
        <w:ind w:right="1879"/>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6"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pacing w:after="0" w:line="16"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525-7000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2540"/>
        <w:spacing w:after="0" w:line="238" w:lineRule="auto"/>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Proposed</w:t>
            </w:r>
          </w:p>
        </w:tc>
        <w:tc>
          <w:tcPr>
            <w:tcW w:w="170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740" w:type="dxa"/>
            <w:vAlign w:val="bottom"/>
          </w:tcPr>
          <w:p>
            <w:pPr>
              <w:spacing w:after="0"/>
              <w:rPr>
                <w:sz w:val="17"/>
                <w:szCs w:val="17"/>
                <w:color w:val="auto"/>
              </w:rPr>
            </w:pP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Title of</w:t>
            </w:r>
          </w:p>
        </w:tc>
        <w:tc>
          <w:tcPr>
            <w:tcW w:w="180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maximum</w:t>
            </w:r>
          </w:p>
        </w:tc>
        <w:tc>
          <w:tcPr>
            <w:tcW w:w="1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7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to</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offering</w:t>
            </w:r>
          </w:p>
        </w:tc>
        <w:tc>
          <w:tcPr>
            <w:tcW w:w="1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be</w:t>
            </w: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be</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price per</w:t>
            </w:r>
          </w:p>
        </w:tc>
        <w:tc>
          <w:tcPr>
            <w:tcW w:w="1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registered</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unit*</w:t>
            </w: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w:t>
            </w:r>
          </w:p>
        </w:tc>
        <w:tc>
          <w:tcPr>
            <w:tcW w:w="17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fee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800" w:type="dxa"/>
            <w:vAlign w:val="bottom"/>
          </w:tcPr>
          <w:p>
            <w:pPr>
              <w:ind w:left="320"/>
              <w:spacing w:after="0"/>
              <w:rPr>
                <w:sz w:val="20"/>
                <w:szCs w:val="20"/>
                <w:color w:val="auto"/>
              </w:rPr>
            </w:pPr>
            <w:r>
              <w:rPr>
                <w:rFonts w:ascii="Courier New" w:cs="Courier New" w:eastAsia="Courier New" w:hAnsi="Courier New"/>
                <w:sz w:val="18"/>
                <w:szCs w:val="18"/>
                <w:color w:val="auto"/>
              </w:rPr>
              <w:t>1,000,000</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$33.4375</w:t>
            </w:r>
          </w:p>
        </w:tc>
        <w:tc>
          <w:tcPr>
            <w:tcW w:w="1700" w:type="dxa"/>
            <w:vAlign w:val="bottom"/>
          </w:tcPr>
          <w:p>
            <w:pPr>
              <w:ind w:left="160"/>
              <w:spacing w:after="0"/>
              <w:rPr>
                <w:sz w:val="20"/>
                <w:szCs w:val="20"/>
                <w:color w:val="auto"/>
              </w:rPr>
            </w:pPr>
            <w:r>
              <w:rPr>
                <w:rFonts w:ascii="Courier New" w:cs="Courier New" w:eastAsia="Courier New" w:hAnsi="Courier New"/>
                <w:sz w:val="18"/>
                <w:szCs w:val="18"/>
                <w:color w:val="auto"/>
              </w:rPr>
              <w:t>$33,437,500</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$10,132.58</w:t>
            </w:r>
          </w:p>
        </w:tc>
      </w:tr>
    </w:tbl>
    <w:p>
      <w:pPr>
        <w:spacing w:after="0" w:line="200" w:lineRule="exact"/>
        <w:rPr>
          <w:sz w:val="20"/>
          <w:szCs w:val="20"/>
          <w:color w:val="auto"/>
        </w:rPr>
      </w:pPr>
    </w:p>
    <w:p>
      <w:pPr>
        <w:spacing w:after="0" w:line="209"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In addition, pursuant to Rule 416(c) under the Securities Act of 1933, this Registration Statement also covers an indeterminate amount of interests to be offered or sold pursuant to the employee benefit plans described herein.</w:t>
      </w:r>
    </w:p>
    <w:p>
      <w:pPr>
        <w:spacing w:after="0" w:line="207" w:lineRule="exact"/>
        <w:rPr>
          <w:sz w:val="20"/>
          <w:szCs w:val="20"/>
          <w:color w:val="auto"/>
        </w:rPr>
      </w:pPr>
    </w:p>
    <w:p>
      <w:pPr>
        <w:ind w:right="18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in accordance with Rule 457(h) and Rule 457(c) of the Securities Act of 1933 solely for the purpose of calculating the registration fee as follows: $33,437,500 for 1,000,000 shares of common stock based on a price of $33.4375 per share, the average of the high and low trading prices of the common stock of First Hawaiian, Inc. on the Nasdaq Stock Market on February 14, 1997.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INFORMATION REQUIRED IN REGISTRATION STATEMENT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The following documents filed by First Hawaiian, Inc. (hereinafter the "Company"), the First Hawaiian, Inc. Profit Sharing Plan (hereinafter the "Profit Sharing Plan"), or the First Hawaiian, Inc. Future Plan (hereinafter the "Future Plan") with the Securities and Exchange Commission are incorporated in this Registration Statement by this reference as of their respective dates:</w:t>
      </w:r>
    </w:p>
    <w:p>
      <w:pPr>
        <w:spacing w:after="0" w:line="185" w:lineRule="exact"/>
        <w:rPr>
          <w:sz w:val="20"/>
          <w:szCs w:val="20"/>
          <w:color w:val="auto"/>
        </w:rPr>
      </w:pPr>
    </w:p>
    <w:p>
      <w:pPr>
        <w:ind w:left="1060" w:right="2099" w:firstLine="950"/>
        <w:spacing w:after="0" w:line="235" w:lineRule="auto"/>
        <w:tabs>
          <w:tab w:leader="none" w:pos="285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Form 10-K Annual Report for the year ended December 31, 1995.</w:t>
      </w:r>
    </w:p>
    <w:p>
      <w:pPr>
        <w:spacing w:after="0" w:line="208" w:lineRule="exact"/>
        <w:rPr>
          <w:rFonts w:ascii="Courier New" w:cs="Courier New" w:eastAsia="Courier New" w:hAnsi="Courier New"/>
          <w:sz w:val="18"/>
          <w:szCs w:val="18"/>
          <w:color w:val="auto"/>
        </w:rPr>
      </w:pPr>
    </w:p>
    <w:p>
      <w:pPr>
        <w:ind w:left="1060" w:right="1879" w:firstLine="950"/>
        <w:spacing w:after="0" w:line="236" w:lineRule="auto"/>
        <w:tabs>
          <w:tab w:leader="none" w:pos="285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of the Company pursuant to Section 13(a) or 15(d) of the Securities Exchange Act of 1934 since December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60" w:right="1879" w:firstLine="950"/>
        <w:spacing w:after="0" w:line="237" w:lineRule="auto"/>
        <w:tabs>
          <w:tab w:leader="none" w:pos="28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Common Stock contained in the Registration Statement (and past and future amendments thereto) for such stock filed under Section 12 of the Securities Exchange Act of 1934.</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In addition, all documents subsequently filed by the Company, the Profit Sharing Plan, or the Future Plan pursuant to Sections 13(a), 13(c), 14, and 15(d) of the Securities Exchange Act of 1934,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a part hereof from the date of such filing of such documents.</w:t>
      </w:r>
    </w:p>
    <w:p>
      <w:pPr>
        <w:spacing w:after="0" w:line="212"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Company's authorized capital stock consists of 100,000,000 shares of Common Stock, par value $5.00 per share (the "Common Stock"). At December 31, 1996, there were 31,774,420 shares of Common Stock issued and outstanding. This includes 22,337 shares which were converted by law into the shares of the Common Stock of the Company from shares of the common stock of ANB Financial Corporation in connection with the 1996 merger of ANB Financial Corporation with a subsidiary of the Company. American Stock Transfer and Trust Company is the transfer agent and registrar for the Common Stock.</w:t>
      </w:r>
    </w:p>
    <w:p>
      <w:pPr>
        <w:spacing w:after="0" w:line="212"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Holders of the Common Stock are entitled to receive dividends when, as, and if declared by the Board of Directors out of funds legally available for dividends.</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holders of the Common Stock are entitled to one vote for each share held on all matters as to which stockholders are entitled to vote. There are no cumulative voting rights in the election of directors. The quorum required at a stockholders' meeting for consideration of any matter is a majority of shares entitled to vote on the matter, represented in person or by proxy.</w:t>
      </w:r>
    </w:p>
    <w:p>
      <w:pPr>
        <w:spacing w:after="0" w:line="210" w:lineRule="exact"/>
        <w:rPr>
          <w:sz w:val="20"/>
          <w:szCs w:val="20"/>
          <w:color w:val="auto"/>
        </w:rPr>
      </w:pPr>
    </w:p>
    <w:p>
      <w:pPr>
        <w:jc w:val="both"/>
        <w:ind w:right="2099" w:firstLine="1053"/>
        <w:spacing w:after="0" w:line="237" w:lineRule="auto"/>
        <w:rPr>
          <w:sz w:val="20"/>
          <w:szCs w:val="20"/>
          <w:color w:val="auto"/>
        </w:rPr>
      </w:pPr>
      <w:r>
        <w:rPr>
          <w:rFonts w:ascii="Courier New" w:cs="Courier New" w:eastAsia="Courier New" w:hAnsi="Courier New"/>
          <w:sz w:val="18"/>
          <w:szCs w:val="18"/>
          <w:color w:val="auto"/>
        </w:rPr>
        <w:t>In the event of any liquidation, dissolution, or winding up of the Company, the holders of the Common Stock are entitled to receive pro rata any assets distributable to stockholders in respect of shares held by them, after payment of all obligations of the Company.</w:t>
      </w:r>
    </w:p>
    <w:p>
      <w:pPr>
        <w:spacing w:after="0" w:line="207"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Holders of the Common Stock have preemptive rights to subscribe for additional authorized shares of any capital stock of the Company, unless the stockholders' action authorizing an additional issue provides otherwise or the stock is used to accomplish a merger with or acquisition of another corporation, bank, or trust company, to the extent deemed proper by the Board of Directors. The holders of the Common Stock have waived their preemptive rights to acquire 54,640 shares of Common Stock reserved for issuance under the Company's Incentive Plan for Key Executives, of which 20,049 shares remain unissued; 200,000 shares of Common Stock, which may be used in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financing programs; and 5,170,000 shares of Common Stock, which were issued in a public offering commenced by the Company in July 1990.</w:t>
      </w:r>
    </w:p>
    <w:p>
      <w:pPr>
        <w:spacing w:after="0" w:line="208"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The outstanding shares of the Common Stock (including the shares registered pursuant to this Registration Statement) are duly authorized, validly issued, fully paid, and nonassessable.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Officers and Directors.</w:t>
      </w:r>
    </w:p>
    <w:p>
      <w:pPr>
        <w:spacing w:after="0" w:line="207"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ind w:left="1060"/>
        <w:spacing w:after="0" w:line="238" w:lineRule="auto"/>
        <w:rPr>
          <w:sz w:val="20"/>
          <w:szCs w:val="20"/>
          <w:color w:val="auto"/>
        </w:rPr>
      </w:pPr>
      <w:r>
        <w:rPr>
          <w:rFonts w:ascii="Courier New" w:cs="Courier New" w:eastAsia="Courier New" w:hAnsi="Courier New"/>
          <w:sz w:val="18"/>
          <w:szCs w:val="18"/>
          <w:color w:val="auto"/>
        </w:rPr>
        <w:t>The Certificate of Incorporation of the registrant provides:</w:t>
      </w:r>
    </w:p>
    <w:p>
      <w:pPr>
        <w:spacing w:after="0" w:line="207"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Thirteenth. To the fullest extent permitted by the Delaware General Corporation Law as it exists or may hereafter be amended, a director of this corporation shall not be liable to the corporation or its stockholders for monetary damages for breach of a fiduciary duty as a director.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Bylaws of the registrant provide: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Section 11.1. To the extent permitted by Delaware law from time to time in effect and subject to the provisions of Section 11.2, the Corporation shall indemnify any person who was or is a party or is threatened to be made a party to any threatened, pending or completed action, suit or proceeding, whether civil, criminal, administrative or investigative (whether or not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879" w:firstLine="1053"/>
        <w:spacing w:after="0" w:line="269" w:lineRule="auto"/>
        <w:rPr>
          <w:sz w:val="20"/>
          <w:szCs w:val="20"/>
          <w:color w:val="auto"/>
        </w:rPr>
      </w:pPr>
      <w:r>
        <w:rPr>
          <w:rFonts w:ascii="Courier New" w:cs="Courier New" w:eastAsia="Courier New" w:hAnsi="Courier New"/>
          <w:sz w:val="16"/>
          <w:szCs w:val="16"/>
          <w:color w:val="auto"/>
        </w:rPr>
        <w:t>Section 11.2.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w:t>
      </w:r>
    </w:p>
    <w:p>
      <w:pPr>
        <w:spacing w:after="0" w:line="396"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Section 11.3. To the extent that a director, officer, employee or agent of the Corporation has been successful on the merits or otherwise in defense of any action, suit or proceeding referred to in Sections 11.1 and 11.2, or in defense of any claim, issue or matter therein, he shall be indemnified by the Corporation against expenses (including attorneys' fees) actually and reasonably incurred by him in connection therewith.</w:t>
      </w:r>
    </w:p>
    <w:p>
      <w:pPr>
        <w:spacing w:after="0" w:line="210"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11.4. Any indemnification under Sections 11.1 and 11.2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said Sections 11.1 and 11.2. Such determination shall be made (i) by the Board of Directors by a majority vote of a quorum consisting of directors who were not parties to such action, suit or proceeding; or (ii) if such a quorum is not obtainable, or, even if obtainable and a quorum of disinterested directors so directs,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independent legal counsel (compensated by the Corporation) in a written opinion; or (iii) by the shareholders.</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11.5. Expenses incurred in defending a civil or criminal action, suit or proceeding may be paid by the Corporation in advance of the final disposition of such action, suit or proceeding upon receipt of an undertaking by or on behalf of the director, officer, employee or agent to repay such amount if it shall ultimately be determined that he is not entitled to be indemnified by the Corporation as authorized in this Article.</w:t>
      </w:r>
    </w:p>
    <w:p>
      <w:pPr>
        <w:spacing w:after="0" w:line="21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11.6. The indemnification and advancement of expenses provided by this Article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210"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Section 11.7. The indemnification and advancement of expenses provided by or granted to this Article shall, unless otherwise provided when authorized or ratified, continue as to a person who has ceased to be a director, officer, employee or agent and shall inure to the benefit of the heirs, executors and administrators of such a person.</w:t>
      </w:r>
    </w:p>
    <w:p>
      <w:pPr>
        <w:spacing w:after="0" w:line="209"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11.8.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or of Section 145 of the General Corporation Law of Delaware, as it may be amended or substituted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registrant carries directors' and officers' liability insurance.</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19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ind w:left="220"/>
        <w:spacing w:after="0" w:line="238" w:lineRule="auto"/>
        <w:tabs>
          <w:tab w:leader="none" w:pos="1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ind w:left="2000" w:hanging="1360"/>
        <w:spacing w:after="0"/>
        <w:tabs>
          <w:tab w:leader="none" w:pos="20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Coopers &amp; Lybrand L.L.P.</w:t>
      </w:r>
    </w:p>
    <w:p>
      <w:pPr>
        <w:ind w:left="2000" w:hanging="1360"/>
        <w:spacing w:after="0" w:line="238" w:lineRule="auto"/>
        <w:tabs>
          <w:tab w:leader="none" w:pos="20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2000" w:hanging="939"/>
        <w:spacing w:after="0"/>
        <w:tabs>
          <w:tab w:leader="none" w:pos="20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2860" w:hanging="850"/>
        <w:spacing w:after="0"/>
        <w:tabs>
          <w:tab w:leader="none" w:pos="28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are being made, a post-effective amendment to this Registration Statement:</w:t>
      </w:r>
    </w:p>
    <w:p>
      <w:pPr>
        <w:spacing w:after="0" w:line="201" w:lineRule="exact"/>
        <w:rPr>
          <w:rFonts w:ascii="Courier New" w:cs="Courier New" w:eastAsia="Courier New" w:hAnsi="Courier New"/>
          <w:sz w:val="16"/>
          <w:szCs w:val="16"/>
          <w:color w:val="auto"/>
        </w:rPr>
      </w:pPr>
    </w:p>
    <w:p>
      <w:pPr>
        <w:ind w:left="3800" w:hanging="948"/>
        <w:spacing w:after="0"/>
        <w:tabs>
          <w:tab w:leader="none" w:pos="380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10(a)(3) of the Securities Act of 1933;</w:t>
      </w:r>
    </w:p>
    <w:p>
      <w:pPr>
        <w:spacing w:after="0" w:line="207" w:lineRule="exact"/>
        <w:rPr>
          <w:rFonts w:ascii="Courier New" w:cs="Courier New" w:eastAsia="Courier New" w:hAnsi="Courier New"/>
          <w:sz w:val="18"/>
          <w:szCs w:val="18"/>
          <w:color w:val="auto"/>
        </w:rPr>
      </w:pPr>
    </w:p>
    <w:p>
      <w:pPr>
        <w:ind w:right="1879" w:firstLine="2852"/>
        <w:spacing w:after="0" w:line="238" w:lineRule="auto"/>
        <w:tabs>
          <w:tab w:leader="none" w:pos="3792"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ind w:left="3800" w:hanging="1369"/>
        <w:spacing w:after="0" w:line="238" w:lineRule="auto"/>
        <w:tabs>
          <w:tab w:leader="none" w:pos="38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plan of distribution not previously disclosed in the Registration Statement or any material change to such information in the Registration Statement; provided, however, that paragraphs (a)(1)(i) and (a)(1)(ii) above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212" w:lineRule="exact"/>
        <w:rPr>
          <w:rFonts w:ascii="Courier New" w:cs="Courier New" w:eastAsia="Courier New" w:hAnsi="Courier New"/>
          <w:sz w:val="18"/>
          <w:szCs w:val="18"/>
          <w:color w:val="auto"/>
        </w:rPr>
      </w:pPr>
    </w:p>
    <w:p>
      <w:pPr>
        <w:ind w:right="1879" w:firstLine="2010"/>
        <w:spacing w:after="0" w:line="237" w:lineRule="auto"/>
        <w:tabs>
          <w:tab w:leader="none" w:pos="284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3" w:lineRule="exact"/>
        <w:rPr>
          <w:rFonts w:ascii="Courier New" w:cs="Courier New" w:eastAsia="Courier New" w:hAnsi="Courier New"/>
          <w:sz w:val="18"/>
          <w:szCs w:val="18"/>
          <w:color w:val="auto"/>
        </w:rPr>
      </w:pPr>
    </w:p>
    <w:p>
      <w:pPr>
        <w:ind w:left="2860" w:hanging="850"/>
        <w:spacing w:after="0"/>
        <w:tabs>
          <w:tab w:leader="none" w:pos="2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post-effective amendment of any of the securities being registered which remain unsold at the termination of the offering.</w:t>
      </w:r>
    </w:p>
    <w:p>
      <w:pPr>
        <w:spacing w:after="0" w:line="208" w:lineRule="exact"/>
        <w:rPr>
          <w:sz w:val="20"/>
          <w:szCs w:val="20"/>
          <w:color w:val="auto"/>
        </w:rPr>
      </w:pPr>
    </w:p>
    <w:p>
      <w:pPr>
        <w:ind w:right="1879" w:firstLine="1061"/>
        <w:spacing w:after="0" w:line="271" w:lineRule="auto"/>
        <w:tabs>
          <w:tab w:leader="none" w:pos="200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the time shall be deemed to be the initial bona fide offering thereof.</w:t>
      </w:r>
    </w:p>
    <w:p>
      <w:pPr>
        <w:spacing w:after="0" w:line="183" w:lineRule="exact"/>
        <w:rPr>
          <w:rFonts w:ascii="Courier New" w:cs="Courier New" w:eastAsia="Courier New" w:hAnsi="Courier New"/>
          <w:sz w:val="16"/>
          <w:szCs w:val="16"/>
          <w:color w:val="auto"/>
        </w:rPr>
      </w:pPr>
    </w:p>
    <w:p>
      <w:pPr>
        <w:jc w:val="both"/>
        <w:ind w:right="1879" w:firstLine="1061"/>
        <w:spacing w:after="0" w:line="237" w:lineRule="auto"/>
        <w:tabs>
          <w:tab w:leader="none" w:pos="20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7" w:lineRule="exact"/>
        <w:rPr>
          <w:sz w:val="20"/>
          <w:szCs w:val="20"/>
          <w:color w:val="auto"/>
        </w:rPr>
      </w:pPr>
    </w:p>
    <w:p>
      <w:pPr>
        <w:ind w:right="1879" w:firstLine="1061"/>
        <w:spacing w:after="0" w:line="237" w:lineRule="auto"/>
        <w:tabs>
          <w:tab w:leader="none" w:pos="200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instructions to Item 8(b) of Form S-8, the registrant will cause the Profit Sharing Plan, as amended since its most recent determination letter, to be submitted to the Internal Revenue Service in a timely manner and will make all changes required by the Internal Revenue Service in order to qualify the Profit Sharing Plan.</w:t>
      </w:r>
    </w:p>
    <w:p>
      <w:pPr>
        <w:spacing w:after="0" w:line="208" w:lineRule="exact"/>
        <w:rPr>
          <w:rFonts w:ascii="Courier New" w:cs="Courier New" w:eastAsia="Courier New" w:hAnsi="Courier New"/>
          <w:sz w:val="18"/>
          <w:szCs w:val="18"/>
          <w:color w:val="auto"/>
        </w:rPr>
      </w:pPr>
    </w:p>
    <w:p>
      <w:pPr>
        <w:ind w:right="1999" w:firstLine="1061"/>
        <w:spacing w:after="0" w:line="275" w:lineRule="auto"/>
        <w:tabs>
          <w:tab w:leader="none" w:pos="200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instructions to Item 8(b) of Form S-8, the registrant will cause the Future Plan, as amended, to be submitted to the Internal Revenue Service in a timely manner and will make all changes required by the Internal Revenue Service in order to qualify the Future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420" w:firstLine="1053"/>
        <w:spacing w:after="0" w:line="237" w:lineRule="auto"/>
        <w:rPr>
          <w:sz w:val="20"/>
          <w:szCs w:val="20"/>
          <w:color w:val="auto"/>
        </w:rPr>
      </w:pPr>
      <w:r>
        <w:rPr>
          <w:rFonts w:ascii="Courier New" w:cs="Courier New" w:eastAsia="Courier New" w:hAnsi="Courier New"/>
          <w:sz w:val="18"/>
          <w:szCs w:val="18"/>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and County of Honolulu, State of Hawaii, on this 20th day of February, 1997.</w:t>
      </w:r>
    </w:p>
    <w:p>
      <w:pPr>
        <w:spacing w:after="0" w:line="204"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FIRST HAWAIIAN, INC.</w:t>
      </w: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8"/>
          <w:szCs w:val="18"/>
          <w:color w:val="auto"/>
        </w:rPr>
        <w:t>By /s/ Howard H. Karr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Howard H. Karr</w:t>
      </w:r>
    </w:p>
    <w:p>
      <w:pPr>
        <w:ind w:left="4320"/>
        <w:spacing w:after="0" w:line="237" w:lineRule="auto"/>
        <w:rPr>
          <w:sz w:val="20"/>
          <w:szCs w:val="20"/>
          <w:color w:val="auto"/>
        </w:rPr>
      </w:pPr>
      <w:r>
        <w:rPr>
          <w:rFonts w:ascii="Courier New" w:cs="Courier New" w:eastAsia="Courier New" w:hAnsi="Courier New"/>
          <w:sz w:val="18"/>
          <w:szCs w:val="18"/>
          <w:color w:val="auto"/>
        </w:rPr>
        <w:t>Executive Vice President &amp; Treasurer</w:t>
      </w:r>
    </w:p>
    <w:p>
      <w:pPr>
        <w:spacing w:after="0" w:line="207" w:lineRule="exact"/>
        <w:rPr>
          <w:sz w:val="20"/>
          <w:szCs w:val="20"/>
          <w:color w:val="auto"/>
        </w:rPr>
      </w:pPr>
    </w:p>
    <w:p>
      <w:pPr>
        <w:ind w:right="2520" w:firstLine="1264"/>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900" w:type="dxa"/>
            <w:vAlign w:val="bottom"/>
          </w:tcPr>
          <w:p>
            <w:pPr>
              <w:ind w:left="900"/>
              <w:spacing w:after="0"/>
              <w:rPr>
                <w:sz w:val="20"/>
                <w:szCs w:val="20"/>
                <w:color w:val="auto"/>
              </w:rPr>
            </w:pPr>
            <w:r>
              <w:rPr>
                <w:rFonts w:ascii="Courier New" w:cs="Courier New" w:eastAsia="Courier New" w:hAnsi="Courier New"/>
                <w:sz w:val="18"/>
                <w:szCs w:val="18"/>
                <w:color w:val="auto"/>
              </w:rPr>
              <w:t>Title</w:t>
            </w:r>
          </w:p>
        </w:tc>
        <w:tc>
          <w:tcPr>
            <w:tcW w:w="2480" w:type="dxa"/>
            <w:vAlign w:val="bottom"/>
          </w:tcPr>
          <w:p>
            <w:pPr>
              <w:ind w:left="7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4"/>
                <w:szCs w:val="24"/>
                <w:color w:val="auto"/>
              </w:rPr>
            </w:pPr>
          </w:p>
        </w:tc>
        <w:tc>
          <w:tcPr>
            <w:tcW w:w="3900" w:type="dxa"/>
            <w:vAlign w:val="bottom"/>
          </w:tcPr>
          <w:p>
            <w:pPr>
              <w:ind w:left="900"/>
              <w:spacing w:after="0"/>
              <w:rPr>
                <w:sz w:val="20"/>
                <w:szCs w:val="20"/>
                <w:color w:val="auto"/>
              </w:rPr>
            </w:pPr>
            <w:r>
              <w:rPr>
                <w:rFonts w:ascii="Courier New" w:cs="Courier New" w:eastAsia="Courier New" w:hAnsi="Courier New"/>
                <w:sz w:val="18"/>
                <w:szCs w:val="18"/>
                <w:color w:val="auto"/>
              </w:rPr>
              <w:t>Chairman and Chief</w:t>
            </w:r>
          </w:p>
        </w:tc>
        <w:tc>
          <w:tcPr>
            <w:tcW w:w="2480" w:type="dxa"/>
            <w:vAlign w:val="bottom"/>
          </w:tcPr>
          <w:p>
            <w:pPr>
              <w:spacing w:after="0"/>
              <w:rPr>
                <w:sz w:val="24"/>
                <w:szCs w:val="24"/>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 A. Dods, Jr.*</w:t>
            </w:r>
          </w:p>
        </w:tc>
        <w:tc>
          <w:tcPr>
            <w:tcW w:w="3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248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w w:val="95"/>
              </w:rPr>
              <w:t>February 20, 1997</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Director (principal</w:t>
            </w:r>
          </w:p>
        </w:tc>
        <w:tc>
          <w:tcPr>
            <w:tcW w:w="248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 A. Dods, Jr.</w:t>
            </w:r>
          </w:p>
        </w:tc>
        <w:tc>
          <w:tcPr>
            <w:tcW w:w="3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2480" w:type="dxa"/>
            <w:vAlign w:val="bottom"/>
          </w:tcPr>
          <w:p>
            <w:pPr>
              <w:spacing w:after="0"/>
              <w:rPr>
                <w:sz w:val="17"/>
                <w:szCs w:val="17"/>
                <w:color w:val="auto"/>
              </w:rPr>
            </w:pPr>
          </w:p>
        </w:tc>
      </w:tr>
      <w:tr>
        <w:trPr>
          <w:trHeight w:val="405"/>
        </w:trPr>
        <w:tc>
          <w:tcPr>
            <w:tcW w:w="4160" w:type="dxa"/>
            <w:vAlign w:val="bottom"/>
          </w:tcPr>
          <w:p>
            <w:pPr>
              <w:spacing w:after="0"/>
              <w:rPr>
                <w:sz w:val="24"/>
                <w:szCs w:val="24"/>
                <w:color w:val="auto"/>
              </w:rPr>
            </w:pPr>
          </w:p>
        </w:tc>
        <w:tc>
          <w:tcPr>
            <w:tcW w:w="3900" w:type="dxa"/>
            <w:vAlign w:val="bottom"/>
          </w:tcPr>
          <w:p>
            <w:pPr>
              <w:ind w:left="900"/>
              <w:spacing w:after="0"/>
              <w:rPr>
                <w:sz w:val="20"/>
                <w:szCs w:val="20"/>
                <w:color w:val="auto"/>
              </w:rPr>
            </w:pPr>
            <w:r>
              <w:rPr>
                <w:rFonts w:ascii="Courier New" w:cs="Courier New" w:eastAsia="Courier New" w:hAnsi="Courier New"/>
                <w:sz w:val="18"/>
                <w:szCs w:val="18"/>
                <w:color w:val="auto"/>
              </w:rPr>
              <w:t>Executive Vice</w:t>
            </w:r>
          </w:p>
        </w:tc>
        <w:tc>
          <w:tcPr>
            <w:tcW w:w="2480" w:type="dxa"/>
            <w:vAlign w:val="bottom"/>
          </w:tcPr>
          <w:p>
            <w:pPr>
              <w:spacing w:after="0"/>
              <w:rPr>
                <w:sz w:val="24"/>
                <w:szCs w:val="24"/>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 Howard H. Karr</w:t>
            </w:r>
          </w:p>
        </w:tc>
        <w:tc>
          <w:tcPr>
            <w:tcW w:w="3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President &amp; Treasurer</w:t>
            </w:r>
          </w:p>
        </w:tc>
        <w:tc>
          <w:tcPr>
            <w:tcW w:w="248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w w:val="95"/>
              </w:rPr>
              <w:t>February 20, 1997</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(principal financial</w:t>
            </w:r>
          </w:p>
        </w:tc>
        <w:tc>
          <w:tcPr>
            <w:tcW w:w="248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Howard H. Karr</w:t>
            </w:r>
          </w:p>
        </w:tc>
        <w:tc>
          <w:tcPr>
            <w:tcW w:w="3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&amp; accounting officer)</w:t>
            </w:r>
          </w:p>
        </w:tc>
        <w:tc>
          <w:tcPr>
            <w:tcW w:w="2480" w:type="dxa"/>
            <w:vAlign w:val="bottom"/>
          </w:tcPr>
          <w:p>
            <w:pPr>
              <w:spacing w:after="0"/>
              <w:rPr>
                <w:sz w:val="17"/>
                <w:szCs w:val="17"/>
                <w:color w:val="auto"/>
              </w:rPr>
            </w:pP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John W.A. Buyers*</w:t>
            </w:r>
          </w:p>
        </w:tc>
        <w:tc>
          <w:tcPr>
            <w:tcW w:w="3900" w:type="dxa"/>
            <w:vAlign w:val="bottom"/>
          </w:tcPr>
          <w:p>
            <w:pPr>
              <w:ind w:left="900"/>
              <w:spacing w:after="0"/>
              <w:rPr>
                <w:sz w:val="20"/>
                <w:szCs w:val="20"/>
                <w:color w:val="auto"/>
              </w:rPr>
            </w:pPr>
            <w:r>
              <w:rPr>
                <w:rFonts w:ascii="Courier New" w:cs="Courier New" w:eastAsia="Courier New" w:hAnsi="Courier New"/>
                <w:sz w:val="18"/>
                <w:szCs w:val="18"/>
                <w:color w:val="auto"/>
              </w:rPr>
              <w:t>Director</w:t>
            </w:r>
          </w:p>
        </w:tc>
        <w:tc>
          <w:tcPr>
            <w:tcW w:w="2480" w:type="dxa"/>
            <w:vAlign w:val="bottom"/>
          </w:tcPr>
          <w:p>
            <w:pPr>
              <w:ind w:left="700"/>
              <w:spacing w:after="0"/>
              <w:rPr>
                <w:sz w:val="20"/>
                <w:szCs w:val="20"/>
                <w:color w:val="auto"/>
              </w:rPr>
            </w:pPr>
            <w:r>
              <w:rPr>
                <w:rFonts w:ascii="Courier New" w:cs="Courier New" w:eastAsia="Courier New" w:hAnsi="Courier New"/>
                <w:sz w:val="18"/>
                <w:szCs w:val="18"/>
                <w:color w:val="auto"/>
                <w:w w:val="95"/>
              </w:rPr>
              <w:t>February 20, 1997</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W.A. Buyers</w:t>
            </w:r>
          </w:p>
        </w:tc>
        <w:tc>
          <w:tcPr>
            <w:tcW w:w="3900" w:type="dxa"/>
            <w:vAlign w:val="bottom"/>
          </w:tcPr>
          <w:p>
            <w:pPr>
              <w:spacing w:after="0"/>
              <w:rPr>
                <w:sz w:val="17"/>
                <w:szCs w:val="17"/>
                <w:color w:val="auto"/>
              </w:rPr>
            </w:pPr>
          </w:p>
        </w:tc>
        <w:tc>
          <w:tcPr>
            <w:tcW w:w="248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5040" w:val="left"/>
          <w:tab w:leader="none" w:pos="8740" w:val="left"/>
        </w:tabs>
        <w:rPr>
          <w:sz w:val="20"/>
          <w:szCs w:val="20"/>
          <w:color w:val="auto"/>
        </w:rPr>
      </w:pPr>
      <w:r>
        <w:rPr>
          <w:rFonts w:ascii="Courier New" w:cs="Courier New" w:eastAsia="Courier New" w:hAnsi="Courier New"/>
          <w:sz w:val="18"/>
          <w:szCs w:val="18"/>
          <w:color w:val="auto"/>
        </w:rPr>
        <w:t>John C. Couch*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February 20, 1997</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C. Couch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II-12</w:t>
      </w:r>
    </w:p>
    <w:p>
      <w:pPr>
        <w:sectPr>
          <w:pgSz w:w="11900" w:h="16838" w:orient="portrait"/>
          <w:cols w:equalWidth="0" w:num="1">
            <w:col w:w="10540"/>
          </w:cols>
          <w:pgMar w:left="240" w:top="312" w:right="11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540" w:type="dxa"/>
            <w:vAlign w:val="bottom"/>
          </w:tcPr>
          <w:p>
            <w:pPr>
              <w:ind w:left="320"/>
              <w:spacing w:after="0"/>
              <w:rPr>
                <w:sz w:val="20"/>
                <w:szCs w:val="20"/>
                <w:color w:val="auto"/>
              </w:rPr>
            </w:pPr>
            <w:r>
              <w:rPr>
                <w:rFonts w:ascii="Courier New" w:cs="Courier New" w:eastAsia="Courier New" w:hAnsi="Courier New"/>
                <w:sz w:val="18"/>
                <w:szCs w:val="18"/>
                <w:color w:val="auto"/>
              </w:rPr>
              <w:t>13</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Dr. Julia Ann Frohlich*</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540"/>
              <w:spacing w:after="0"/>
              <w:rPr>
                <w:sz w:val="20"/>
                <w:szCs w:val="20"/>
                <w:color w:val="auto"/>
              </w:rPr>
            </w:pPr>
            <w:r>
              <w:rPr>
                <w:rFonts w:ascii="Courier New" w:cs="Courier New" w:eastAsia="Courier New" w:hAnsi="Courier New"/>
                <w:sz w:val="18"/>
                <w:szCs w:val="18"/>
                <w:color w:val="auto"/>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Dr. Julia Ann Frohlich</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Paul Mullin Ganley*</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540"/>
              <w:spacing w:after="0"/>
              <w:rPr>
                <w:sz w:val="20"/>
                <w:szCs w:val="20"/>
                <w:color w:val="auto"/>
              </w:rPr>
            </w:pPr>
            <w:r>
              <w:rPr>
                <w:rFonts w:ascii="Courier New" w:cs="Courier New" w:eastAsia="Courier New" w:hAnsi="Courier New"/>
                <w:sz w:val="18"/>
                <w:szCs w:val="18"/>
                <w:color w:val="auto"/>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Mullin Ganley</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David M. Haig*</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540"/>
              <w:spacing w:after="0"/>
              <w:rPr>
                <w:sz w:val="20"/>
                <w:szCs w:val="20"/>
                <w:color w:val="auto"/>
              </w:rPr>
            </w:pPr>
            <w:r>
              <w:rPr>
                <w:rFonts w:ascii="Courier New" w:cs="Courier New" w:eastAsia="Courier New" w:hAnsi="Courier New"/>
                <w:sz w:val="18"/>
                <w:szCs w:val="18"/>
                <w:color w:val="auto"/>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M. Haig</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John A. Hoag*</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540"/>
              <w:spacing w:after="0"/>
              <w:rPr>
                <w:sz w:val="20"/>
                <w:szCs w:val="20"/>
                <w:color w:val="auto"/>
              </w:rPr>
            </w:pPr>
            <w:r>
              <w:rPr>
                <w:rFonts w:ascii="Courier New" w:cs="Courier New" w:eastAsia="Courier New" w:hAnsi="Courier New"/>
                <w:sz w:val="18"/>
                <w:szCs w:val="18"/>
                <w:color w:val="auto"/>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A. Hoag</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Bert T. Kobayashi, Jr.*</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540"/>
              <w:spacing w:after="0"/>
              <w:rPr>
                <w:sz w:val="20"/>
                <w:szCs w:val="20"/>
                <w:color w:val="auto"/>
              </w:rPr>
            </w:pPr>
            <w:r>
              <w:rPr>
                <w:rFonts w:ascii="Courier New" w:cs="Courier New" w:eastAsia="Courier New" w:hAnsi="Courier New"/>
                <w:sz w:val="18"/>
                <w:szCs w:val="18"/>
                <w:color w:val="auto"/>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Bert T. Kobayashi, Jr.</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Dr. Richard T. Mamiya*</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540"/>
              <w:spacing w:after="0"/>
              <w:rPr>
                <w:sz w:val="20"/>
                <w:szCs w:val="20"/>
                <w:color w:val="auto"/>
              </w:rPr>
            </w:pPr>
            <w:r>
              <w:rPr>
                <w:rFonts w:ascii="Courier New" w:cs="Courier New" w:eastAsia="Courier New" w:hAnsi="Courier New"/>
                <w:sz w:val="18"/>
                <w:szCs w:val="18"/>
                <w:color w:val="auto"/>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Dr. Richard T. Mamiya</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George P. Shea, Jr.*</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540"/>
              <w:spacing w:after="0"/>
              <w:rPr>
                <w:sz w:val="20"/>
                <w:szCs w:val="20"/>
                <w:color w:val="auto"/>
              </w:rPr>
            </w:pPr>
            <w:r>
              <w:rPr>
                <w:rFonts w:ascii="Courier New" w:cs="Courier New" w:eastAsia="Courier New" w:hAnsi="Courier New"/>
                <w:sz w:val="18"/>
                <w:szCs w:val="18"/>
                <w:color w:val="auto"/>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P. Shea, Jr.</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John K. Tsui*</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540"/>
              <w:spacing w:after="0"/>
              <w:rPr>
                <w:sz w:val="20"/>
                <w:szCs w:val="20"/>
                <w:color w:val="auto"/>
              </w:rPr>
            </w:pPr>
            <w:r>
              <w:rPr>
                <w:rFonts w:ascii="Courier New" w:cs="Courier New" w:eastAsia="Courier New" w:hAnsi="Courier New"/>
                <w:sz w:val="18"/>
                <w:szCs w:val="18"/>
                <w:color w:val="auto"/>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K. Tsui</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Dr. Fujio Matsuda*</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540"/>
              <w:spacing w:after="0"/>
              <w:rPr>
                <w:sz w:val="20"/>
                <w:szCs w:val="20"/>
                <w:color w:val="auto"/>
              </w:rPr>
            </w:pPr>
            <w:r>
              <w:rPr>
                <w:rFonts w:ascii="Courier New" w:cs="Courier New" w:eastAsia="Courier New" w:hAnsi="Courier New"/>
                <w:sz w:val="18"/>
                <w:szCs w:val="18"/>
                <w:color w:val="auto"/>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Dr. Fujio Matsuda</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Dr. Roderick F. McPhee*</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640"/>
              <w:spacing w:after="0"/>
              <w:rPr>
                <w:sz w:val="20"/>
                <w:szCs w:val="20"/>
                <w:color w:val="auto"/>
              </w:rPr>
            </w:pPr>
            <w:r>
              <w:rPr>
                <w:rFonts w:ascii="Courier New" w:cs="Courier New" w:eastAsia="Courier New" w:hAnsi="Courier New"/>
                <w:sz w:val="18"/>
                <w:szCs w:val="18"/>
                <w:color w:val="auto"/>
                <w:w w:val="96"/>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Dr. Roderick F. McPhee</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Fred C. Weyand*</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640"/>
              <w:spacing w:after="0"/>
              <w:rPr>
                <w:sz w:val="20"/>
                <w:szCs w:val="20"/>
                <w:color w:val="auto"/>
              </w:rPr>
            </w:pPr>
            <w:r>
              <w:rPr>
                <w:rFonts w:ascii="Courier New" w:cs="Courier New" w:eastAsia="Courier New" w:hAnsi="Courier New"/>
                <w:sz w:val="18"/>
                <w:szCs w:val="18"/>
                <w:color w:val="auto"/>
                <w:w w:val="96"/>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Fred C. Weyand</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Robert C. Wo*</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440" w:type="dxa"/>
            <w:vAlign w:val="bottom"/>
          </w:tcPr>
          <w:p>
            <w:pPr>
              <w:ind w:left="640"/>
              <w:spacing w:after="0"/>
              <w:rPr>
                <w:sz w:val="20"/>
                <w:szCs w:val="20"/>
                <w:color w:val="auto"/>
              </w:rPr>
            </w:pPr>
            <w:r>
              <w:rPr>
                <w:rFonts w:ascii="Courier New" w:cs="Courier New" w:eastAsia="Courier New" w:hAnsi="Courier New"/>
                <w:sz w:val="18"/>
                <w:szCs w:val="18"/>
                <w:color w:val="auto"/>
                <w:w w:val="96"/>
              </w:rPr>
              <w:t>February 20, 1997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C. Wo</w:t>
            </w:r>
          </w:p>
        </w:tc>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Plans. Pursuant to the requirements of the Securities Act of 1933, this Registration Statement has been signed below by the following persons in the capacities and on the date indicated. (Note: The Profit Sharing Committee is the administrative committee responsible for the administration of the Profit Sharing Plan and the Future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Signature</w:t>
            </w:r>
          </w:p>
        </w:tc>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Title</w:t>
            </w:r>
          </w:p>
        </w:tc>
        <w:tc>
          <w:tcPr>
            <w:tcW w:w="2420" w:type="dxa"/>
            <w:vAlign w:val="bottom"/>
          </w:tcPr>
          <w:p>
            <w:pPr>
              <w:ind w:left="32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Roy E. King, Jr.*</w:t>
            </w:r>
          </w:p>
        </w:tc>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Member, Profit</w:t>
            </w:r>
          </w:p>
        </w:tc>
        <w:tc>
          <w:tcPr>
            <w:tcW w:w="2420" w:type="dxa"/>
            <w:vAlign w:val="bottom"/>
          </w:tcPr>
          <w:p>
            <w:pPr>
              <w:ind w:left="320"/>
              <w:spacing w:after="0"/>
              <w:rPr>
                <w:sz w:val="20"/>
                <w:szCs w:val="20"/>
                <w:color w:val="auto"/>
              </w:rPr>
            </w:pPr>
            <w:r>
              <w:rPr>
                <w:rFonts w:ascii="Courier New" w:cs="Courier New" w:eastAsia="Courier New" w:hAnsi="Courier New"/>
                <w:sz w:val="18"/>
                <w:szCs w:val="18"/>
                <w:color w:val="auto"/>
              </w:rPr>
              <w:t>February 19, 1997</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Sharing Committee</w:t>
            </w:r>
          </w:p>
        </w:tc>
        <w:tc>
          <w:tcPr>
            <w:tcW w:w="2420" w:type="dxa"/>
            <w:vAlign w:val="bottom"/>
          </w:tcPr>
          <w:p>
            <w:pPr>
              <w:spacing w:after="0"/>
              <w:rPr>
                <w:sz w:val="17"/>
                <w:szCs w:val="17"/>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Roy E. King, Jr.</w:t>
            </w:r>
          </w:p>
        </w:tc>
        <w:tc>
          <w:tcPr>
            <w:tcW w:w="26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Member, Profit</w:t>
            </w:r>
          </w:p>
        </w:tc>
        <w:tc>
          <w:tcPr>
            <w:tcW w:w="2420" w:type="dxa"/>
            <w:vAlign w:val="bottom"/>
          </w:tcPr>
          <w:p>
            <w:pPr>
              <w:spacing w:after="0"/>
              <w:rPr>
                <w:sz w:val="24"/>
                <w:szCs w:val="24"/>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Sharing Committee</w:t>
            </w:r>
          </w:p>
        </w:tc>
        <w:tc>
          <w:tcPr>
            <w:tcW w:w="2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 Johnstone, III</w:t>
            </w:r>
          </w:p>
        </w:tc>
        <w:tc>
          <w:tcPr>
            <w:tcW w:w="26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Corbett</w:t>
            </w:r>
          </w:p>
        </w:tc>
        <w:tc>
          <w:tcPr>
            <w:tcW w:w="2780" w:type="dxa"/>
            <w:vAlign w:val="bottom"/>
          </w:tcPr>
          <w:p>
            <w:pPr>
              <w:ind w:left="60"/>
              <w:spacing w:after="0"/>
              <w:rPr>
                <w:sz w:val="20"/>
                <w:szCs w:val="20"/>
                <w:color w:val="auto"/>
              </w:rPr>
            </w:pPr>
            <w:r>
              <w:rPr>
                <w:rFonts w:ascii="Courier New" w:cs="Courier New" w:eastAsia="Courier New" w:hAnsi="Courier New"/>
                <w:sz w:val="18"/>
                <w:szCs w:val="18"/>
                <w:color w:val="auto"/>
              </w:rPr>
              <w:t>A.K. Kalama*</w:t>
            </w:r>
          </w:p>
        </w:tc>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Member, Profit</w:t>
            </w:r>
          </w:p>
        </w:tc>
        <w:tc>
          <w:tcPr>
            <w:tcW w:w="2420" w:type="dxa"/>
            <w:vAlign w:val="bottom"/>
          </w:tcPr>
          <w:p>
            <w:pPr>
              <w:ind w:left="320"/>
              <w:spacing w:after="0"/>
              <w:rPr>
                <w:sz w:val="20"/>
                <w:szCs w:val="20"/>
                <w:color w:val="auto"/>
              </w:rPr>
            </w:pPr>
            <w:r>
              <w:rPr>
                <w:rFonts w:ascii="Courier New" w:cs="Courier New" w:eastAsia="Courier New" w:hAnsi="Courier New"/>
                <w:sz w:val="18"/>
                <w:szCs w:val="18"/>
                <w:color w:val="auto"/>
              </w:rPr>
              <w:t>February 19, 1997</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Sharing Committee</w:t>
            </w:r>
          </w:p>
        </w:tc>
        <w:tc>
          <w:tcPr>
            <w:tcW w:w="24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Corbett</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A.K. Kalama</w:t>
            </w:r>
          </w:p>
        </w:tc>
        <w:tc>
          <w:tcPr>
            <w:tcW w:w="26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Kathryn</w:t>
            </w:r>
          </w:p>
        </w:tc>
        <w:tc>
          <w:tcPr>
            <w:tcW w:w="2780" w:type="dxa"/>
            <w:vAlign w:val="bottom"/>
          </w:tcPr>
          <w:p>
            <w:pPr>
              <w:ind w:left="60"/>
              <w:spacing w:after="0"/>
              <w:rPr>
                <w:sz w:val="20"/>
                <w:szCs w:val="20"/>
                <w:color w:val="auto"/>
              </w:rPr>
            </w:pPr>
            <w:r>
              <w:rPr>
                <w:rFonts w:ascii="Courier New" w:cs="Courier New" w:eastAsia="Courier New" w:hAnsi="Courier New"/>
                <w:sz w:val="18"/>
                <w:szCs w:val="18"/>
                <w:color w:val="auto"/>
              </w:rPr>
              <w:t>Okazaki*</w:t>
            </w:r>
          </w:p>
        </w:tc>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Member, Profit</w:t>
            </w:r>
          </w:p>
        </w:tc>
        <w:tc>
          <w:tcPr>
            <w:tcW w:w="2420" w:type="dxa"/>
            <w:vAlign w:val="bottom"/>
          </w:tcPr>
          <w:p>
            <w:pPr>
              <w:ind w:left="320"/>
              <w:spacing w:after="0"/>
              <w:rPr>
                <w:sz w:val="20"/>
                <w:szCs w:val="20"/>
                <w:color w:val="auto"/>
              </w:rPr>
            </w:pPr>
            <w:r>
              <w:rPr>
                <w:rFonts w:ascii="Courier New" w:cs="Courier New" w:eastAsia="Courier New" w:hAnsi="Courier New"/>
                <w:sz w:val="18"/>
                <w:szCs w:val="18"/>
                <w:color w:val="auto"/>
              </w:rPr>
              <w:t>February 19, 1997</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Sharing Committee</w:t>
            </w:r>
          </w:p>
        </w:tc>
        <w:tc>
          <w:tcPr>
            <w:tcW w:w="242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Kathryn</w:t>
            </w:r>
          </w:p>
        </w:tc>
        <w:tc>
          <w:tcPr>
            <w:tcW w:w="2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Okazaki</w:t>
            </w:r>
          </w:p>
        </w:tc>
        <w:tc>
          <w:tcPr>
            <w:tcW w:w="26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Vera V. Thomas*</w:t>
            </w:r>
          </w:p>
        </w:tc>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Member, Profit</w:t>
            </w:r>
          </w:p>
        </w:tc>
        <w:tc>
          <w:tcPr>
            <w:tcW w:w="2420" w:type="dxa"/>
            <w:vAlign w:val="bottom"/>
          </w:tcPr>
          <w:p>
            <w:pPr>
              <w:ind w:left="320"/>
              <w:spacing w:after="0"/>
              <w:rPr>
                <w:sz w:val="20"/>
                <w:szCs w:val="20"/>
                <w:color w:val="auto"/>
              </w:rPr>
            </w:pPr>
            <w:r>
              <w:rPr>
                <w:rFonts w:ascii="Courier New" w:cs="Courier New" w:eastAsia="Courier New" w:hAnsi="Courier New"/>
                <w:sz w:val="18"/>
                <w:szCs w:val="18"/>
                <w:color w:val="auto"/>
              </w:rPr>
              <w:t>February 19, 1997</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Sharing Committee</w:t>
            </w:r>
          </w:p>
        </w:tc>
        <w:tc>
          <w:tcPr>
            <w:tcW w:w="2420" w:type="dxa"/>
            <w:vAlign w:val="bottom"/>
          </w:tcPr>
          <w:p>
            <w:pPr>
              <w:spacing w:after="0"/>
              <w:rPr>
                <w:sz w:val="17"/>
                <w:szCs w:val="17"/>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Vera V. Thomas</w:t>
            </w:r>
          </w:p>
        </w:tc>
        <w:tc>
          <w:tcPr>
            <w:tcW w:w="2640" w:type="dxa"/>
            <w:vAlign w:val="bottom"/>
          </w:tcPr>
          <w:p>
            <w:pPr>
              <w:spacing w:after="0"/>
              <w:rPr>
                <w:sz w:val="17"/>
                <w:szCs w:val="17"/>
                <w:color w:val="auto"/>
              </w:rPr>
            </w:pPr>
          </w:p>
        </w:tc>
        <w:tc>
          <w:tcPr>
            <w:tcW w:w="24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Howard H. Karr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Howard H. Karr, Attorney in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II-14</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w:t>
      </w:r>
    </w:p>
    <w:p>
      <w:pPr>
        <w:ind w:left="6640"/>
        <w:spacing w:after="0" w:line="238" w:lineRule="auto"/>
        <w:rPr>
          <w:sz w:val="20"/>
          <w:szCs w:val="20"/>
          <w:color w:val="auto"/>
        </w:rPr>
      </w:pPr>
      <w:r>
        <w:rPr>
          <w:rFonts w:ascii="Courier New" w:cs="Courier New" w:eastAsia="Courier New" w:hAnsi="Courier New"/>
          <w:sz w:val="18"/>
          <w:szCs w:val="18"/>
          <w:color w:val="auto"/>
        </w:rPr>
        <w:t>EXHIBIT NO. 23</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First Hawaiian, Inc. and subsidiaries (hereinafter referred to as "the Company") on Form S-8 (to be filed on or about February 20, 1997) of our report dated January 17, 1996, on our audits of the consolidated financial statements of the Company as of December 31, 1995 and 1994 and for the years ended December 31, 1995, 1994 and 1993, which report is included in the Annual Report on Form 10-K for the year ended December 31, 1995 incorporated by reference in this registration statement.</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Coopers &amp; Lybrand L.L.P.</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Coopers &amp; Lybrand L.L.P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Honolulu, Hawaii</w:t>
      </w:r>
    </w:p>
    <w:p>
      <w:pPr>
        <w:spacing w:after="0" w:line="238" w:lineRule="auto"/>
        <w:rPr>
          <w:sz w:val="20"/>
          <w:szCs w:val="20"/>
          <w:color w:val="auto"/>
        </w:rPr>
      </w:pPr>
      <w:r>
        <w:rPr>
          <w:rFonts w:ascii="Courier New" w:cs="Courier New" w:eastAsia="Courier New" w:hAnsi="Courier New"/>
          <w:sz w:val="18"/>
          <w:szCs w:val="18"/>
          <w:color w:val="auto"/>
        </w:rPr>
        <w:t>February 14, 1997</w:t>
      </w:r>
    </w:p>
    <w:p>
      <w:pPr>
        <w:sectPr>
          <w:pgSz w:w="11900" w:h="16838" w:orient="portrait"/>
          <w:cols w:equalWidth="0" w:num="1">
            <w:col w:w="10219"/>
          </w:cols>
          <w:pgMar w:left="240" w:top="136"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EXHIBIT NO. 24</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capacities indicated below, hereby constitutes and appoints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capacities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200" w:lineRule="exact"/>
        <w:rPr>
          <w:sz w:val="20"/>
          <w:szCs w:val="20"/>
          <w:color w:val="auto"/>
        </w:rPr>
      </w:pPr>
    </w:p>
    <w:p>
      <w:pPr>
        <w:spacing w:after="0" w:line="396"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Walter A. Dods, Jr.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Walter A. Dods, Jr.</w:t>
      </w:r>
    </w:p>
    <w:p>
      <w:pPr>
        <w:ind w:left="3800"/>
        <w:spacing w:after="0" w:line="238" w:lineRule="auto"/>
        <w:rPr>
          <w:sz w:val="20"/>
          <w:szCs w:val="20"/>
          <w:color w:val="auto"/>
        </w:rPr>
      </w:pPr>
      <w:r>
        <w:rPr>
          <w:rFonts w:ascii="Courier New" w:cs="Courier New" w:eastAsia="Courier New" w:hAnsi="Courier New"/>
          <w:sz w:val="18"/>
          <w:szCs w:val="18"/>
          <w:color w:val="auto"/>
        </w:rPr>
        <w:t>Chairman and Chief Executive</w:t>
      </w:r>
    </w:p>
    <w:p>
      <w:pPr>
        <w:ind w:left="4020"/>
        <w:spacing w:after="0"/>
        <w:rPr>
          <w:sz w:val="20"/>
          <w:szCs w:val="20"/>
          <w:color w:val="auto"/>
        </w:rPr>
      </w:pPr>
      <w:r>
        <w:rPr>
          <w:rFonts w:ascii="Courier New" w:cs="Courier New" w:eastAsia="Courier New" w:hAnsi="Courier New"/>
          <w:sz w:val="18"/>
          <w:szCs w:val="18"/>
          <w:color w:val="auto"/>
        </w:rPr>
        <w:t>Officer, Director</w:t>
      </w:r>
    </w:p>
    <w:p>
      <w:pPr>
        <w:ind w:left="3800"/>
        <w:spacing w:after="0" w:line="237" w:lineRule="auto"/>
        <w:rPr>
          <w:sz w:val="20"/>
          <w:szCs w:val="20"/>
          <w:color w:val="auto"/>
        </w:rPr>
      </w:pPr>
      <w:r>
        <w:rPr>
          <w:rFonts w:ascii="Courier New" w:cs="Courier New" w:eastAsia="Courier New" w:hAnsi="Courier New"/>
          <w:sz w:val="18"/>
          <w:szCs w:val="18"/>
          <w:color w:val="auto"/>
        </w:rPr>
        <w:t>First Hawaiian, Inc.</w:t>
      </w:r>
    </w:p>
    <w:p>
      <w:pPr>
        <w:ind w:left="3800"/>
        <w:spacing w:after="0" w:line="238" w:lineRule="auto"/>
        <w:rPr>
          <w:sz w:val="20"/>
          <w:szCs w:val="20"/>
          <w:color w:val="auto"/>
        </w:rPr>
      </w:pPr>
      <w:r>
        <w:rPr>
          <w:rFonts w:ascii="Courier New" w:cs="Courier New" w:eastAsia="Courier New" w:hAnsi="Courier New"/>
          <w:sz w:val="18"/>
          <w:szCs w:val="18"/>
          <w:color w:val="auto"/>
        </w:rPr>
        <w:t>(principal executive officer)</w:t>
      </w:r>
    </w:p>
    <w:p>
      <w:pPr>
        <w:sectPr>
          <w:pgSz w:w="11900" w:h="16838" w:orient="portrait"/>
          <w:cols w:equalWidth="0" w:num="1">
            <w:col w:w="10219"/>
          </w:cols>
          <w:pgMar w:left="240" w:top="136"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2</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and JOHN K. TSUI,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200" w:lineRule="exact"/>
        <w:rPr>
          <w:sz w:val="20"/>
          <w:szCs w:val="20"/>
          <w:color w:val="auto"/>
        </w:rPr>
      </w:pPr>
    </w:p>
    <w:p>
      <w:pPr>
        <w:spacing w:after="0" w:line="396"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0" w:lineRule="exact"/>
        <w:rPr>
          <w:sz w:val="20"/>
          <w:szCs w:val="20"/>
          <w:color w:val="auto"/>
        </w:rPr>
      </w:pPr>
    </w:p>
    <w:p>
      <w:pPr>
        <w:spacing w:after="0" w:line="20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Howard H. Karr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Howard H. Karr</w:t>
      </w:r>
    </w:p>
    <w:p>
      <w:pPr>
        <w:ind w:left="4320"/>
        <w:spacing w:after="0" w:line="238" w:lineRule="auto"/>
        <w:rPr>
          <w:sz w:val="20"/>
          <w:szCs w:val="20"/>
          <w:color w:val="auto"/>
        </w:rPr>
      </w:pPr>
      <w:r>
        <w:rPr>
          <w:rFonts w:ascii="Courier New" w:cs="Courier New" w:eastAsia="Courier New" w:hAnsi="Courier New"/>
          <w:sz w:val="18"/>
          <w:szCs w:val="18"/>
          <w:color w:val="auto"/>
        </w:rPr>
        <w:t>Executive Vice President &amp; Treasurer</w:t>
      </w:r>
    </w:p>
    <w:p>
      <w:pPr>
        <w:ind w:left="4320"/>
        <w:spacing w:after="0"/>
        <w:rPr>
          <w:sz w:val="20"/>
          <w:szCs w:val="20"/>
          <w:color w:val="auto"/>
        </w:rPr>
      </w:pPr>
      <w:r>
        <w:rPr>
          <w:rFonts w:ascii="Courier New" w:cs="Courier New" w:eastAsia="Courier New" w:hAnsi="Courier New"/>
          <w:sz w:val="18"/>
          <w:szCs w:val="18"/>
          <w:color w:val="auto"/>
        </w:rPr>
        <w:t>First Hawaiian, Inc.</w:t>
      </w:r>
    </w:p>
    <w:p>
      <w:pPr>
        <w:ind w:left="4320"/>
        <w:spacing w:after="0" w:line="237" w:lineRule="auto"/>
        <w:rPr>
          <w:sz w:val="20"/>
          <w:szCs w:val="20"/>
          <w:color w:val="auto"/>
        </w:rPr>
      </w:pPr>
      <w:r>
        <w:rPr>
          <w:rFonts w:ascii="Courier New" w:cs="Courier New" w:eastAsia="Courier New" w:hAnsi="Courier New"/>
          <w:sz w:val="18"/>
          <w:szCs w:val="18"/>
          <w:color w:val="auto"/>
        </w:rPr>
        <w:t>(principal financial and accounting</w:t>
      </w:r>
    </w:p>
    <w:p>
      <w:pPr>
        <w:ind w:left="4640"/>
        <w:spacing w:after="0" w:line="238" w:lineRule="auto"/>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3</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John W.A. Buyers</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6840" w:val="left"/>
        </w:tabs>
        <w:rPr>
          <w:sz w:val="20"/>
          <w:szCs w:val="20"/>
          <w:color w:val="auto"/>
        </w:rPr>
      </w:pPr>
      <w:r>
        <w:rPr>
          <w:rFonts w:ascii="Courier New" w:cs="Courier New" w:eastAsia="Courier New" w:hAnsi="Courier New"/>
          <w:sz w:val="18"/>
          <w:szCs w:val="18"/>
          <w:color w:val="auto"/>
        </w:rPr>
        <w:t>John W.A. Buyers</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4</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John C. Couch</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6840" w:val="left"/>
        </w:tabs>
        <w:rPr>
          <w:sz w:val="20"/>
          <w:szCs w:val="20"/>
          <w:color w:val="auto"/>
        </w:rPr>
      </w:pPr>
      <w:r>
        <w:rPr>
          <w:rFonts w:ascii="Courier New" w:cs="Courier New" w:eastAsia="Courier New" w:hAnsi="Courier New"/>
          <w:sz w:val="18"/>
          <w:szCs w:val="18"/>
          <w:color w:val="auto"/>
        </w:rPr>
        <w:t>John C. Couch</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5</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her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as of this 19th day of February, 1997.</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Dr. Julia Ann Frohlich</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6840" w:val="left"/>
        </w:tabs>
        <w:rPr>
          <w:sz w:val="20"/>
          <w:szCs w:val="20"/>
          <w:color w:val="auto"/>
        </w:rPr>
      </w:pPr>
      <w:r>
        <w:rPr>
          <w:rFonts w:ascii="Courier New" w:cs="Courier New" w:eastAsia="Courier New" w:hAnsi="Courier New"/>
          <w:sz w:val="18"/>
          <w:szCs w:val="18"/>
          <w:color w:val="auto"/>
        </w:rPr>
        <w:t>Dr. Julia Ann Frohlich</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6</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Paul Mullin Ganley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6840" w:val="left"/>
        </w:tabs>
        <w:rPr>
          <w:sz w:val="20"/>
          <w:szCs w:val="20"/>
          <w:color w:val="auto"/>
        </w:rPr>
      </w:pPr>
      <w:r>
        <w:rPr>
          <w:rFonts w:ascii="Courier New" w:cs="Courier New" w:eastAsia="Courier New" w:hAnsi="Courier New"/>
          <w:sz w:val="18"/>
          <w:szCs w:val="18"/>
          <w:color w:val="auto"/>
        </w:rPr>
        <w:t>Paul Mullin Ganley</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7</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David M. Haig</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6100" w:val="left"/>
        </w:tabs>
        <w:rPr>
          <w:sz w:val="20"/>
          <w:szCs w:val="20"/>
          <w:color w:val="auto"/>
        </w:rPr>
      </w:pPr>
      <w:r>
        <w:rPr>
          <w:rFonts w:ascii="Courier New" w:cs="Courier New" w:eastAsia="Courier New" w:hAnsi="Courier New"/>
          <w:sz w:val="18"/>
          <w:szCs w:val="18"/>
          <w:color w:val="auto"/>
        </w:rPr>
        <w:t>David M. Haig</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8</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John A. Hoag</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6100" w:val="left"/>
        </w:tabs>
        <w:rPr>
          <w:sz w:val="20"/>
          <w:szCs w:val="20"/>
          <w:color w:val="auto"/>
        </w:rPr>
      </w:pPr>
      <w:r>
        <w:rPr>
          <w:rFonts w:ascii="Courier New" w:cs="Courier New" w:eastAsia="Courier New" w:hAnsi="Courier New"/>
          <w:sz w:val="18"/>
          <w:szCs w:val="18"/>
          <w:color w:val="auto"/>
        </w:rPr>
        <w:t>John A. Hoag</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9</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Bert T. Kobayashi, Jr.</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jc w:val="center"/>
        <w:ind w:right="-320"/>
        <w:spacing w:after="0"/>
        <w:tabs>
          <w:tab w:leader="none" w:pos="200" w:val="left"/>
        </w:tabs>
        <w:rPr>
          <w:sz w:val="20"/>
          <w:szCs w:val="20"/>
          <w:color w:val="auto"/>
        </w:rPr>
      </w:pPr>
      <w:r>
        <w:rPr>
          <w:rFonts w:ascii="Courier New" w:cs="Courier New" w:eastAsia="Courier New" w:hAnsi="Courier New"/>
          <w:sz w:val="18"/>
          <w:szCs w:val="18"/>
          <w:color w:val="auto"/>
        </w:rPr>
        <w:t>Bert T. Kobayashi, Jr.</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10</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Dr. Richard T. Mamiya</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jc w:val="center"/>
        <w:ind w:right="-320"/>
        <w:spacing w:after="0"/>
        <w:tabs>
          <w:tab w:leader="none" w:pos="300" w:val="left"/>
        </w:tabs>
        <w:rPr>
          <w:sz w:val="20"/>
          <w:szCs w:val="20"/>
          <w:color w:val="auto"/>
        </w:rPr>
      </w:pPr>
      <w:r>
        <w:rPr>
          <w:rFonts w:ascii="Courier New" w:cs="Courier New" w:eastAsia="Courier New" w:hAnsi="Courier New"/>
          <w:sz w:val="18"/>
          <w:szCs w:val="18"/>
          <w:color w:val="auto"/>
        </w:rPr>
        <w:t>Dr. Richard T. Mamiya</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11</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George P. Shea, Jr.</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6100" w:val="left"/>
        </w:tabs>
        <w:rPr>
          <w:sz w:val="20"/>
          <w:szCs w:val="20"/>
          <w:color w:val="auto"/>
        </w:rPr>
      </w:pPr>
      <w:r>
        <w:rPr>
          <w:rFonts w:ascii="Courier New" w:cs="Courier New" w:eastAsia="Courier New" w:hAnsi="Courier New"/>
          <w:sz w:val="18"/>
          <w:szCs w:val="18"/>
          <w:color w:val="auto"/>
        </w:rPr>
        <w:t>George P. Shea, Jr.</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200" w:lineRule="exact"/>
        <w:rPr>
          <w:sz w:val="20"/>
          <w:szCs w:val="20"/>
          <w:color w:val="auto"/>
        </w:rPr>
      </w:pPr>
    </w:p>
    <w:p>
      <w:pPr>
        <w:spacing w:after="0" w:line="396"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John K. Tsui</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6100" w:val="left"/>
        </w:tabs>
        <w:rPr>
          <w:sz w:val="20"/>
          <w:szCs w:val="20"/>
          <w:color w:val="auto"/>
        </w:rPr>
      </w:pPr>
      <w:r>
        <w:rPr>
          <w:rFonts w:ascii="Courier New" w:cs="Courier New" w:eastAsia="Courier New" w:hAnsi="Courier New"/>
          <w:sz w:val="18"/>
          <w:szCs w:val="18"/>
          <w:color w:val="auto"/>
        </w:rPr>
        <w:t>John K. Tsui</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Dr. Fujio Matsuda</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6100" w:val="left"/>
        </w:tabs>
        <w:rPr>
          <w:sz w:val="20"/>
          <w:szCs w:val="20"/>
          <w:color w:val="auto"/>
        </w:rPr>
      </w:pPr>
      <w:r>
        <w:rPr>
          <w:rFonts w:ascii="Courier New" w:cs="Courier New" w:eastAsia="Courier New" w:hAnsi="Courier New"/>
          <w:sz w:val="18"/>
          <w:szCs w:val="18"/>
          <w:color w:val="auto"/>
        </w:rPr>
        <w:t>Dr. Fujio Matsuda</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Dr. Roderick F. McPhee</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jc w:val="center"/>
        <w:ind w:right="-320"/>
        <w:spacing w:after="0"/>
        <w:tabs>
          <w:tab w:leader="none" w:pos="200" w:val="left"/>
        </w:tabs>
        <w:rPr>
          <w:sz w:val="20"/>
          <w:szCs w:val="20"/>
          <w:color w:val="auto"/>
        </w:rPr>
      </w:pPr>
      <w:r>
        <w:rPr>
          <w:rFonts w:ascii="Courier New" w:cs="Courier New" w:eastAsia="Courier New" w:hAnsi="Courier New"/>
          <w:sz w:val="18"/>
          <w:szCs w:val="18"/>
          <w:color w:val="auto"/>
        </w:rPr>
        <w:t>Dr. Roderick F. McPhee</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393"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Fred C. Weyand</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6100" w:val="left"/>
        </w:tabs>
        <w:rPr>
          <w:sz w:val="20"/>
          <w:szCs w:val="20"/>
          <w:color w:val="auto"/>
        </w:rPr>
      </w:pPr>
      <w:r>
        <w:rPr>
          <w:rFonts w:ascii="Courier New" w:cs="Courier New" w:eastAsia="Courier New" w:hAnsi="Courier New"/>
          <w:sz w:val="18"/>
          <w:szCs w:val="18"/>
          <w:color w:val="auto"/>
        </w:rPr>
        <w:t>Fred C. Weyand</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200" w:lineRule="exact"/>
        <w:rPr>
          <w:sz w:val="20"/>
          <w:szCs w:val="20"/>
          <w:color w:val="auto"/>
        </w:rPr>
      </w:pPr>
    </w:p>
    <w:p>
      <w:pPr>
        <w:spacing w:after="0" w:line="396"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Robert C. Wo</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6100" w:val="left"/>
        </w:tabs>
        <w:rPr>
          <w:sz w:val="20"/>
          <w:szCs w:val="20"/>
          <w:color w:val="auto"/>
        </w:rPr>
      </w:pPr>
      <w:r>
        <w:rPr>
          <w:rFonts w:ascii="Courier New" w:cs="Courier New" w:eastAsia="Courier New" w:hAnsi="Courier New"/>
          <w:sz w:val="18"/>
          <w:szCs w:val="18"/>
          <w:color w:val="auto"/>
        </w:rPr>
        <w:t>Robert C. Wo</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200" w:lineRule="exact"/>
        <w:rPr>
          <w:sz w:val="20"/>
          <w:szCs w:val="20"/>
          <w:color w:val="auto"/>
        </w:rPr>
      </w:pPr>
    </w:p>
    <w:p>
      <w:pPr>
        <w:spacing w:after="0" w:line="396"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Roy E. King, Jr.</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Roy E. King, Jr.</w:t>
      </w:r>
    </w:p>
    <w:p>
      <w:pPr>
        <w:ind w:left="3580"/>
        <w:spacing w:after="0" w:line="237" w:lineRule="auto"/>
        <w:rPr>
          <w:sz w:val="20"/>
          <w:szCs w:val="20"/>
          <w:color w:val="auto"/>
        </w:rPr>
      </w:pPr>
      <w:r>
        <w:rPr>
          <w:rFonts w:ascii="Courier New" w:cs="Courier New" w:eastAsia="Courier New" w:hAnsi="Courier New"/>
          <w:sz w:val="18"/>
          <w:szCs w:val="18"/>
          <w:color w:val="auto"/>
        </w:rPr>
        <w:t>Member of the Profit Sharing</w:t>
      </w:r>
    </w:p>
    <w:p>
      <w:pPr>
        <w:ind w:left="3580"/>
        <w:spacing w:after="0" w:line="238" w:lineRule="auto"/>
        <w:rPr>
          <w:sz w:val="20"/>
          <w:szCs w:val="20"/>
          <w:color w:val="auto"/>
        </w:rPr>
      </w:pPr>
      <w:r>
        <w:rPr>
          <w:rFonts w:ascii="Courier New" w:cs="Courier New" w:eastAsia="Courier New" w:hAnsi="Courier New"/>
          <w:sz w:val="18"/>
          <w:szCs w:val="18"/>
          <w:color w:val="auto"/>
        </w:rPr>
        <w:t>Committee</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18</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200" w:lineRule="exact"/>
        <w:rPr>
          <w:sz w:val="20"/>
          <w:szCs w:val="20"/>
          <w:color w:val="auto"/>
        </w:rPr>
      </w:pPr>
    </w:p>
    <w:p>
      <w:pPr>
        <w:spacing w:after="0" w:line="396"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William B. Johnstone, III</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William B. Johnstone, III</w:t>
      </w:r>
    </w:p>
    <w:p>
      <w:pPr>
        <w:ind w:left="3580"/>
        <w:spacing w:after="0" w:line="237" w:lineRule="auto"/>
        <w:rPr>
          <w:sz w:val="20"/>
          <w:szCs w:val="20"/>
          <w:color w:val="auto"/>
        </w:rPr>
      </w:pPr>
      <w:r>
        <w:rPr>
          <w:rFonts w:ascii="Courier New" w:cs="Courier New" w:eastAsia="Courier New" w:hAnsi="Courier New"/>
          <w:sz w:val="18"/>
          <w:szCs w:val="18"/>
          <w:color w:val="auto"/>
        </w:rPr>
        <w:t>Member of the Profit Sharing</w:t>
      </w:r>
    </w:p>
    <w:p>
      <w:pPr>
        <w:ind w:left="3580"/>
        <w:spacing w:after="0" w:line="238" w:lineRule="auto"/>
        <w:rPr>
          <w:sz w:val="20"/>
          <w:szCs w:val="20"/>
          <w:color w:val="auto"/>
        </w:rPr>
      </w:pPr>
      <w:r>
        <w:rPr>
          <w:rFonts w:ascii="Courier New" w:cs="Courier New" w:eastAsia="Courier New" w:hAnsi="Courier New"/>
          <w:sz w:val="18"/>
          <w:szCs w:val="18"/>
          <w:color w:val="auto"/>
        </w:rPr>
        <w:t>Committee</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19</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his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200" w:lineRule="exact"/>
        <w:rPr>
          <w:sz w:val="20"/>
          <w:szCs w:val="20"/>
          <w:color w:val="auto"/>
        </w:rPr>
      </w:pPr>
    </w:p>
    <w:p>
      <w:pPr>
        <w:spacing w:after="0" w:line="396"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Corbett A.K. Kalama</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Corbett A.K. Kalama</w:t>
      </w:r>
    </w:p>
    <w:p>
      <w:pPr>
        <w:ind w:left="3580"/>
        <w:spacing w:after="0" w:line="237" w:lineRule="auto"/>
        <w:rPr>
          <w:sz w:val="20"/>
          <w:szCs w:val="20"/>
          <w:color w:val="auto"/>
        </w:rPr>
      </w:pPr>
      <w:r>
        <w:rPr>
          <w:rFonts w:ascii="Courier New" w:cs="Courier New" w:eastAsia="Courier New" w:hAnsi="Courier New"/>
          <w:sz w:val="18"/>
          <w:szCs w:val="18"/>
          <w:color w:val="auto"/>
        </w:rPr>
        <w:t>Member of the Profit Sharing</w:t>
      </w:r>
    </w:p>
    <w:p>
      <w:pPr>
        <w:ind w:left="3580"/>
        <w:spacing w:after="0" w:line="238" w:lineRule="auto"/>
        <w:rPr>
          <w:sz w:val="20"/>
          <w:szCs w:val="20"/>
          <w:color w:val="auto"/>
        </w:rPr>
      </w:pPr>
      <w:r>
        <w:rPr>
          <w:rFonts w:ascii="Courier New" w:cs="Courier New" w:eastAsia="Courier New" w:hAnsi="Courier New"/>
          <w:sz w:val="18"/>
          <w:szCs w:val="18"/>
          <w:color w:val="auto"/>
        </w:rPr>
        <w:t>Committee</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20</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her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200" w:lineRule="exact"/>
        <w:rPr>
          <w:sz w:val="20"/>
          <w:szCs w:val="20"/>
          <w:color w:val="auto"/>
        </w:rPr>
      </w:pPr>
    </w:p>
    <w:p>
      <w:pPr>
        <w:spacing w:after="0" w:line="396"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Vera V. Thomas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Vera V.Thomas</w:t>
      </w:r>
    </w:p>
    <w:p>
      <w:pPr>
        <w:ind w:left="3580"/>
        <w:spacing w:after="0" w:line="237" w:lineRule="auto"/>
        <w:rPr>
          <w:sz w:val="20"/>
          <w:szCs w:val="20"/>
          <w:color w:val="auto"/>
        </w:rPr>
      </w:pPr>
      <w:r>
        <w:rPr>
          <w:rFonts w:ascii="Courier New" w:cs="Courier New" w:eastAsia="Courier New" w:hAnsi="Courier New"/>
          <w:sz w:val="18"/>
          <w:szCs w:val="18"/>
          <w:color w:val="auto"/>
        </w:rPr>
        <w:t>Member of the Profit Sharing</w:t>
      </w:r>
    </w:p>
    <w:p>
      <w:pPr>
        <w:ind w:left="3580"/>
        <w:spacing w:after="0" w:line="238" w:lineRule="auto"/>
        <w:rPr>
          <w:sz w:val="20"/>
          <w:szCs w:val="20"/>
          <w:color w:val="auto"/>
        </w:rPr>
      </w:pPr>
      <w:r>
        <w:rPr>
          <w:rFonts w:ascii="Courier New" w:cs="Courier New" w:eastAsia="Courier New" w:hAnsi="Courier New"/>
          <w:sz w:val="18"/>
          <w:szCs w:val="18"/>
          <w:color w:val="auto"/>
        </w:rPr>
        <w:t>Committee</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21</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in the capacity indicated below, hereby constitutes and appoints WALTER A. DODS, JR., JOHN K. TSUI, and HOWARD H. KARR, of Honolulu, Hawaii, and each of them (with full power to each of them to act alone), her true and lawful attorneys and agents to do any and all acts and things and to execute any and all instruments that said attorneys and agents, or any of them, may deem necessary or advisable or may require to enable FIRST HAWAIIAN, INC. (hereinafter the "Company") to comply with the Securities Act of 1933, as amended, and any rules, regulations, or requirements of the Securities and Exchange Commission in respect thereof, in connection with the registration under the Securities Act of 1933 of 1,000,000 shares of common stock of the Company under S.E.C. Registration Statement on Form S-8 for purchase by the First Hawaiian, Inc. Profit Sharing Plan and the First Hawaiian, Inc. Future Plan, including specifically, but without limiting the generality of the foregoing, power and authority to sign the name of the undersigned in the capacity indicated below to the registration statement and any and all amendments and supplements to said registration statement (including specifically, and without limitation to the generality of the foregoing, any amendment or amendments changing the number of shares of common stock) and to any instruments or documents filed as a part of or in connection with said amendments or supplements to said registration statement, and the undersigned hereby ratifies and confirms all that said attorneys and agents, or any of them, shall do or cause to be done by virtue thereof.</w:t>
      </w:r>
    </w:p>
    <w:p>
      <w:pPr>
        <w:spacing w:after="0" w:line="200" w:lineRule="exact"/>
        <w:rPr>
          <w:sz w:val="20"/>
          <w:szCs w:val="20"/>
          <w:color w:val="auto"/>
        </w:rPr>
      </w:pPr>
    </w:p>
    <w:p>
      <w:pPr>
        <w:spacing w:after="0" w:line="396"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as of this 19th day of February, 1997.</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Kathryn Okazaki</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Kathryn Okazaki</w:t>
      </w:r>
    </w:p>
    <w:p>
      <w:pPr>
        <w:ind w:left="3580"/>
        <w:spacing w:after="0" w:line="237" w:lineRule="auto"/>
        <w:rPr>
          <w:sz w:val="20"/>
          <w:szCs w:val="20"/>
          <w:color w:val="auto"/>
        </w:rPr>
      </w:pPr>
      <w:r>
        <w:rPr>
          <w:rFonts w:ascii="Courier New" w:cs="Courier New" w:eastAsia="Courier New" w:hAnsi="Courier New"/>
          <w:sz w:val="18"/>
          <w:szCs w:val="18"/>
          <w:color w:val="auto"/>
        </w:rPr>
        <w:t>Member of the Profit Sharing</w:t>
      </w:r>
    </w:p>
    <w:p>
      <w:pPr>
        <w:ind w:left="3580"/>
        <w:spacing w:after="0" w:line="238" w:lineRule="auto"/>
        <w:rPr>
          <w:sz w:val="20"/>
          <w:szCs w:val="20"/>
          <w:color w:val="auto"/>
        </w:rPr>
      </w:pPr>
      <w:r>
        <w:rPr>
          <w:rFonts w:ascii="Courier New" w:cs="Courier New" w:eastAsia="Courier New" w:hAnsi="Courier New"/>
          <w:sz w:val="18"/>
          <w:szCs w:val="18"/>
          <w:color w:val="auto"/>
        </w:rPr>
        <w:t>Committee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808"/>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23"/>
    </w:lvl>
  </w:abstractNum>
  <w:abstractNum w:abstractNumId="5">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5BD062C2"/>
    <w:multiLevelType w:val="hybridMultilevel"/>
    <w:lvl w:ilvl="0">
      <w:lvlJc w:val="left"/>
      <w:lvlText w:val="%1"/>
      <w:numFmt w:val="decimal"/>
      <w:start w:val="1"/>
    </w:lvl>
    <w:lvl w:ilvl="1">
      <w:lvlJc w:val="left"/>
      <w:lvlText w:val="(%2)"/>
      <w:numFmt w:val="lowerRoman"/>
      <w:start w:val="3"/>
    </w:lvl>
  </w:abstractNum>
  <w:abstractNum w:abstractNumId="7">
    <w:nsid w:val="12200854"/>
    <w:multiLevelType w:val="hybridMultilevel"/>
    <w:lvl w:ilvl="0">
      <w:lvlJc w:val="left"/>
      <w:lvlText w:val="(%1)"/>
      <w:numFmt w:val="decimal"/>
      <w:start w:val="2"/>
    </w:lvl>
    <w:lvl w:ilvl="1">
      <w:lvlJc w:val="left"/>
      <w:lvlText w:val="%2"/>
      <w:numFmt w:val="lowerRoman"/>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2019-12-13T01:01:13Z</dcterms:created>
  <dcterms:modified xsi:type="dcterms:W3CDTF">2019-12-13T01:01:13Z</dcterms:modified>
</cp:coreProperties>
</file>