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522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522210"/>
                    </a:xfrm>
                    <a:prstGeom prst="rect">
                      <a:avLst/>
                    </a:prstGeom>
                    <a:noFill/>
                  </pic:spPr>
                </pic:pic>
              </a:graphicData>
            </a:graphic>
          </wp:anchor>
        </w:drawing>
      </w:r>
    </w:p>
    <w:p>
      <w:pPr>
        <w:spacing w:after="0" w:line="1222" w:lineRule="exact"/>
        <w:rPr>
          <w:sz w:val="24"/>
          <w:szCs w:val="24"/>
          <w:color w:val="auto"/>
        </w:rPr>
      </w:pPr>
    </w:p>
    <w:p>
      <w:pPr>
        <w:sectPr>
          <w:pgSz w:w="11900" w:h="1689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 Craig Scott</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FIRST HAWAIIAN,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FHB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09/13/2019</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FIRST HAWAIIAN, INC.</w:t>
            </w:r>
          </w:p>
        </w:tc>
        <w:tc>
          <w:tcPr>
            <w:tcW w:w="134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999 BISHOP STREET, 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Robert</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09/13/2019</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(1)</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Ching Wo</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1985</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48,195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 C Wo</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Betty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Ching Wo</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1985</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Betty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Ching Wo</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1985 GST-</w:t>
            </w:r>
          </w:p>
        </w:tc>
        <w:tc>
          <w:tcPr>
            <w:tcW w:w="0" w:type="dxa"/>
            <w:vAlign w:val="bottom"/>
          </w:tcPr>
          <w:p>
            <w:pPr>
              <w:spacing w:after="0"/>
              <w:rPr>
                <w:sz w:val="1"/>
                <w:szCs w:val="1"/>
                <w:color w:val="auto"/>
              </w:rPr>
            </w:pPr>
          </w:p>
        </w:tc>
      </w:tr>
    </w:tbl>
    <w:p>
      <w:pPr>
        <w:ind w:left="10060"/>
        <w:spacing w:after="0"/>
        <w:rPr>
          <w:sz w:val="20"/>
          <w:szCs w:val="20"/>
          <w:color w:val="auto"/>
        </w:rPr>
      </w:pPr>
      <w:r>
        <w:rPr>
          <w:rFonts w:ascii="Times New Roman" w:cs="Times New Roman" w:eastAsia="Times New Roman" w:hAnsi="Times New Roman"/>
          <w:sz w:val="17"/>
          <w:szCs w:val="17"/>
          <w:color w:val="0000FF"/>
        </w:rPr>
        <w:t>Exempt</w:t>
      </w:r>
    </w:p>
    <w:p>
      <w:pPr>
        <w:spacing w:after="0" w:line="1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Marital</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total of 1,000 shares of common stock held directly by the Robert Ching Wo Trust 1985 (the "Trust"), of which the reporting person became a co-trustee on September 13, 2019 upon the death of the grantor of the Trust. The reporting person and members of his immediate family are the sole beneficiaries of the Trust. These securities were inadvertently omitted from all Form 4s filed by the reporting person after September 13, 2019, and the amounts of securities reported as beneficially owned in such Form 4s should be deemed to be adjusted accordingly.</w:t>
      </w:r>
    </w:p>
    <w:p>
      <w:pPr>
        <w:spacing w:after="0" w:line="2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the reporting person's pecuniary interest in such securities, and this report shall not be deemed an admission that the reporting person is the beneficial owner of such securities for purposes of Section 16 or for any other purpose.</w:t>
      </w:r>
    </w:p>
    <w:p>
      <w:pPr>
        <w:sectPr>
          <w:pgSz w:w="11900" w:h="1689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Lisa Kamibayashi as</w:t>
            </w:r>
          </w:p>
        </w:tc>
        <w:tc>
          <w:tcPr>
            <w:tcW w:w="5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06/30/2025</w:t>
            </w:r>
          </w:p>
        </w:tc>
      </w:tr>
    </w:tbl>
    <w:p>
      <w:pPr>
        <w:spacing w:after="0" w:line="1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Scott 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ectPr>
          <w:pgSz w:w="11900" w:h="1689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5810" TargetMode="External"/><Relationship Id="rId14"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2025-06-30T18:03:12Z</dcterms:created>
  <dcterms:modified xsi:type="dcterms:W3CDTF">2025-06-30T18:03:12Z</dcterms:modified>
</cp:coreProperties>
</file>