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4242026_070410.xml.htm"/>
      <w:bookmarkStart w:id="1" w:name="ksform404242026_0704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Mugiishi Mark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FIRST HAWAIIAN,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999 BISHOP STREET, 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HONOLULU</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96813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HAWAIIAN, INC.</w:t>
              </w:r>
            </w:hyperlink>
            <w:r>
              <w:rPr/>
              <w:t xml:space="preserve"> [ </w:t>
            </w:r>
            <w:r>
              <w:rPr>
                <w:rFonts w:ascii="Times;serif" w:hAnsi="Times;serif"/>
                <w:color w:val="0000FF"/>
                <w:sz w:val="24"/>
                <w:shd w:fill="FFFFFF" w:val="clear"/>
              </w:rPr>
              <w:t>FHB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2,613</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13,574</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that will vest on the earlier of (a) April 22, 2027, (b) the date of First Hawaiian, Inc.'s 2027 annual meeting of stockholders or (c) a change in control of First Hawaiian, Inc., subject to continued service on the First Hawaiian, Inc. Board of Directors through the vesting date, and will settle in shares of Common Stock on a one-for-one basis within 30 days of vesting.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Kamibayashi as Attorney-In-Fact for Mark M. Mugiishi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6598" TargetMode="External"/><Relationship Id="rId5" Type="http://schemas.openxmlformats.org/officeDocument/2006/relationships/hyperlink" Target="http://www.sec.gov/cgi-bin/browse-edgar?action=getcompany&amp;CIK=00000363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3414</Characters>
  <CharactersWithSpaces>3993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