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14"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4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154"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SCHEDULE 14A</w:t>
      </w:r>
    </w:p>
    <w:p>
      <w:pPr>
        <w:spacing w:after="0" w:line="171"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Proxy Statement Pursuant to Section 14(a) of</w:t>
      </w:r>
    </w:p>
    <w:p>
      <w:pPr>
        <w:spacing w:after="0" w:line="36"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the Securities Exchange Act of 1934 (Amendment No.                     )</w:t>
      </w:r>
    </w:p>
    <w:p>
      <w:pPr>
        <w:spacing w:after="0" w:line="13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71"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52"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47625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57"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(Name of Registrant as Specified in its Charter)</w:t>
      </w:r>
    </w:p>
    <w:p>
      <w:pPr>
        <w:spacing w:after="0" w:line="17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8" w:lineRule="exact"/>
        <w:rPr>
          <w:sz w:val="24"/>
          <w:szCs w:val="24"/>
          <w:color w:val="auto"/>
        </w:rPr>
      </w:pPr>
    </w:p>
    <w:p>
      <w:pPr>
        <w:ind w:left="24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1"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MS PGothic" w:cs="MS PGothic" w:eastAsia="MS PGothic" w:hAnsi="MS PGothic"/>
          <w:sz w:val="18"/>
          <w:szCs w:val="18"/>
          <w:color w:val="auto"/>
        </w:rPr>
      </w:pPr>
    </w:p>
    <w:p>
      <w:pPr>
        <w:ind w:left="1620" w:right="779" w:hanging="360"/>
        <w:spacing w:after="0" w:line="318" w:lineRule="auto"/>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2968625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-81280</wp:posOffset>
            </wp:positionV>
            <wp:extent cx="6939280" cy="890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9280" cy="89020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313055</wp:posOffset>
            </wp:positionV>
            <wp:extent cx="631761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76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COMPANY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00" w:right="320" w:hanging="314"/>
        <w:spacing w:after="0" w:line="238" w:lineRule="auto"/>
        <w:tabs>
          <w:tab w:leader="none" w:pos="4300" w:val="left"/>
        </w:tabs>
        <w:numPr>
          <w:ilvl w:val="0"/>
          <w:numId w:val="6"/>
        </w:numPr>
        <w:rPr>
          <w:rFonts w:ascii="Arial" w:cs="Arial" w:eastAsia="Arial" w:hAnsi="Arial"/>
          <w:sz w:val="31"/>
          <w:szCs w:val="31"/>
          <w:color w:val="auto"/>
          <w:vertAlign w:val="superscript"/>
        </w:rPr>
      </w:pPr>
      <w:r>
        <w:rPr>
          <w:rFonts w:ascii="Arial" w:cs="Arial" w:eastAsia="Arial" w:hAnsi="Arial"/>
          <w:sz w:val="16"/>
          <w:szCs w:val="16"/>
          <w:color w:val="auto"/>
        </w:rPr>
        <w:t>First Hawaiian, Inc. (NASDAQ: FHB) is a bank holding company, incorporated in the State of Delaware and headquartered in Honolulu, Hawaii. Its wholly owned bank subsidiary, First Hawaiian Bank (</w:t>
      </w:r>
      <w:r>
        <w:rPr>
          <w:rFonts w:ascii="Arial" w:cs="Arial" w:eastAsia="Arial" w:hAnsi="Arial"/>
          <w:sz w:val="16"/>
          <w:szCs w:val="16"/>
          <w:color w:val="BF5B5A"/>
        </w:rPr>
        <w:t>www.fhb.com</w:t>
      </w:r>
      <w:r>
        <w:rPr>
          <w:rFonts w:ascii="Arial" w:cs="Arial" w:eastAsia="Arial" w:hAnsi="Arial"/>
          <w:sz w:val="16"/>
          <w:szCs w:val="16"/>
          <w:color w:val="auto"/>
        </w:rPr>
        <w:t>), founded in 1858, is Hawaii’s oldest financial institution. As of December 31, 2023, FHB was the largest bank in Hawaii in terms of total assets, loans and leases, deposits and net income. The Bank has branches located throughout the State of Hawaii, Guam and Saipan, and offers a comprehensive suite of banking services to consumer and commercial customers including loans, deposit products, wealth management, insurance, trust, retirement planning, credit card and merchant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-1317625</wp:posOffset>
            </wp:positionV>
            <wp:extent cx="2134235" cy="5229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5229225"/>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6"/>
          <w:szCs w:val="16"/>
          <w:color w:val="auto"/>
        </w:rPr>
        <w:t>services.</w:t>
      </w:r>
    </w:p>
    <w:p>
      <w:pPr>
        <w:spacing w:after="0" w:line="106" w:lineRule="exact"/>
        <w:rPr>
          <w:sz w:val="20"/>
          <w:szCs w:val="20"/>
          <w:color w:val="auto"/>
        </w:rPr>
      </w:pPr>
    </w:p>
    <w:p>
      <w:pPr>
        <w:ind w:left="420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2540</wp:posOffset>
            </wp:positionV>
            <wp:extent cx="36429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2995" cy="17145"/>
                    </a:xfrm>
                    <a:prstGeom prst="rect">
                      <a:avLst/>
                    </a:prstGeom>
                    <a:noFill/>
                  </pic:spPr>
                </pic:pic>
              </a:graphicData>
            </a:graphic>
          </wp:anchor>
        </w:drawing>
      </w:r>
    </w:p>
    <w:p>
      <w:pPr>
        <w:spacing w:after="0" w:line="216" w:lineRule="exact"/>
        <w:rPr>
          <w:sz w:val="20"/>
          <w:szCs w:val="20"/>
          <w:color w:val="auto"/>
        </w:rPr>
      </w:pPr>
    </w:p>
    <w:p>
      <w:pPr>
        <w:ind w:left="6200"/>
        <w:spacing w:after="0"/>
        <w:rPr>
          <w:sz w:val="20"/>
          <w:szCs w:val="20"/>
          <w:color w:val="auto"/>
        </w:rPr>
      </w:pPr>
      <w:r>
        <w:rPr>
          <w:rFonts w:ascii="Arial" w:cs="Arial" w:eastAsia="Arial" w:hAnsi="Arial"/>
          <w:sz w:val="20"/>
          <w:szCs w:val="20"/>
          <w:b w:val="1"/>
          <w:bCs w:val="1"/>
          <w:color w:val="auto"/>
        </w:rPr>
        <w:t>2023 AT-A-GLANCE</w:t>
      </w:r>
    </w:p>
    <w:p>
      <w:pPr>
        <w:spacing w:after="0" w:line="57" w:lineRule="exact"/>
        <w:rPr>
          <w:sz w:val="20"/>
          <w:szCs w:val="20"/>
          <w:color w:val="auto"/>
        </w:rPr>
      </w:pPr>
    </w:p>
    <w:tbl>
      <w:tblPr>
        <w:tblLayout w:type="fixed"/>
        <w:tblInd w:w="4200" w:type="dxa"/>
        <w:tblCellMar>
          <w:top w:w="0" w:type="dxa"/>
          <w:left w:w="0" w:type="dxa"/>
          <w:bottom w:w="0" w:type="dxa"/>
          <w:right w:w="0" w:type="dxa"/>
        </w:tblCellMar>
      </w:tblPr>
      <w:tr>
        <w:trPr>
          <w:trHeight w:val="47"/>
        </w:trPr>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vMerge w:val="restart"/>
          </w:tcPr>
          <w:p>
            <w:pPr>
              <w:ind w:left="20"/>
              <w:spacing w:after="0"/>
              <w:rPr>
                <w:sz w:val="20"/>
                <w:szCs w:val="20"/>
                <w:color w:val="auto"/>
              </w:rPr>
            </w:pPr>
            <w:r>
              <w:rPr>
                <w:rFonts w:ascii="Arial" w:cs="Arial" w:eastAsia="Arial" w:hAnsi="Arial"/>
                <w:sz w:val="23"/>
                <w:szCs w:val="23"/>
                <w:b w:val="1"/>
                <w:bCs w:val="1"/>
                <w:color w:val="FEFEFE"/>
              </w:rPr>
              <w:t>​</w:t>
            </w:r>
          </w:p>
        </w:tc>
        <w:tc>
          <w:tcPr>
            <w:tcW w:w="0" w:type="dxa"/>
            <w:vAlign w:val="bottom"/>
          </w:tcPr>
          <w:p>
            <w:pPr>
              <w:spacing w:after="0"/>
              <w:rPr>
                <w:sz w:val="1"/>
                <w:szCs w:val="1"/>
                <w:color w:val="auto"/>
              </w:rPr>
            </w:pPr>
          </w:p>
        </w:tc>
      </w:tr>
      <w:tr>
        <w:trPr>
          <w:trHeight w:val="364"/>
        </w:trPr>
        <w:tc>
          <w:tcPr>
            <w:tcW w:w="1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80" w:type="dxa"/>
            <w:vAlign w:val="bottom"/>
          </w:tcPr>
          <w:p>
            <w:pPr>
              <w:spacing w:after="0"/>
              <w:rPr>
                <w:sz w:val="20"/>
                <w:szCs w:val="20"/>
                <w:color w:val="auto"/>
              </w:rPr>
            </w:pPr>
            <w:r>
              <w:rPr>
                <w:rFonts w:ascii="Arial" w:cs="Arial" w:eastAsia="Arial" w:hAnsi="Arial"/>
                <w:sz w:val="23"/>
                <w:szCs w:val="23"/>
                <w:b w:val="1"/>
                <w:bCs w:val="1"/>
                <w:color w:val="FEFEFE"/>
              </w:rPr>
              <w:t>$235.0M</w:t>
            </w:r>
          </w:p>
        </w:tc>
        <w:tc>
          <w:tcPr>
            <w:tcW w:w="220" w:type="dxa"/>
            <w:vAlign w:val="bottom"/>
            <w:shd w:val="clear" w:color="auto" w:fill="FEFEFE"/>
          </w:tcPr>
          <w:p>
            <w:pPr>
              <w:ind w:left="20"/>
              <w:spacing w:after="0"/>
              <w:rPr>
                <w:sz w:val="20"/>
                <w:szCs w:val="20"/>
                <w:color w:val="auto"/>
              </w:rPr>
            </w:pPr>
            <w:r>
              <w:rPr>
                <w:rFonts w:ascii="Arial" w:cs="Arial" w:eastAsia="Arial" w:hAnsi="Arial"/>
                <w:sz w:val="23"/>
                <w:szCs w:val="23"/>
                <w:b w:val="1"/>
                <w:bCs w:val="1"/>
                <w:color w:val="FEFEFE"/>
              </w:rPr>
              <w:t>​</w:t>
            </w:r>
          </w:p>
        </w:tc>
        <w:tc>
          <w:tcPr>
            <w:tcW w:w="10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00" w:type="dxa"/>
            <w:vAlign w:val="bottom"/>
          </w:tcPr>
          <w:p>
            <w:pPr>
              <w:ind w:left="20"/>
              <w:spacing w:after="0"/>
              <w:rPr>
                <w:sz w:val="20"/>
                <w:szCs w:val="20"/>
                <w:color w:val="auto"/>
              </w:rPr>
            </w:pPr>
            <w:r>
              <w:rPr>
                <w:rFonts w:ascii="Arial" w:cs="Arial" w:eastAsia="Arial" w:hAnsi="Arial"/>
                <w:sz w:val="23"/>
                <w:szCs w:val="23"/>
                <w:b w:val="1"/>
                <w:bCs w:val="1"/>
                <w:color w:val="FEFEFE"/>
              </w:rPr>
              <w:t>$14.4B</w:t>
            </w:r>
          </w:p>
        </w:tc>
        <w:tc>
          <w:tcPr>
            <w:tcW w:w="220" w:type="dxa"/>
            <w:vAlign w:val="bottom"/>
            <w:shd w:val="clear" w:color="auto" w:fill="FEFEFE"/>
          </w:tcPr>
          <w:p>
            <w:pPr>
              <w:spacing w:after="0"/>
              <w:rPr>
                <w:sz w:val="20"/>
                <w:szCs w:val="20"/>
                <w:color w:val="auto"/>
              </w:rPr>
            </w:pPr>
            <w:r>
              <w:rPr>
                <w:rFonts w:ascii="Arial" w:cs="Arial" w:eastAsia="Arial" w:hAnsi="Arial"/>
                <w:sz w:val="23"/>
                <w:szCs w:val="23"/>
                <w:b w:val="1"/>
                <w:bCs w:val="1"/>
                <w:color w:val="FEFEFE"/>
              </w:rPr>
              <w:t>​</w:t>
            </w:r>
          </w:p>
        </w:tc>
        <w:tc>
          <w:tcPr>
            <w:tcW w:w="80" w:type="dxa"/>
            <w:vAlign w:val="bottom"/>
          </w:tcPr>
          <w:p>
            <w:pPr>
              <w:spacing w:after="0"/>
              <w:rPr>
                <w:sz w:val="20"/>
                <w:szCs w:val="20"/>
                <w:color w:val="auto"/>
              </w:rPr>
            </w:pPr>
            <w:r>
              <w:rPr>
                <w:rFonts w:ascii="Arial" w:cs="Arial" w:eastAsia="Arial" w:hAnsi="Arial"/>
                <w:sz w:val="23"/>
                <w:szCs w:val="23"/>
                <w:b w:val="1"/>
                <w:bCs w:val="1"/>
                <w:color w:val="FEFEFE"/>
              </w:rPr>
              <w:t>​</w:t>
            </w:r>
          </w:p>
        </w:tc>
        <w:tc>
          <w:tcPr>
            <w:tcW w:w="1220" w:type="dxa"/>
            <w:vAlign w:val="bottom"/>
          </w:tcPr>
          <w:p>
            <w:pPr>
              <w:ind w:left="40"/>
              <w:spacing w:after="0"/>
              <w:rPr>
                <w:sz w:val="20"/>
                <w:szCs w:val="20"/>
                <w:color w:val="auto"/>
              </w:rPr>
            </w:pPr>
            <w:r>
              <w:rPr>
                <w:rFonts w:ascii="Arial" w:cs="Arial" w:eastAsia="Arial" w:hAnsi="Arial"/>
                <w:sz w:val="23"/>
                <w:szCs w:val="23"/>
                <w:b w:val="1"/>
                <w:bCs w:val="1"/>
                <w:color w:val="FEFEFE"/>
              </w:rPr>
              <w:t>59.5%</w:t>
            </w:r>
          </w:p>
        </w:tc>
        <w:tc>
          <w:tcPr>
            <w:tcW w:w="200" w:type="dxa"/>
            <w:vAlign w:val="bottom"/>
            <w:shd w:val="clear" w:color="auto" w:fill="FEFEFE"/>
          </w:tcPr>
          <w:p>
            <w:pPr>
              <w:spacing w:after="0"/>
              <w:rPr>
                <w:sz w:val="20"/>
                <w:szCs w:val="20"/>
                <w:color w:val="auto"/>
              </w:rPr>
            </w:pPr>
            <w:r>
              <w:rPr>
                <w:rFonts w:ascii="Arial" w:cs="Arial" w:eastAsia="Arial" w:hAnsi="Arial"/>
                <w:sz w:val="23"/>
                <w:szCs w:val="23"/>
                <w:b w:val="1"/>
                <w:bCs w:val="1"/>
                <w:color w:val="FEFEFE"/>
              </w:rPr>
              <w:t>​</w:t>
            </w:r>
          </w:p>
        </w:tc>
        <w:tc>
          <w:tcPr>
            <w:tcW w:w="10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00" w:type="dxa"/>
            <w:vAlign w:val="bottom"/>
          </w:tcPr>
          <w:p>
            <w:pPr>
              <w:ind w:left="20"/>
              <w:spacing w:after="0"/>
              <w:rPr>
                <w:sz w:val="20"/>
                <w:szCs w:val="20"/>
                <w:color w:val="auto"/>
              </w:rPr>
            </w:pPr>
            <w:r>
              <w:rPr>
                <w:rFonts w:ascii="Arial" w:cs="Arial" w:eastAsia="Arial" w:hAnsi="Arial"/>
                <w:sz w:val="23"/>
                <w:szCs w:val="23"/>
                <w:b w:val="1"/>
                <w:bCs w:val="1"/>
                <w:color w:val="FEFEFE"/>
              </w:rPr>
              <w:t>$40M</w:t>
            </w:r>
          </w:p>
        </w:tc>
        <w:tc>
          <w:tcPr>
            <w:tcW w:w="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280" w:type="dxa"/>
            <w:vAlign w:val="bottom"/>
          </w:tcPr>
          <w:p>
            <w:pPr>
              <w:spacing w:after="0" w:line="102" w:lineRule="exact"/>
              <w:rPr>
                <w:sz w:val="20"/>
                <w:szCs w:val="20"/>
                <w:color w:val="auto"/>
              </w:rPr>
            </w:pPr>
            <w:r>
              <w:rPr>
                <w:rFonts w:ascii="Arial" w:cs="Arial" w:eastAsia="Arial" w:hAnsi="Arial"/>
                <w:sz w:val="11"/>
                <w:szCs w:val="11"/>
                <w:b w:val="1"/>
                <w:bCs w:val="1"/>
                <w:color w:val="auto"/>
              </w:rPr>
              <w:t> </w:t>
            </w:r>
          </w:p>
        </w:tc>
        <w:tc>
          <w:tcPr>
            <w:tcW w:w="220" w:type="dxa"/>
            <w:vAlign w:val="bottom"/>
            <w:shd w:val="clear" w:color="auto" w:fill="FEFEFE"/>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spacing w:after="0"/>
              <w:rPr>
                <w:sz w:val="10"/>
                <w:szCs w:val="10"/>
                <w:color w:val="auto"/>
              </w:rPr>
            </w:pPr>
          </w:p>
        </w:tc>
        <w:tc>
          <w:tcPr>
            <w:tcW w:w="220" w:type="dxa"/>
            <w:vAlign w:val="bottom"/>
            <w:shd w:val="clear" w:color="auto" w:fill="FEFEFE"/>
          </w:tcPr>
          <w:p>
            <w:pPr>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1220" w:type="dxa"/>
            <w:vAlign w:val="bottom"/>
          </w:tcPr>
          <w:p>
            <w:pPr>
              <w:spacing w:after="0"/>
              <w:rPr>
                <w:sz w:val="10"/>
                <w:szCs w:val="10"/>
                <w:color w:val="auto"/>
              </w:rPr>
            </w:pPr>
          </w:p>
        </w:tc>
        <w:tc>
          <w:tcPr>
            <w:tcW w:w="200" w:type="dxa"/>
            <w:vAlign w:val="bottom"/>
            <w:shd w:val="clear" w:color="auto" w:fill="FEFEFE"/>
          </w:tcPr>
          <w:p>
            <w:pPr>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spacing w:after="0"/>
              <w:rPr>
                <w:sz w:val="10"/>
                <w:szCs w:val="10"/>
                <w:color w:val="auto"/>
              </w:rPr>
            </w:pPr>
          </w:p>
        </w:tc>
        <w:tc>
          <w:tcPr>
            <w:tcW w:w="8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8"/>
        </w:trPr>
        <w:tc>
          <w:tcPr>
            <w:tcW w:w="12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28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22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200" w:type="dxa"/>
            <w:vAlign w:val="bottom"/>
          </w:tcPr>
          <w:p>
            <w:pPr>
              <w:spacing w:after="0"/>
              <w:rPr>
                <w:sz w:val="9"/>
                <w:szCs w:val="9"/>
                <w:color w:val="auto"/>
              </w:rPr>
            </w:pPr>
          </w:p>
        </w:tc>
        <w:tc>
          <w:tcPr>
            <w:tcW w:w="22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8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1220" w:type="dxa"/>
            <w:vAlign w:val="bottom"/>
          </w:tcPr>
          <w:p>
            <w:pPr>
              <w:spacing w:after="0"/>
              <w:rPr>
                <w:sz w:val="9"/>
                <w:szCs w:val="9"/>
                <w:color w:val="auto"/>
              </w:rPr>
            </w:pPr>
          </w:p>
        </w:tc>
        <w:tc>
          <w:tcPr>
            <w:tcW w:w="20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200" w:type="dxa"/>
            <w:vAlign w:val="bottom"/>
          </w:tcPr>
          <w:p>
            <w:pPr>
              <w:spacing w:after="0"/>
              <w:rPr>
                <w:sz w:val="9"/>
                <w:szCs w:val="9"/>
                <w:color w:val="auto"/>
              </w:rPr>
            </w:pPr>
          </w:p>
        </w:tc>
        <w:tc>
          <w:tcPr>
            <w:tcW w:w="8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0" w:type="dxa"/>
            <w:vAlign w:val="bottom"/>
          </w:tcPr>
          <w:p>
            <w:pPr>
              <w:spacing w:after="0"/>
              <w:rPr>
                <w:sz w:val="1"/>
                <w:szCs w:val="1"/>
                <w:color w:val="auto"/>
              </w:rPr>
            </w:pPr>
          </w:p>
        </w:tc>
      </w:tr>
      <w:tr>
        <w:trPr>
          <w:trHeight w:val="145"/>
        </w:trPr>
        <w:tc>
          <w:tcPr>
            <w:tcW w:w="1400" w:type="dxa"/>
            <w:vAlign w:val="bottom"/>
            <w:gridSpan w:val="2"/>
          </w:tcPr>
          <w:p>
            <w:pPr>
              <w:ind w:left="20"/>
              <w:spacing w:after="0" w:line="145" w:lineRule="exact"/>
              <w:rPr>
                <w:sz w:val="20"/>
                <w:szCs w:val="20"/>
                <w:color w:val="auto"/>
              </w:rPr>
            </w:pPr>
            <w:r>
              <w:rPr>
                <w:rFonts w:ascii="Arial" w:cs="Arial" w:eastAsia="Arial" w:hAnsi="Arial"/>
                <w:sz w:val="15"/>
                <w:szCs w:val="15"/>
                <w:color w:val="auto"/>
              </w:rPr>
              <w:t>​ Net income</w:t>
            </w:r>
          </w:p>
        </w:tc>
        <w:tc>
          <w:tcPr>
            <w:tcW w:w="220" w:type="dxa"/>
            <w:vAlign w:val="bottom"/>
          </w:tcPr>
          <w:p>
            <w:pPr>
              <w:ind w:left="20"/>
              <w:spacing w:after="0" w:line="145" w:lineRule="exact"/>
              <w:rPr>
                <w:sz w:val="20"/>
                <w:szCs w:val="20"/>
                <w:color w:val="auto"/>
              </w:rPr>
            </w:pPr>
            <w:r>
              <w:rPr>
                <w:rFonts w:ascii="Arial" w:cs="Arial" w:eastAsia="Arial" w:hAnsi="Arial"/>
                <w:sz w:val="15"/>
                <w:szCs w:val="15"/>
                <w:color w:val="auto"/>
              </w:rPr>
              <w:t>​</w:t>
            </w:r>
          </w:p>
        </w:tc>
        <w:tc>
          <w:tcPr>
            <w:tcW w:w="1300" w:type="dxa"/>
            <w:vAlign w:val="bottom"/>
            <w:gridSpan w:val="2"/>
          </w:tcPr>
          <w:p>
            <w:pPr>
              <w:ind w:left="20"/>
              <w:spacing w:after="0" w:line="145" w:lineRule="exact"/>
              <w:rPr>
                <w:sz w:val="20"/>
                <w:szCs w:val="20"/>
                <w:color w:val="auto"/>
              </w:rPr>
            </w:pPr>
            <w:r>
              <w:rPr>
                <w:rFonts w:ascii="Arial" w:cs="Arial" w:eastAsia="Arial" w:hAnsi="Arial"/>
                <w:sz w:val="15"/>
                <w:szCs w:val="15"/>
                <w:color w:val="auto"/>
              </w:rPr>
              <w:t>​ Loans and</w:t>
            </w:r>
          </w:p>
        </w:tc>
        <w:tc>
          <w:tcPr>
            <w:tcW w:w="220" w:type="dxa"/>
            <w:vAlign w:val="bottom"/>
          </w:tcPr>
          <w:p>
            <w:pPr>
              <w:spacing w:after="0" w:line="145" w:lineRule="exact"/>
              <w:rPr>
                <w:sz w:val="20"/>
                <w:szCs w:val="20"/>
                <w:color w:val="auto"/>
              </w:rPr>
            </w:pPr>
            <w:r>
              <w:rPr>
                <w:rFonts w:ascii="Arial" w:cs="Arial" w:eastAsia="Arial" w:hAnsi="Arial"/>
                <w:sz w:val="15"/>
                <w:szCs w:val="15"/>
                <w:color w:val="auto"/>
              </w:rPr>
              <w:t>​</w:t>
            </w:r>
          </w:p>
        </w:tc>
        <w:tc>
          <w:tcPr>
            <w:tcW w:w="1300" w:type="dxa"/>
            <w:vAlign w:val="bottom"/>
            <w:gridSpan w:val="2"/>
          </w:tcPr>
          <w:p>
            <w:pPr>
              <w:spacing w:after="0" w:line="145" w:lineRule="exact"/>
              <w:rPr>
                <w:sz w:val="20"/>
                <w:szCs w:val="20"/>
                <w:color w:val="auto"/>
              </w:rPr>
            </w:pPr>
            <w:r>
              <w:rPr>
                <w:rFonts w:ascii="Arial" w:cs="Arial" w:eastAsia="Arial" w:hAnsi="Arial"/>
                <w:sz w:val="15"/>
                <w:szCs w:val="15"/>
                <w:color w:val="auto"/>
              </w:rPr>
              <w:t>​ Maintained</w:t>
            </w:r>
          </w:p>
        </w:tc>
        <w:tc>
          <w:tcPr>
            <w:tcW w:w="200" w:type="dxa"/>
            <w:vAlign w:val="bottom"/>
          </w:tcPr>
          <w:p>
            <w:pPr>
              <w:spacing w:after="0" w:line="145" w:lineRule="exact"/>
              <w:rPr>
                <w:sz w:val="20"/>
                <w:szCs w:val="20"/>
                <w:color w:val="auto"/>
              </w:rPr>
            </w:pPr>
            <w:r>
              <w:rPr>
                <w:rFonts w:ascii="Arial" w:cs="Arial" w:eastAsia="Arial" w:hAnsi="Arial"/>
                <w:sz w:val="15"/>
                <w:szCs w:val="15"/>
                <w:color w:val="auto"/>
              </w:rPr>
              <w:t>​</w:t>
            </w:r>
          </w:p>
        </w:tc>
        <w:tc>
          <w:tcPr>
            <w:tcW w:w="1380" w:type="dxa"/>
            <w:vAlign w:val="bottom"/>
            <w:gridSpan w:val="3"/>
          </w:tcPr>
          <w:p>
            <w:pPr>
              <w:ind w:left="20"/>
              <w:spacing w:after="0" w:line="145" w:lineRule="exact"/>
              <w:rPr>
                <w:sz w:val="20"/>
                <w:szCs w:val="20"/>
                <w:color w:val="auto"/>
              </w:rPr>
            </w:pPr>
            <w:r>
              <w:rPr>
                <w:rFonts w:ascii="Arial" w:cs="Arial" w:eastAsia="Arial" w:hAnsi="Arial"/>
                <w:sz w:val="15"/>
                <w:szCs w:val="15"/>
                <w:color w:val="auto"/>
              </w:rPr>
              <w:t>​ Board-approved ​</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leases, up 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expense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$40M stock</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40"/>
              <w:spacing w:after="0" w:line="162" w:lineRule="exact"/>
              <w:rPr>
                <w:sz w:val="20"/>
                <w:szCs w:val="20"/>
                <w:color w:val="auto"/>
              </w:rPr>
            </w:pPr>
            <w:r>
              <w:rPr>
                <w:rFonts w:ascii="Arial" w:cs="Arial" w:eastAsia="Arial" w:hAnsi="Arial"/>
                <w:sz w:val="15"/>
                <w:szCs w:val="15"/>
                <w:color w:val="auto"/>
              </w:rPr>
              <w:t>discipline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0"/>
              <w:spacing w:after="0" w:line="162" w:lineRule="exact"/>
              <w:rPr>
                <w:sz w:val="20"/>
                <w:szCs w:val="20"/>
                <w:color w:val="auto"/>
              </w:rPr>
            </w:pPr>
            <w:r>
              <w:rPr>
                <w:rFonts w:ascii="Arial" w:cs="Arial" w:eastAsia="Arial" w:hAnsi="Arial"/>
                <w:sz w:val="15"/>
                <w:szCs w:val="15"/>
                <w:color w:val="auto"/>
              </w:rPr>
              <w:t>repurchase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program in 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-809625</wp:posOffset>
            </wp:positionV>
            <wp:extent cx="3771900" cy="814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0" cy="814705"/>
                    </a:xfrm>
                    <a:prstGeom prst="rect">
                      <a:avLst/>
                    </a:prstGeom>
                    <a:noFill/>
                  </pic:spPr>
                </pic:pic>
              </a:graphicData>
            </a:graphic>
          </wp:anchor>
        </w:drawing>
      </w:r>
    </w:p>
    <w:p>
      <w:pPr>
        <w:sectPr>
          <w:pgSz w:w="11900" w:h="16838" w:orient="portrait"/>
          <w:cols w:equalWidth="0" w:num="1">
            <w:col w:w="10220"/>
          </w:cols>
          <w:pgMar w:left="740" w:top="165" w:right="939" w:bottom="1440" w:gutter="0" w:footer="0" w:header="0"/>
        </w:sectPr>
      </w:pPr>
    </w:p>
    <w:p>
      <w:pPr>
        <w:spacing w:after="0" w:line="91" w:lineRule="exact"/>
        <w:rPr>
          <w:sz w:val="20"/>
          <w:szCs w:val="20"/>
          <w:color w:val="auto"/>
        </w:rPr>
      </w:pPr>
    </w:p>
    <w:tbl>
      <w:tblPr>
        <w:tblLayout w:type="fixed"/>
        <w:tblInd w:w="4200" w:type="dxa"/>
        <w:tblCellMar>
          <w:top w:w="0" w:type="dxa"/>
          <w:left w:w="0" w:type="dxa"/>
          <w:bottom w:w="0" w:type="dxa"/>
          <w:right w:w="0" w:type="dxa"/>
        </w:tblCellMar>
      </w:tblPr>
      <w:tr>
        <w:trPr>
          <w:trHeight w:val="23"/>
        </w:trPr>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65"/>
        </w:trPr>
        <w:tc>
          <w:tcPr>
            <w:tcW w:w="1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80" w:type="dxa"/>
            <w:vAlign w:val="bottom"/>
          </w:tcPr>
          <w:p>
            <w:pPr>
              <w:spacing w:after="0"/>
              <w:rPr>
                <w:sz w:val="20"/>
                <w:szCs w:val="20"/>
                <w:color w:val="auto"/>
              </w:rPr>
            </w:pPr>
            <w:r>
              <w:rPr>
                <w:rFonts w:ascii="Arial" w:cs="Arial" w:eastAsia="Arial" w:hAnsi="Arial"/>
                <w:sz w:val="23"/>
                <w:szCs w:val="23"/>
                <w:b w:val="1"/>
                <w:bCs w:val="1"/>
                <w:color w:val="FEFEFE"/>
              </w:rPr>
              <w:t>$1.84</w:t>
            </w:r>
          </w:p>
        </w:tc>
        <w:tc>
          <w:tcPr>
            <w:tcW w:w="220" w:type="dxa"/>
            <w:vAlign w:val="bottom"/>
            <w:shd w:val="clear" w:color="auto" w:fill="FEFEFE"/>
          </w:tcPr>
          <w:p>
            <w:pPr>
              <w:ind w:left="20"/>
              <w:spacing w:after="0"/>
              <w:rPr>
                <w:sz w:val="20"/>
                <w:szCs w:val="20"/>
                <w:color w:val="auto"/>
              </w:rPr>
            </w:pPr>
            <w:r>
              <w:rPr>
                <w:rFonts w:ascii="Arial" w:cs="Arial" w:eastAsia="Arial" w:hAnsi="Arial"/>
                <w:sz w:val="23"/>
                <w:szCs w:val="23"/>
                <w:b w:val="1"/>
                <w:bCs w:val="1"/>
                <w:color w:val="FEFEFE"/>
              </w:rPr>
              <w:t>​</w:t>
            </w:r>
          </w:p>
        </w:tc>
        <w:tc>
          <w:tcPr>
            <w:tcW w:w="10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00" w:type="dxa"/>
            <w:vAlign w:val="bottom"/>
          </w:tcPr>
          <w:p>
            <w:pPr>
              <w:ind w:left="20"/>
              <w:spacing w:after="0"/>
              <w:rPr>
                <w:sz w:val="20"/>
                <w:szCs w:val="20"/>
                <w:color w:val="auto"/>
              </w:rPr>
            </w:pPr>
            <w:r>
              <w:rPr>
                <w:rFonts w:ascii="Arial" w:cs="Arial" w:eastAsia="Arial" w:hAnsi="Arial"/>
                <w:sz w:val="23"/>
                <w:szCs w:val="23"/>
                <w:b w:val="1"/>
                <w:bCs w:val="1"/>
                <w:color w:val="FEFEFE"/>
              </w:rPr>
              <w:t>$24.9B</w:t>
            </w:r>
          </w:p>
        </w:tc>
        <w:tc>
          <w:tcPr>
            <w:tcW w:w="220" w:type="dxa"/>
            <w:vAlign w:val="bottom"/>
            <w:shd w:val="clear" w:color="auto" w:fill="FEFEFE"/>
          </w:tcPr>
          <w:p>
            <w:pPr>
              <w:spacing w:after="0"/>
              <w:rPr>
                <w:sz w:val="20"/>
                <w:szCs w:val="20"/>
                <w:color w:val="auto"/>
              </w:rPr>
            </w:pPr>
            <w:r>
              <w:rPr>
                <w:rFonts w:ascii="Arial" w:cs="Arial" w:eastAsia="Arial" w:hAnsi="Arial"/>
                <w:sz w:val="23"/>
                <w:szCs w:val="23"/>
                <w:b w:val="1"/>
                <w:bCs w:val="1"/>
                <w:color w:val="FEFEFE"/>
              </w:rPr>
              <w:t>​</w:t>
            </w:r>
          </w:p>
        </w:tc>
        <w:tc>
          <w:tcPr>
            <w:tcW w:w="80" w:type="dxa"/>
            <w:vAlign w:val="bottom"/>
          </w:tcPr>
          <w:p>
            <w:pPr>
              <w:spacing w:after="0"/>
              <w:rPr>
                <w:sz w:val="20"/>
                <w:szCs w:val="20"/>
                <w:color w:val="auto"/>
              </w:rPr>
            </w:pPr>
            <w:r>
              <w:rPr>
                <w:rFonts w:ascii="Arial" w:cs="Arial" w:eastAsia="Arial" w:hAnsi="Arial"/>
                <w:sz w:val="23"/>
                <w:szCs w:val="23"/>
                <w:b w:val="1"/>
                <w:bCs w:val="1"/>
                <w:color w:val="FEFEFE"/>
              </w:rPr>
              <w:t>​</w:t>
            </w:r>
          </w:p>
        </w:tc>
        <w:tc>
          <w:tcPr>
            <w:tcW w:w="1220" w:type="dxa"/>
            <w:vAlign w:val="bottom"/>
          </w:tcPr>
          <w:p>
            <w:pPr>
              <w:ind w:left="40"/>
              <w:spacing w:after="0"/>
              <w:rPr>
                <w:sz w:val="20"/>
                <w:szCs w:val="20"/>
                <w:color w:val="auto"/>
              </w:rPr>
            </w:pPr>
            <w:r>
              <w:rPr>
                <w:rFonts w:ascii="Arial" w:cs="Arial" w:eastAsia="Arial" w:hAnsi="Arial"/>
                <w:sz w:val="23"/>
                <w:szCs w:val="23"/>
                <w:b w:val="1"/>
                <w:bCs w:val="1"/>
                <w:color w:val="FEFEFE"/>
              </w:rPr>
              <w:t>0.13%</w:t>
            </w:r>
          </w:p>
        </w:tc>
      </w:tr>
      <w:tr>
        <w:trPr>
          <w:trHeight w:val="121"/>
        </w:trPr>
        <w:tc>
          <w:tcPr>
            <w:tcW w:w="12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280" w:type="dxa"/>
            <w:vAlign w:val="bottom"/>
          </w:tcPr>
          <w:p>
            <w:pPr>
              <w:spacing w:after="0" w:line="102" w:lineRule="exact"/>
              <w:rPr>
                <w:sz w:val="20"/>
                <w:szCs w:val="20"/>
                <w:color w:val="auto"/>
              </w:rPr>
            </w:pPr>
            <w:r>
              <w:rPr>
                <w:rFonts w:ascii="Arial" w:cs="Arial" w:eastAsia="Arial" w:hAnsi="Arial"/>
                <w:sz w:val="11"/>
                <w:szCs w:val="11"/>
                <w:b w:val="1"/>
                <w:bCs w:val="1"/>
                <w:color w:val="auto"/>
              </w:rPr>
              <w:t> </w:t>
            </w:r>
          </w:p>
        </w:tc>
        <w:tc>
          <w:tcPr>
            <w:tcW w:w="220" w:type="dxa"/>
            <w:vAlign w:val="bottom"/>
            <w:shd w:val="clear" w:color="auto" w:fill="FEFEFE"/>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0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spacing w:after="0"/>
              <w:rPr>
                <w:sz w:val="10"/>
                <w:szCs w:val="10"/>
                <w:color w:val="auto"/>
              </w:rPr>
            </w:pPr>
          </w:p>
        </w:tc>
        <w:tc>
          <w:tcPr>
            <w:tcW w:w="220" w:type="dxa"/>
            <w:vAlign w:val="bottom"/>
            <w:shd w:val="clear" w:color="auto" w:fill="FEFEFE"/>
          </w:tcPr>
          <w:p>
            <w:pPr>
              <w:spacing w:after="0" w:line="102"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1220" w:type="dxa"/>
            <w:vAlign w:val="bottom"/>
          </w:tcPr>
          <w:p>
            <w:pPr>
              <w:spacing w:after="0"/>
              <w:rPr>
                <w:sz w:val="10"/>
                <w:szCs w:val="10"/>
                <w:color w:val="auto"/>
              </w:rPr>
            </w:pPr>
          </w:p>
        </w:tc>
      </w:tr>
      <w:tr>
        <w:trPr>
          <w:trHeight w:val="95"/>
        </w:trPr>
        <w:tc>
          <w:tcPr>
            <w:tcW w:w="120" w:type="dxa"/>
            <w:vAlign w:val="bottom"/>
            <w:tcBorders>
              <w:bottom w:val="single" w:sz="8" w:color="BF5B5A"/>
            </w:tcBorders>
          </w:tcPr>
          <w:p>
            <w:pPr>
              <w:ind w:left="20"/>
              <w:spacing w:after="0" w:line="95" w:lineRule="exact"/>
              <w:rPr>
                <w:sz w:val="20"/>
                <w:szCs w:val="20"/>
                <w:color w:val="auto"/>
              </w:rPr>
            </w:pPr>
            <w:r>
              <w:rPr>
                <w:rFonts w:ascii="Arial" w:cs="Arial" w:eastAsia="Arial" w:hAnsi="Arial"/>
                <w:sz w:val="10"/>
                <w:szCs w:val="10"/>
                <w:color w:val="FEFEFE"/>
              </w:rPr>
              <w:t>​</w:t>
            </w:r>
          </w:p>
        </w:tc>
        <w:tc>
          <w:tcPr>
            <w:tcW w:w="1280" w:type="dxa"/>
            <w:vAlign w:val="bottom"/>
            <w:tcBorders>
              <w:bottom w:val="single" w:sz="8" w:color="BF5B5A"/>
            </w:tcBorders>
          </w:tcPr>
          <w:p>
            <w:pPr>
              <w:spacing w:after="0" w:line="95" w:lineRule="exact"/>
              <w:rPr>
                <w:sz w:val="20"/>
                <w:szCs w:val="20"/>
                <w:color w:val="auto"/>
              </w:rPr>
            </w:pPr>
            <w:r>
              <w:rPr>
                <w:rFonts w:ascii="Arial" w:cs="Arial" w:eastAsia="Arial" w:hAnsi="Arial"/>
                <w:sz w:val="10"/>
                <w:szCs w:val="10"/>
                <w:color w:val="FEFEFE"/>
              </w:rPr>
              <w:t>​</w:t>
            </w:r>
          </w:p>
        </w:tc>
        <w:tc>
          <w:tcPr>
            <w:tcW w:w="220" w:type="dxa"/>
            <w:vAlign w:val="bottom"/>
            <w:tcBorders>
              <w:bottom w:val="single" w:sz="8" w:color="FEFEFE"/>
            </w:tcBorders>
          </w:tcPr>
          <w:p>
            <w:pPr>
              <w:ind w:left="20"/>
              <w:spacing w:after="0" w:line="95" w:lineRule="exact"/>
              <w:rPr>
                <w:sz w:val="20"/>
                <w:szCs w:val="20"/>
                <w:color w:val="auto"/>
              </w:rPr>
            </w:pPr>
            <w:r>
              <w:rPr>
                <w:rFonts w:ascii="Arial" w:cs="Arial" w:eastAsia="Arial" w:hAnsi="Arial"/>
                <w:sz w:val="10"/>
                <w:szCs w:val="10"/>
                <w:color w:val="FEFEFE"/>
              </w:rPr>
              <w:t>​</w:t>
            </w:r>
          </w:p>
        </w:tc>
        <w:tc>
          <w:tcPr>
            <w:tcW w:w="100" w:type="dxa"/>
            <w:vAlign w:val="bottom"/>
            <w:tcBorders>
              <w:bottom w:val="single" w:sz="8" w:color="BF5B5A"/>
            </w:tcBorders>
          </w:tcPr>
          <w:p>
            <w:pPr>
              <w:ind w:left="20"/>
              <w:spacing w:after="0" w:line="95" w:lineRule="exact"/>
              <w:rPr>
                <w:sz w:val="20"/>
                <w:szCs w:val="20"/>
                <w:color w:val="auto"/>
              </w:rPr>
            </w:pPr>
            <w:r>
              <w:rPr>
                <w:rFonts w:ascii="Arial" w:cs="Arial" w:eastAsia="Arial" w:hAnsi="Arial"/>
                <w:sz w:val="10"/>
                <w:szCs w:val="10"/>
                <w:color w:val="FEFEFE"/>
              </w:rPr>
              <w:t>​</w:t>
            </w:r>
          </w:p>
        </w:tc>
        <w:tc>
          <w:tcPr>
            <w:tcW w:w="1200" w:type="dxa"/>
            <w:vAlign w:val="bottom"/>
            <w:tcBorders>
              <w:bottom w:val="single" w:sz="8" w:color="BF5B5A"/>
            </w:tcBorders>
          </w:tcPr>
          <w:p>
            <w:pPr>
              <w:spacing w:after="0"/>
              <w:rPr>
                <w:sz w:val="8"/>
                <w:szCs w:val="8"/>
                <w:color w:val="auto"/>
              </w:rPr>
            </w:pPr>
          </w:p>
        </w:tc>
        <w:tc>
          <w:tcPr>
            <w:tcW w:w="220" w:type="dxa"/>
            <w:vAlign w:val="bottom"/>
            <w:tcBorders>
              <w:bottom w:val="single" w:sz="8" w:color="FEFEFE"/>
            </w:tcBorders>
          </w:tcPr>
          <w:p>
            <w:pPr>
              <w:spacing w:after="0" w:line="95" w:lineRule="exact"/>
              <w:rPr>
                <w:sz w:val="20"/>
                <w:szCs w:val="20"/>
                <w:color w:val="auto"/>
              </w:rPr>
            </w:pPr>
            <w:r>
              <w:rPr>
                <w:rFonts w:ascii="Arial" w:cs="Arial" w:eastAsia="Arial" w:hAnsi="Arial"/>
                <w:sz w:val="10"/>
                <w:szCs w:val="10"/>
                <w:color w:val="FEFEFE"/>
              </w:rPr>
              <w:t>​</w:t>
            </w:r>
          </w:p>
        </w:tc>
        <w:tc>
          <w:tcPr>
            <w:tcW w:w="80" w:type="dxa"/>
            <w:vAlign w:val="bottom"/>
            <w:tcBorders>
              <w:bottom w:val="single" w:sz="8" w:color="BF5B5A"/>
            </w:tcBorders>
          </w:tcPr>
          <w:p>
            <w:pPr>
              <w:spacing w:after="0" w:line="95" w:lineRule="exact"/>
              <w:rPr>
                <w:sz w:val="20"/>
                <w:szCs w:val="20"/>
                <w:color w:val="auto"/>
              </w:rPr>
            </w:pPr>
            <w:r>
              <w:rPr>
                <w:rFonts w:ascii="Arial" w:cs="Arial" w:eastAsia="Arial" w:hAnsi="Arial"/>
                <w:sz w:val="10"/>
                <w:szCs w:val="10"/>
                <w:color w:val="FEFEFE"/>
              </w:rPr>
              <w:t>​</w:t>
            </w:r>
          </w:p>
        </w:tc>
        <w:tc>
          <w:tcPr>
            <w:tcW w:w="1220" w:type="dxa"/>
            <w:vAlign w:val="bottom"/>
            <w:tcBorders>
              <w:bottom w:val="single" w:sz="8" w:color="BF5B5A"/>
            </w:tcBorders>
          </w:tcPr>
          <w:p>
            <w:pPr>
              <w:spacing w:after="0"/>
              <w:rPr>
                <w:sz w:val="8"/>
                <w:szCs w:val="8"/>
                <w:color w:val="auto"/>
              </w:rPr>
            </w:pPr>
          </w:p>
        </w:tc>
      </w:tr>
      <w:tr>
        <w:trPr>
          <w:trHeight w:val="152"/>
        </w:trPr>
        <w:tc>
          <w:tcPr>
            <w:tcW w:w="14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 Diluted earnings</w:t>
            </w:r>
          </w:p>
        </w:tc>
        <w:tc>
          <w:tcPr>
            <w:tcW w:w="220" w:type="dxa"/>
            <w:vAlign w:val="bottom"/>
            <w:shd w:val="clear" w:color="auto" w:fill="FEFEFE"/>
          </w:tcPr>
          <w:p>
            <w:pPr>
              <w:ind w:left="20"/>
              <w:spacing w:after="0" w:line="151" w:lineRule="exact"/>
              <w:rPr>
                <w:sz w:val="20"/>
                <w:szCs w:val="20"/>
                <w:color w:val="auto"/>
              </w:rPr>
            </w:pPr>
            <w:r>
              <w:rPr>
                <w:rFonts w:ascii="Arial" w:cs="Arial" w:eastAsia="Arial" w:hAnsi="Arial"/>
                <w:sz w:val="15"/>
                <w:szCs w:val="15"/>
                <w:color w:val="auto"/>
              </w:rPr>
              <w:t>​</w:t>
            </w:r>
          </w:p>
        </w:tc>
        <w:tc>
          <w:tcPr>
            <w:tcW w:w="13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 Total assets at</w:t>
            </w:r>
          </w:p>
        </w:tc>
        <w:tc>
          <w:tcPr>
            <w:tcW w:w="220" w:type="dxa"/>
            <w:vAlign w:val="bottom"/>
            <w:shd w:val="clear" w:color="auto" w:fill="FEFEFE"/>
          </w:tcPr>
          <w:p>
            <w:pPr>
              <w:spacing w:after="0" w:line="151" w:lineRule="exact"/>
              <w:rPr>
                <w:sz w:val="20"/>
                <w:szCs w:val="20"/>
                <w:color w:val="auto"/>
              </w:rPr>
            </w:pPr>
            <w:r>
              <w:rPr>
                <w:rFonts w:ascii="Arial" w:cs="Arial" w:eastAsia="Arial" w:hAnsi="Arial"/>
                <w:sz w:val="15"/>
                <w:szCs w:val="15"/>
                <w:color w:val="auto"/>
              </w:rPr>
              <w:t>​</w:t>
            </w:r>
          </w:p>
        </w:tc>
        <w:tc>
          <w:tcPr>
            <w:tcW w:w="1300" w:type="dxa"/>
            <w:vAlign w:val="bottom"/>
            <w:gridSpan w:val="2"/>
          </w:tcPr>
          <w:p>
            <w:pPr>
              <w:spacing w:after="0" w:line="151" w:lineRule="exact"/>
              <w:rPr>
                <w:sz w:val="20"/>
                <w:szCs w:val="20"/>
                <w:color w:val="auto"/>
              </w:rPr>
            </w:pPr>
            <w:r>
              <w:rPr>
                <w:rFonts w:ascii="Arial" w:cs="Arial" w:eastAsia="Arial" w:hAnsi="Arial"/>
                <w:sz w:val="15"/>
                <w:szCs w:val="15"/>
                <w:color w:val="auto"/>
              </w:rPr>
              <w:t>​ Ratio of non-</w:t>
            </w: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per share</w:t>
            </w:r>
          </w:p>
        </w:tc>
        <w:tc>
          <w:tcPr>
            <w:tcW w:w="220" w:type="dxa"/>
            <w:vAlign w:val="bottom"/>
            <w:shd w:val="clear" w:color="auto" w:fill="FEFEF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December 31,</w:t>
            </w:r>
          </w:p>
        </w:tc>
        <w:tc>
          <w:tcPr>
            <w:tcW w:w="220" w:type="dxa"/>
            <w:vAlign w:val="bottom"/>
            <w:shd w:val="clear" w:color="auto" w:fill="FEFEF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accrual loans</w:t>
            </w:r>
          </w:p>
        </w:tc>
      </w:tr>
      <w:tr>
        <w:trPr>
          <w:trHeight w:val="162"/>
        </w:trPr>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shd w:val="clear" w:color="auto" w:fill="FEFEF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0"/>
              <w:spacing w:after="0" w:line="162" w:lineRule="exact"/>
              <w:rPr>
                <w:sz w:val="20"/>
                <w:szCs w:val="20"/>
                <w:color w:val="auto"/>
              </w:rPr>
            </w:pPr>
            <w:r>
              <w:rPr>
                <w:rFonts w:ascii="Arial" w:cs="Arial" w:eastAsia="Arial" w:hAnsi="Arial"/>
                <w:sz w:val="15"/>
                <w:szCs w:val="15"/>
                <w:color w:val="auto"/>
              </w:rPr>
              <w:t>2023</w:t>
            </w:r>
          </w:p>
        </w:tc>
        <w:tc>
          <w:tcPr>
            <w:tcW w:w="220" w:type="dxa"/>
            <w:vAlign w:val="bottom"/>
            <w:shd w:val="clear" w:color="auto" w:fill="FEFEF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40"/>
              <w:spacing w:after="0" w:line="162" w:lineRule="exact"/>
              <w:rPr>
                <w:sz w:val="20"/>
                <w:szCs w:val="20"/>
                <w:color w:val="auto"/>
              </w:rPr>
            </w:pPr>
            <w:r>
              <w:rPr>
                <w:rFonts w:ascii="Arial" w:cs="Arial" w:eastAsia="Arial" w:hAnsi="Arial"/>
                <w:sz w:val="15"/>
                <w:szCs w:val="15"/>
                <w:color w:val="auto"/>
              </w:rPr>
              <w:t>and leases to</w:t>
            </w: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total loans and</w:t>
            </w:r>
          </w:p>
        </w:tc>
      </w:tr>
      <w:tr>
        <w:trPr>
          <w:trHeight w:val="193"/>
        </w:trPr>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shd w:val="clear" w:color="auto" w:fill="FEFEF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leases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-925195</wp:posOffset>
            </wp:positionV>
            <wp:extent cx="281178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1178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
        </w:trPr>
        <w:tc>
          <w:tcPr>
            <w:tcW w:w="200" w:type="dxa"/>
            <w:vAlign w:val="bottom"/>
          </w:tcPr>
          <w:p>
            <w:pPr>
              <w:spacing w:after="0"/>
              <w:rPr>
                <w:sz w:val="4"/>
                <w:szCs w:val="4"/>
                <w:color w:val="auto"/>
              </w:rPr>
            </w:pPr>
          </w:p>
        </w:tc>
        <w:tc>
          <w:tcPr>
            <w:tcW w:w="100" w:type="dxa"/>
            <w:vAlign w:val="bottom"/>
            <w:vMerge w:val="restart"/>
          </w:tcPr>
          <w:p>
            <w:pPr>
              <w:ind w:left="20"/>
              <w:spacing w:after="0"/>
              <w:rPr>
                <w:sz w:val="20"/>
                <w:szCs w:val="20"/>
                <w:color w:val="auto"/>
              </w:rPr>
            </w:pPr>
            <w:r>
              <w:rPr>
                <w:rFonts w:ascii="Arial" w:cs="Arial" w:eastAsia="Arial" w:hAnsi="Arial"/>
                <w:sz w:val="23"/>
                <w:szCs w:val="23"/>
                <w:b w:val="1"/>
                <w:bCs w:val="1"/>
                <w:color w:val="FEFEFE"/>
              </w:rPr>
              <w:t>​</w:t>
            </w:r>
          </w:p>
        </w:tc>
        <w:tc>
          <w:tcPr>
            <w:tcW w:w="1200" w:type="dxa"/>
            <w:vAlign w:val="bottom"/>
          </w:tcPr>
          <w:p>
            <w:pPr>
              <w:spacing w:after="0"/>
              <w:rPr>
                <w:sz w:val="4"/>
                <w:szCs w:val="4"/>
                <w:color w:val="auto"/>
              </w:rPr>
            </w:pPr>
          </w:p>
        </w:tc>
        <w:tc>
          <w:tcPr>
            <w:tcW w:w="80" w:type="dxa"/>
            <w:vAlign w:val="bottom"/>
            <w:vMerge w:val="restart"/>
          </w:tcPr>
          <w:p>
            <w:pPr>
              <w:ind w:left="20"/>
              <w:spacing w:after="0"/>
              <w:rPr>
                <w:sz w:val="20"/>
                <w:szCs w:val="20"/>
                <w:color w:val="auto"/>
              </w:rPr>
            </w:pPr>
            <w:r>
              <w:rPr>
                <w:rFonts w:ascii="Arial" w:cs="Arial" w:eastAsia="Arial" w:hAnsi="Arial"/>
                <w:sz w:val="23"/>
                <w:szCs w:val="23"/>
                <w:b w:val="1"/>
                <w:bCs w:val="1"/>
                <w:color w:val="FEFEFE"/>
              </w:rPr>
              <w:t>​</w:t>
            </w:r>
          </w:p>
        </w:tc>
        <w:tc>
          <w:tcPr>
            <w:tcW w:w="0" w:type="dxa"/>
            <w:vAlign w:val="bottom"/>
          </w:tcPr>
          <w:p>
            <w:pPr>
              <w:spacing w:after="0"/>
              <w:rPr>
                <w:sz w:val="1"/>
                <w:szCs w:val="1"/>
                <w:color w:val="auto"/>
              </w:rPr>
            </w:pPr>
          </w:p>
        </w:tc>
      </w:tr>
      <w:tr>
        <w:trPr>
          <w:trHeight w:val="250"/>
        </w:trPr>
        <w:tc>
          <w:tcPr>
            <w:tcW w:w="200" w:type="dxa"/>
            <w:vAlign w:val="bottom"/>
            <w:shd w:val="clear" w:color="auto" w:fill="FEFEFE"/>
          </w:tcPr>
          <w:p>
            <w:pPr>
              <w:spacing w:after="0" w:line="251" w:lineRule="exact"/>
              <w:rPr>
                <w:sz w:val="20"/>
                <w:szCs w:val="20"/>
                <w:color w:val="auto"/>
              </w:rPr>
            </w:pPr>
            <w:r>
              <w:rPr>
                <w:rFonts w:ascii="Arial" w:cs="Arial" w:eastAsia="Arial" w:hAnsi="Arial"/>
                <w:sz w:val="23"/>
                <w:szCs w:val="23"/>
                <w:b w:val="1"/>
                <w:bCs w:val="1"/>
                <w:color w:val="FEFEFE"/>
              </w:rPr>
              <w:t>​</w:t>
            </w:r>
          </w:p>
        </w:tc>
        <w:tc>
          <w:tcPr>
            <w:tcW w:w="100" w:type="dxa"/>
            <w:vAlign w:val="bottom"/>
            <w:vMerge w:val="continue"/>
          </w:tcPr>
          <w:p>
            <w:pPr>
              <w:spacing w:after="0"/>
              <w:rPr>
                <w:sz w:val="21"/>
                <w:szCs w:val="21"/>
                <w:color w:val="auto"/>
              </w:rPr>
            </w:pPr>
          </w:p>
        </w:tc>
        <w:tc>
          <w:tcPr>
            <w:tcW w:w="1200" w:type="dxa"/>
            <w:vAlign w:val="bottom"/>
            <w:vMerge w:val="restart"/>
          </w:tcPr>
          <w:p>
            <w:pPr>
              <w:ind w:left="20"/>
              <w:spacing w:after="0"/>
              <w:rPr>
                <w:sz w:val="20"/>
                <w:szCs w:val="20"/>
                <w:color w:val="auto"/>
              </w:rPr>
            </w:pPr>
            <w:r>
              <w:rPr>
                <w:rFonts w:ascii="Arial" w:cs="Arial" w:eastAsia="Arial" w:hAnsi="Arial"/>
                <w:sz w:val="23"/>
                <w:szCs w:val="23"/>
                <w:b w:val="1"/>
                <w:bCs w:val="1"/>
                <w:color w:val="FEFEFE"/>
              </w:rPr>
              <w:t>0.09%</w:t>
            </w:r>
          </w:p>
        </w:tc>
        <w:tc>
          <w:tcPr>
            <w:tcW w:w="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0" w:type="dxa"/>
            <w:vAlign w:val="bottom"/>
            <w:vMerge w:val="restart"/>
            <w:shd w:val="clear" w:color="auto" w:fill="FEFEFE"/>
          </w:tcPr>
          <w:p>
            <w:pPr>
              <w:spacing w:after="0" w:line="215" w:lineRule="exact"/>
              <w:rPr>
                <w:sz w:val="20"/>
                <w:szCs w:val="20"/>
                <w:color w:val="auto"/>
              </w:rPr>
            </w:pPr>
            <w:r>
              <w:rPr>
                <w:rFonts w:ascii="Arial" w:cs="Arial" w:eastAsia="Arial" w:hAnsi="Arial"/>
                <w:sz w:val="23"/>
                <w:szCs w:val="23"/>
                <w:b w:val="1"/>
                <w:bCs w:val="1"/>
                <w:color w:val="auto"/>
              </w:rPr>
              <w:t>​</w:t>
            </w:r>
          </w:p>
        </w:tc>
        <w:tc>
          <w:tcPr>
            <w:tcW w:w="100" w:type="dxa"/>
            <w:vAlign w:val="bottom"/>
            <w:vMerge w:val="restart"/>
          </w:tcPr>
          <w:p>
            <w:pPr>
              <w:ind w:left="20"/>
              <w:spacing w:after="0" w:line="215" w:lineRule="exact"/>
              <w:rPr>
                <w:sz w:val="20"/>
                <w:szCs w:val="20"/>
                <w:color w:val="auto"/>
              </w:rPr>
            </w:pPr>
            <w:r>
              <w:rPr>
                <w:rFonts w:ascii="Arial" w:cs="Arial" w:eastAsia="Arial" w:hAnsi="Arial"/>
                <w:sz w:val="23"/>
                <w:szCs w:val="23"/>
                <w:b w:val="1"/>
                <w:bCs w:val="1"/>
                <w:color w:val="auto"/>
              </w:rPr>
              <w:t>​</w:t>
            </w:r>
          </w:p>
        </w:tc>
        <w:tc>
          <w:tcPr>
            <w:tcW w:w="1200" w:type="dxa"/>
            <w:vAlign w:val="bottom"/>
            <w:vMerge w:val="continue"/>
          </w:tcPr>
          <w:p>
            <w:pPr>
              <w:spacing w:after="0"/>
              <w:rPr>
                <w:sz w:val="17"/>
                <w:szCs w:val="17"/>
                <w:color w:val="auto"/>
              </w:rPr>
            </w:pPr>
          </w:p>
        </w:tc>
        <w:tc>
          <w:tcPr>
            <w:tcW w:w="80" w:type="dxa"/>
            <w:vAlign w:val="bottom"/>
            <w:vMerge w:val="restart"/>
          </w:tcPr>
          <w:p>
            <w:pPr>
              <w:ind w:left="20"/>
              <w:spacing w:after="0" w:line="215" w:lineRule="exact"/>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35"/>
        </w:trPr>
        <w:tc>
          <w:tcPr>
            <w:tcW w:w="200" w:type="dxa"/>
            <w:vAlign w:val="bottom"/>
            <w:vMerge w:val="continue"/>
            <w:shd w:val="clear" w:color="auto" w:fill="FEFEFE"/>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200" w:type="dxa"/>
            <w:vAlign w:val="bottom"/>
            <w:tcBorders>
              <w:bottom w:val="single" w:sz="8" w:color="FEFEFE"/>
            </w:tcBorders>
          </w:tcPr>
          <w:p>
            <w:pPr>
              <w:spacing w:after="0" w:line="95" w:lineRule="exact"/>
              <w:rPr>
                <w:sz w:val="20"/>
                <w:szCs w:val="20"/>
                <w:color w:val="auto"/>
              </w:rPr>
            </w:pPr>
            <w:r>
              <w:rPr>
                <w:rFonts w:ascii="Arial" w:cs="Arial" w:eastAsia="Arial" w:hAnsi="Arial"/>
                <w:sz w:val="10"/>
                <w:szCs w:val="10"/>
                <w:color w:val="FEFEFE"/>
              </w:rPr>
              <w:t>​</w:t>
            </w:r>
          </w:p>
        </w:tc>
        <w:tc>
          <w:tcPr>
            <w:tcW w:w="100" w:type="dxa"/>
            <w:vAlign w:val="bottom"/>
            <w:tcBorders>
              <w:bottom w:val="single" w:sz="8" w:color="BF5B5A"/>
            </w:tcBorders>
          </w:tcPr>
          <w:p>
            <w:pPr>
              <w:ind w:left="20"/>
              <w:spacing w:after="0" w:line="95" w:lineRule="exact"/>
              <w:rPr>
                <w:sz w:val="20"/>
                <w:szCs w:val="20"/>
                <w:color w:val="auto"/>
              </w:rPr>
            </w:pPr>
            <w:r>
              <w:rPr>
                <w:rFonts w:ascii="Arial" w:cs="Arial" w:eastAsia="Arial" w:hAnsi="Arial"/>
                <w:sz w:val="10"/>
                <w:szCs w:val="10"/>
                <w:color w:val="FEFEFE"/>
              </w:rPr>
              <w:t>​</w:t>
            </w:r>
          </w:p>
        </w:tc>
        <w:tc>
          <w:tcPr>
            <w:tcW w:w="1200" w:type="dxa"/>
            <w:vAlign w:val="bottom"/>
            <w:tcBorders>
              <w:bottom w:val="single" w:sz="8" w:color="BF5B5A"/>
            </w:tcBorders>
          </w:tcPr>
          <w:p>
            <w:pPr>
              <w:spacing w:after="0"/>
              <w:rPr>
                <w:sz w:val="8"/>
                <w:szCs w:val="8"/>
                <w:color w:val="auto"/>
              </w:rPr>
            </w:pPr>
          </w:p>
        </w:tc>
        <w:tc>
          <w:tcPr>
            <w:tcW w:w="80" w:type="dxa"/>
            <w:vAlign w:val="bottom"/>
          </w:tcPr>
          <w:p>
            <w:pPr>
              <w:ind w:left="20"/>
              <w:spacing w:after="0" w:line="95" w:lineRule="exact"/>
              <w:rPr>
                <w:sz w:val="20"/>
                <w:szCs w:val="20"/>
                <w:color w:val="auto"/>
              </w:rPr>
            </w:pPr>
            <w:r>
              <w:rPr>
                <w:rFonts w:ascii="Arial" w:cs="Arial" w:eastAsia="Arial" w:hAnsi="Arial"/>
                <w:sz w:val="10"/>
                <w:szCs w:val="10"/>
                <w:color w:val="FEFEFE"/>
              </w:rPr>
              <w:t>​</w:t>
            </w:r>
          </w:p>
        </w:tc>
        <w:tc>
          <w:tcPr>
            <w:tcW w:w="0" w:type="dxa"/>
            <w:vAlign w:val="bottom"/>
          </w:tcPr>
          <w:p>
            <w:pPr>
              <w:spacing w:after="0"/>
              <w:rPr>
                <w:sz w:val="1"/>
                <w:szCs w:val="1"/>
                <w:color w:val="auto"/>
              </w:rPr>
            </w:pPr>
          </w:p>
        </w:tc>
      </w:tr>
      <w:tr>
        <w:trPr>
          <w:trHeight w:val="152"/>
        </w:trPr>
        <w:tc>
          <w:tcPr>
            <w:tcW w:w="200" w:type="dxa"/>
            <w:vAlign w:val="bottom"/>
            <w:shd w:val="clear" w:color="auto" w:fill="FEFEFE"/>
          </w:tcPr>
          <w:p>
            <w:pPr>
              <w:spacing w:after="0" w:line="151" w:lineRule="exact"/>
              <w:rPr>
                <w:sz w:val="20"/>
                <w:szCs w:val="20"/>
                <w:color w:val="auto"/>
              </w:rPr>
            </w:pPr>
            <w:r>
              <w:rPr>
                <w:rFonts w:ascii="Arial" w:cs="Arial" w:eastAsia="Arial" w:hAnsi="Arial"/>
                <w:sz w:val="15"/>
                <w:szCs w:val="15"/>
                <w:color w:val="auto"/>
              </w:rPr>
              <w:t>​</w:t>
            </w:r>
          </w:p>
        </w:tc>
        <w:tc>
          <w:tcPr>
            <w:tcW w:w="130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 Net charge-offs</w:t>
            </w:r>
          </w:p>
        </w:tc>
        <w:tc>
          <w:tcPr>
            <w:tcW w:w="80" w:type="dxa"/>
            <w:vAlign w:val="bottom"/>
          </w:tcPr>
          <w:p>
            <w:pPr>
              <w:ind w:left="2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0" w:type="dxa"/>
            <w:vAlign w:val="bottom"/>
            <w:shd w:val="clear" w:color="auto" w:fill="FEFEF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to average 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0" w:type="dxa"/>
            <w:vAlign w:val="bottom"/>
            <w:shd w:val="clear" w:color="auto" w:fill="FEFEF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loans and leases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200" w:type="dxa"/>
            <w:vAlign w:val="bottom"/>
            <w:shd w:val="clear" w:color="auto" w:fill="FEFEF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-925195</wp:posOffset>
            </wp:positionV>
            <wp:extent cx="96012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3771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8640" w:space="0"/>
            <w:col w:w="1580"/>
          </w:cols>
          <w:pgMar w:left="740" w:top="165" w:right="939" w:bottom="1440" w:gutter="0" w:footer="0" w:header="0"/>
          <w:type w:val="continuous"/>
        </w:sectPr>
      </w:pPr>
    </w:p>
    <w:tbl>
      <w:tblPr>
        <w:tblLayout w:type="fixed"/>
        <w:tblInd w:w="4200" w:type="dxa"/>
        <w:tblCellMar>
          <w:top w:w="0" w:type="dxa"/>
          <w:left w:w="0" w:type="dxa"/>
          <w:bottom w:w="0" w:type="dxa"/>
          <w:right w:w="0" w:type="dxa"/>
        </w:tblCellMar>
      </w:tblPr>
      <w:tr>
        <w:trPr>
          <w:trHeight w:val="529"/>
        </w:trPr>
        <w:tc>
          <w:tcPr>
            <w:tcW w:w="1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80" w:type="dxa"/>
            <w:vAlign w:val="bottom"/>
          </w:tcPr>
          <w:p>
            <w:pPr>
              <w:spacing w:after="0"/>
              <w:rPr>
                <w:sz w:val="20"/>
                <w:szCs w:val="20"/>
                <w:color w:val="auto"/>
              </w:rPr>
            </w:pPr>
            <w:r>
              <w:rPr>
                <w:rFonts w:ascii="Arial" w:cs="Arial" w:eastAsia="Arial" w:hAnsi="Arial"/>
                <w:sz w:val="23"/>
                <w:szCs w:val="23"/>
                <w:b w:val="1"/>
                <w:bCs w:val="1"/>
                <w:color w:val="FEFEFE"/>
              </w:rPr>
              <w:t>$21.3B</w:t>
            </w:r>
          </w:p>
        </w:tc>
        <w:tc>
          <w:tcPr>
            <w:tcW w:w="220" w:type="dxa"/>
            <w:vAlign w:val="bottom"/>
            <w:shd w:val="clear" w:color="auto" w:fill="FEFEFE"/>
          </w:tcPr>
          <w:p>
            <w:pPr>
              <w:ind w:left="20"/>
              <w:spacing w:after="0"/>
              <w:rPr>
                <w:sz w:val="20"/>
                <w:szCs w:val="20"/>
                <w:color w:val="auto"/>
              </w:rPr>
            </w:pPr>
            <w:r>
              <w:rPr>
                <w:rFonts w:ascii="Arial" w:cs="Arial" w:eastAsia="Arial" w:hAnsi="Arial"/>
                <w:sz w:val="23"/>
                <w:szCs w:val="23"/>
                <w:b w:val="1"/>
                <w:bCs w:val="1"/>
                <w:color w:val="FEFEFE"/>
              </w:rPr>
              <w:t>​</w:t>
            </w:r>
          </w:p>
        </w:tc>
        <w:tc>
          <w:tcPr>
            <w:tcW w:w="10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1200" w:type="dxa"/>
            <w:vAlign w:val="bottom"/>
          </w:tcPr>
          <w:p>
            <w:pPr>
              <w:ind w:left="20"/>
              <w:spacing w:after="0"/>
              <w:rPr>
                <w:sz w:val="20"/>
                <w:szCs w:val="20"/>
                <w:color w:val="auto"/>
              </w:rPr>
            </w:pPr>
            <w:r>
              <w:rPr>
                <w:rFonts w:ascii="Arial" w:cs="Arial" w:eastAsia="Arial" w:hAnsi="Arial"/>
                <w:sz w:val="23"/>
                <w:szCs w:val="23"/>
                <w:b w:val="1"/>
                <w:bCs w:val="1"/>
                <w:color w:val="FEFEFE"/>
              </w:rPr>
              <w:t>2.92%</w:t>
            </w:r>
          </w:p>
        </w:tc>
        <w:tc>
          <w:tcPr>
            <w:tcW w:w="220" w:type="dxa"/>
            <w:vAlign w:val="bottom"/>
            <w:shd w:val="clear" w:color="auto" w:fill="FEFEFE"/>
          </w:tcPr>
          <w:p>
            <w:pPr>
              <w:spacing w:after="0"/>
              <w:rPr>
                <w:sz w:val="20"/>
                <w:szCs w:val="20"/>
                <w:color w:val="auto"/>
              </w:rPr>
            </w:pPr>
            <w:r>
              <w:rPr>
                <w:rFonts w:ascii="Arial" w:cs="Arial" w:eastAsia="Arial" w:hAnsi="Arial"/>
                <w:sz w:val="23"/>
                <w:szCs w:val="23"/>
                <w:b w:val="1"/>
                <w:bCs w:val="1"/>
                <w:color w:val="FEFEFE"/>
              </w:rPr>
              <w:t>​</w:t>
            </w:r>
          </w:p>
        </w:tc>
        <w:tc>
          <w:tcPr>
            <w:tcW w:w="80" w:type="dxa"/>
            <w:vAlign w:val="bottom"/>
          </w:tcPr>
          <w:p>
            <w:pPr>
              <w:spacing w:after="0"/>
              <w:rPr>
                <w:sz w:val="20"/>
                <w:szCs w:val="20"/>
                <w:color w:val="auto"/>
              </w:rPr>
            </w:pPr>
            <w:r>
              <w:rPr>
                <w:rFonts w:ascii="Arial" w:cs="Arial" w:eastAsia="Arial" w:hAnsi="Arial"/>
                <w:sz w:val="23"/>
                <w:szCs w:val="23"/>
                <w:b w:val="1"/>
                <w:bCs w:val="1"/>
                <w:color w:val="FEFEFE"/>
              </w:rPr>
              <w:t>​</w:t>
            </w:r>
          </w:p>
        </w:tc>
        <w:tc>
          <w:tcPr>
            <w:tcW w:w="1220" w:type="dxa"/>
            <w:vAlign w:val="bottom"/>
          </w:tcPr>
          <w:p>
            <w:pPr>
              <w:ind w:left="40"/>
              <w:spacing w:after="0"/>
              <w:rPr>
                <w:sz w:val="20"/>
                <w:szCs w:val="20"/>
                <w:color w:val="auto"/>
              </w:rPr>
            </w:pPr>
            <w:r>
              <w:rPr>
                <w:rFonts w:ascii="Arial" w:cs="Arial" w:eastAsia="Arial" w:hAnsi="Arial"/>
                <w:sz w:val="23"/>
                <w:szCs w:val="23"/>
                <w:b w:val="1"/>
                <w:bCs w:val="1"/>
                <w:color w:val="FEFEFE"/>
              </w:rPr>
              <w:t>10.01% /</w:t>
            </w:r>
          </w:p>
        </w:tc>
        <w:tc>
          <w:tcPr>
            <w:tcW w:w="200" w:type="dxa"/>
            <w:vAlign w:val="bottom"/>
            <w:shd w:val="clear" w:color="auto" w:fill="FEFEFE"/>
          </w:tcPr>
          <w:p>
            <w:pPr>
              <w:spacing w:after="0"/>
              <w:rPr>
                <w:sz w:val="20"/>
                <w:szCs w:val="20"/>
                <w:color w:val="auto"/>
              </w:rPr>
            </w:pPr>
            <w:r>
              <w:rPr>
                <w:rFonts w:ascii="Arial" w:cs="Arial" w:eastAsia="Arial" w:hAnsi="Arial"/>
                <w:sz w:val="23"/>
                <w:szCs w:val="23"/>
                <w:b w:val="1"/>
                <w:bCs w:val="1"/>
                <w:color w:val="FEFEFE"/>
              </w:rPr>
              <w:t>​</w:t>
            </w:r>
          </w:p>
        </w:tc>
        <w:tc>
          <w:tcPr>
            <w:tcW w:w="1300" w:type="dxa"/>
            <w:vAlign w:val="bottom"/>
          </w:tcPr>
          <w:p>
            <w:pPr>
              <w:ind w:left="20"/>
              <w:spacing w:after="0"/>
              <w:rPr>
                <w:sz w:val="20"/>
                <w:szCs w:val="20"/>
                <w:color w:val="auto"/>
              </w:rPr>
            </w:pPr>
            <w:r>
              <w:rPr>
                <w:rFonts w:ascii="Arial" w:cs="Arial" w:eastAsia="Arial" w:hAnsi="Arial"/>
                <w:sz w:val="46"/>
                <w:szCs w:val="46"/>
                <w:b w:val="1"/>
                <w:bCs w:val="1"/>
                <w:color w:val="FEFEFE"/>
                <w:vertAlign w:val="superscript"/>
              </w:rPr>
              <w:t>​</w:t>
            </w:r>
            <w:r>
              <w:rPr>
                <w:rFonts w:ascii="Arial" w:cs="Arial" w:eastAsia="Arial" w:hAnsi="Arial"/>
                <w:sz w:val="23"/>
                <w:szCs w:val="23"/>
                <w:b w:val="1"/>
                <w:bCs w:val="1"/>
                <w:color w:val="FEFEFE"/>
              </w:rPr>
              <w:t xml:space="preserve"> &gt;2,000</w:t>
            </w:r>
          </w:p>
        </w:tc>
        <w:tc>
          <w:tcPr>
            <w:tcW w:w="0" w:type="dxa"/>
            <w:vAlign w:val="bottom"/>
          </w:tcPr>
          <w:p>
            <w:pPr>
              <w:spacing w:after="0"/>
              <w:rPr>
                <w:sz w:val="1"/>
                <w:szCs w:val="1"/>
                <w:color w:val="auto"/>
              </w:rPr>
            </w:pPr>
          </w:p>
        </w:tc>
      </w:tr>
      <w:tr>
        <w:trPr>
          <w:trHeight w:val="322"/>
        </w:trPr>
        <w:tc>
          <w:tcPr>
            <w:tcW w:w="120" w:type="dxa"/>
            <w:vAlign w:val="bottom"/>
            <w:vMerge w:val="restart"/>
          </w:tcPr>
          <w:p>
            <w:pPr>
              <w:ind w:left="20"/>
              <w:spacing w:after="0"/>
              <w:rPr>
                <w:sz w:val="20"/>
                <w:szCs w:val="20"/>
                <w:color w:val="auto"/>
              </w:rPr>
            </w:pPr>
            <w:r>
              <w:rPr>
                <w:rFonts w:ascii="Arial" w:cs="Arial" w:eastAsia="Arial" w:hAnsi="Arial"/>
                <w:sz w:val="23"/>
                <w:szCs w:val="23"/>
                <w:b w:val="1"/>
                <w:bCs w:val="1"/>
                <w:color w:val="auto"/>
              </w:rPr>
              <w:t>​</w:t>
            </w:r>
          </w:p>
        </w:tc>
        <w:tc>
          <w:tcPr>
            <w:tcW w:w="1280" w:type="dxa"/>
            <w:vAlign w:val="bottom"/>
            <w:vMerge w:val="restart"/>
          </w:tcPr>
          <w:p>
            <w:pPr>
              <w:spacing w:after="0"/>
              <w:rPr>
                <w:sz w:val="20"/>
                <w:szCs w:val="20"/>
                <w:color w:val="auto"/>
              </w:rPr>
            </w:pPr>
            <w:r>
              <w:rPr>
                <w:rFonts w:ascii="Arial" w:cs="Arial" w:eastAsia="Arial" w:hAnsi="Arial"/>
                <w:sz w:val="23"/>
                <w:szCs w:val="23"/>
                <w:b w:val="1"/>
                <w:bCs w:val="1"/>
                <w:color w:val="auto"/>
              </w:rPr>
              <w:t> </w:t>
            </w:r>
          </w:p>
        </w:tc>
        <w:tc>
          <w:tcPr>
            <w:tcW w:w="220" w:type="dxa"/>
            <w:vAlign w:val="bottom"/>
            <w:vMerge w:val="restart"/>
            <w:shd w:val="clear" w:color="auto" w:fill="FEFEFE"/>
          </w:tcPr>
          <w:p>
            <w:pPr>
              <w:ind w:left="20"/>
              <w:spacing w:after="0"/>
              <w:rPr>
                <w:sz w:val="20"/>
                <w:szCs w:val="20"/>
                <w:color w:val="auto"/>
              </w:rPr>
            </w:pPr>
            <w:r>
              <w:rPr>
                <w:rFonts w:ascii="Arial" w:cs="Arial" w:eastAsia="Arial" w:hAnsi="Arial"/>
                <w:sz w:val="23"/>
                <w:szCs w:val="23"/>
                <w:b w:val="1"/>
                <w:bCs w:val="1"/>
                <w:color w:val="auto"/>
              </w:rPr>
              <w:t>​</w:t>
            </w:r>
          </w:p>
        </w:tc>
        <w:tc>
          <w:tcPr>
            <w:tcW w:w="100" w:type="dxa"/>
            <w:vAlign w:val="bottom"/>
            <w:vMerge w:val="restart"/>
          </w:tcPr>
          <w:p>
            <w:pPr>
              <w:ind w:left="20"/>
              <w:spacing w:after="0"/>
              <w:rPr>
                <w:sz w:val="20"/>
                <w:szCs w:val="20"/>
                <w:color w:val="auto"/>
              </w:rPr>
            </w:pPr>
            <w:r>
              <w:rPr>
                <w:rFonts w:ascii="Arial" w:cs="Arial" w:eastAsia="Arial" w:hAnsi="Arial"/>
                <w:sz w:val="23"/>
                <w:szCs w:val="23"/>
                <w:b w:val="1"/>
                <w:bCs w:val="1"/>
                <w:color w:val="auto"/>
              </w:rPr>
              <w:t>​</w:t>
            </w:r>
          </w:p>
        </w:tc>
        <w:tc>
          <w:tcPr>
            <w:tcW w:w="1200" w:type="dxa"/>
            <w:vAlign w:val="bottom"/>
          </w:tcPr>
          <w:p>
            <w:pPr>
              <w:spacing w:after="0"/>
              <w:rPr>
                <w:sz w:val="24"/>
                <w:szCs w:val="24"/>
                <w:color w:val="auto"/>
              </w:rPr>
            </w:pPr>
          </w:p>
        </w:tc>
        <w:tc>
          <w:tcPr>
            <w:tcW w:w="220" w:type="dxa"/>
            <w:vAlign w:val="bottom"/>
            <w:vMerge w:val="restart"/>
            <w:shd w:val="clear" w:color="auto" w:fill="FEFEFE"/>
          </w:tcPr>
          <w:p>
            <w:pPr>
              <w:spacing w:after="0"/>
              <w:rPr>
                <w:sz w:val="20"/>
                <w:szCs w:val="20"/>
                <w:color w:val="auto"/>
              </w:rPr>
            </w:pPr>
            <w:r>
              <w:rPr>
                <w:rFonts w:ascii="Arial" w:cs="Arial" w:eastAsia="Arial" w:hAnsi="Arial"/>
                <w:sz w:val="23"/>
                <w:szCs w:val="23"/>
                <w:b w:val="1"/>
                <w:bCs w:val="1"/>
                <w:color w:val="auto"/>
              </w:rPr>
              <w:t>​</w:t>
            </w:r>
          </w:p>
        </w:tc>
        <w:tc>
          <w:tcPr>
            <w:tcW w:w="80" w:type="dxa"/>
            <w:vAlign w:val="bottom"/>
            <w:vMerge w:val="restart"/>
          </w:tcPr>
          <w:p>
            <w:pPr>
              <w:spacing w:after="0"/>
              <w:rPr>
                <w:sz w:val="20"/>
                <w:szCs w:val="20"/>
                <w:color w:val="auto"/>
              </w:rPr>
            </w:pPr>
            <w:r>
              <w:rPr>
                <w:rFonts w:ascii="Arial" w:cs="Arial" w:eastAsia="Arial" w:hAnsi="Arial"/>
                <w:sz w:val="23"/>
                <w:szCs w:val="23"/>
                <w:b w:val="1"/>
                <w:bCs w:val="1"/>
                <w:color w:val="auto"/>
              </w:rPr>
              <w:t>​</w:t>
            </w:r>
          </w:p>
        </w:tc>
        <w:tc>
          <w:tcPr>
            <w:tcW w:w="1220" w:type="dxa"/>
            <w:vAlign w:val="bottom"/>
          </w:tcPr>
          <w:p>
            <w:pPr>
              <w:ind w:left="40"/>
              <w:spacing w:after="0"/>
              <w:rPr>
                <w:sz w:val="20"/>
                <w:szCs w:val="20"/>
                <w:color w:val="auto"/>
              </w:rPr>
            </w:pPr>
            <w:r>
              <w:rPr>
                <w:rFonts w:ascii="Arial" w:cs="Arial" w:eastAsia="Arial" w:hAnsi="Arial"/>
                <w:sz w:val="23"/>
                <w:szCs w:val="23"/>
                <w:b w:val="1"/>
                <w:bCs w:val="1"/>
                <w:color w:val="FEFEFE"/>
              </w:rPr>
              <w:t>17.39%*</w:t>
            </w:r>
          </w:p>
        </w:tc>
        <w:tc>
          <w:tcPr>
            <w:tcW w:w="200" w:type="dxa"/>
            <w:vAlign w:val="bottom"/>
            <w:vMerge w:val="restart"/>
            <w:shd w:val="clear" w:color="auto" w:fill="FEFEFE"/>
          </w:tcPr>
          <w:p>
            <w:pPr>
              <w:spacing w:after="0"/>
              <w:rPr>
                <w:sz w:val="20"/>
                <w:szCs w:val="20"/>
                <w:color w:val="auto"/>
              </w:rPr>
            </w:pPr>
            <w:r>
              <w:rPr>
                <w:rFonts w:ascii="Arial" w:cs="Arial" w:eastAsia="Arial" w:hAnsi="Arial"/>
                <w:sz w:val="23"/>
                <w:szCs w:val="23"/>
                <w:b w:val="1"/>
                <w:bCs w:val="1"/>
                <w:color w:val="auto"/>
              </w:rPr>
              <w:t>​</w:t>
            </w:r>
          </w:p>
        </w:tc>
        <w:tc>
          <w:tcPr>
            <w:tcW w:w="1300" w:type="dxa"/>
            <w:vAlign w:val="bottom"/>
            <w:vMerge w:val="restart"/>
          </w:tcPr>
          <w:p>
            <w:pPr>
              <w:ind w:left="20"/>
              <w:spacing w:after="0"/>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63"/>
        </w:trPr>
        <w:tc>
          <w:tcPr>
            <w:tcW w:w="1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vMerge w:val="continue"/>
            <w:shd w:val="clear" w:color="auto" w:fill="FEFEFE"/>
          </w:tcPr>
          <w:p>
            <w:pPr>
              <w:spacing w:after="0"/>
              <w:rPr>
                <w:sz w:val="5"/>
                <w:szCs w:val="5"/>
                <w:color w:val="auto"/>
              </w:rPr>
            </w:pPr>
          </w:p>
        </w:tc>
        <w:tc>
          <w:tcPr>
            <w:tcW w:w="10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vMerge w:val="continue"/>
            <w:shd w:val="clear" w:color="auto" w:fill="FEFEFE"/>
          </w:tcPr>
          <w:p>
            <w:pPr>
              <w:spacing w:after="0"/>
              <w:rPr>
                <w:sz w:val="5"/>
                <w:szCs w:val="5"/>
                <w:color w:val="auto"/>
              </w:rPr>
            </w:pPr>
          </w:p>
        </w:tc>
        <w:tc>
          <w:tcPr>
            <w:tcW w:w="8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vMerge w:val="continue"/>
            <w:shd w:val="clear" w:color="auto" w:fill="FEFEF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28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22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1200" w:type="dxa"/>
            <w:vAlign w:val="bottom"/>
          </w:tcPr>
          <w:p>
            <w:pPr>
              <w:spacing w:after="0"/>
              <w:rPr>
                <w:sz w:val="9"/>
                <w:szCs w:val="9"/>
                <w:color w:val="auto"/>
              </w:rPr>
            </w:pPr>
          </w:p>
        </w:tc>
        <w:tc>
          <w:tcPr>
            <w:tcW w:w="22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8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1220" w:type="dxa"/>
            <w:vAlign w:val="bottom"/>
          </w:tcPr>
          <w:p>
            <w:pPr>
              <w:spacing w:after="0"/>
              <w:rPr>
                <w:sz w:val="9"/>
                <w:szCs w:val="9"/>
                <w:color w:val="auto"/>
              </w:rPr>
            </w:pPr>
          </w:p>
        </w:tc>
        <w:tc>
          <w:tcPr>
            <w:tcW w:w="200" w:type="dxa"/>
            <w:vAlign w:val="bottom"/>
          </w:tcPr>
          <w:p>
            <w:pPr>
              <w:spacing w:after="0" w:line="108" w:lineRule="exact"/>
              <w:rPr>
                <w:sz w:val="20"/>
                <w:szCs w:val="20"/>
                <w:color w:val="auto"/>
              </w:rPr>
            </w:pPr>
            <w:r>
              <w:rPr>
                <w:rFonts w:ascii="Arial" w:cs="Arial" w:eastAsia="Arial" w:hAnsi="Arial"/>
                <w:sz w:val="12"/>
                <w:szCs w:val="12"/>
                <w:b w:val="1"/>
                <w:bCs w:val="1"/>
                <w:color w:val="FEFEFE"/>
              </w:rPr>
              <w:t>​</w:t>
            </w:r>
          </w:p>
        </w:tc>
        <w:tc>
          <w:tcPr>
            <w:tcW w:w="1300" w:type="dxa"/>
            <w:vAlign w:val="bottom"/>
          </w:tcPr>
          <w:p>
            <w:pPr>
              <w:ind w:left="20"/>
              <w:spacing w:after="0" w:line="108" w:lineRule="exact"/>
              <w:rPr>
                <w:sz w:val="20"/>
                <w:szCs w:val="20"/>
                <w:color w:val="auto"/>
              </w:rPr>
            </w:pPr>
            <w:r>
              <w:rPr>
                <w:rFonts w:ascii="Arial" w:cs="Arial" w:eastAsia="Arial" w:hAnsi="Arial"/>
                <w:sz w:val="12"/>
                <w:szCs w:val="12"/>
                <w:b w:val="1"/>
                <w:bCs w:val="1"/>
                <w:color w:val="FEFEFE"/>
              </w:rPr>
              <w:t>​</w:t>
            </w:r>
          </w:p>
        </w:tc>
        <w:tc>
          <w:tcPr>
            <w:tcW w:w="0" w:type="dxa"/>
            <w:vAlign w:val="bottom"/>
          </w:tcPr>
          <w:p>
            <w:pPr>
              <w:spacing w:after="0"/>
              <w:rPr>
                <w:sz w:val="1"/>
                <w:szCs w:val="1"/>
                <w:color w:val="auto"/>
              </w:rPr>
            </w:pPr>
          </w:p>
        </w:tc>
      </w:tr>
      <w:tr>
        <w:trPr>
          <w:trHeight w:val="158"/>
        </w:trPr>
        <w:tc>
          <w:tcPr>
            <w:tcW w:w="1620" w:type="dxa"/>
            <w:vAlign w:val="bottom"/>
            <w:gridSpan w:val="3"/>
          </w:tcPr>
          <w:p>
            <w:pPr>
              <w:ind w:left="20"/>
              <w:spacing w:after="0" w:line="158" w:lineRule="exact"/>
              <w:rPr>
                <w:sz w:val="20"/>
                <w:szCs w:val="20"/>
                <w:color w:val="auto"/>
              </w:rPr>
            </w:pPr>
            <w:r>
              <w:rPr>
                <w:rFonts w:ascii="Arial" w:cs="Arial" w:eastAsia="Arial" w:hAnsi="Arial"/>
                <w:sz w:val="15"/>
                <w:szCs w:val="15"/>
                <w:color w:val="auto"/>
              </w:rPr>
              <w:t>​ Largest combined ​</w:t>
            </w:r>
          </w:p>
        </w:tc>
        <w:tc>
          <w:tcPr>
            <w:tcW w:w="1300" w:type="dxa"/>
            <w:vAlign w:val="bottom"/>
            <w:gridSpan w:val="2"/>
          </w:tcPr>
          <w:p>
            <w:pPr>
              <w:ind w:left="20"/>
              <w:spacing w:after="0" w:line="158" w:lineRule="exact"/>
              <w:rPr>
                <w:sz w:val="20"/>
                <w:szCs w:val="20"/>
                <w:color w:val="auto"/>
              </w:rPr>
            </w:pPr>
            <w:r>
              <w:rPr>
                <w:rFonts w:ascii="Arial" w:cs="Arial" w:eastAsia="Arial" w:hAnsi="Arial"/>
                <w:sz w:val="15"/>
                <w:szCs w:val="15"/>
                <w:color w:val="auto"/>
              </w:rPr>
              <w:t>​ Net interest</w:t>
            </w:r>
          </w:p>
        </w:tc>
        <w:tc>
          <w:tcPr>
            <w:tcW w:w="220" w:type="dxa"/>
            <w:vAlign w:val="bottom"/>
          </w:tcPr>
          <w:p>
            <w:pPr>
              <w:spacing w:after="0" w:line="158" w:lineRule="exact"/>
              <w:rPr>
                <w:sz w:val="20"/>
                <w:szCs w:val="20"/>
                <w:color w:val="auto"/>
              </w:rPr>
            </w:pPr>
            <w:r>
              <w:rPr>
                <w:rFonts w:ascii="Arial" w:cs="Arial" w:eastAsia="Arial" w:hAnsi="Arial"/>
                <w:sz w:val="15"/>
                <w:szCs w:val="15"/>
                <w:color w:val="auto"/>
              </w:rPr>
              <w:t>​</w:t>
            </w:r>
          </w:p>
        </w:tc>
        <w:tc>
          <w:tcPr>
            <w:tcW w:w="1300" w:type="dxa"/>
            <w:vAlign w:val="bottom"/>
            <w:gridSpan w:val="2"/>
          </w:tcPr>
          <w:p>
            <w:pPr>
              <w:spacing w:after="0" w:line="158" w:lineRule="exact"/>
              <w:rPr>
                <w:sz w:val="20"/>
                <w:szCs w:val="20"/>
                <w:color w:val="auto"/>
              </w:rPr>
            </w:pPr>
            <w:r>
              <w:rPr>
                <w:rFonts w:ascii="Arial" w:cs="Arial" w:eastAsia="Arial" w:hAnsi="Arial"/>
                <w:sz w:val="15"/>
                <w:szCs w:val="15"/>
                <w:color w:val="auto"/>
              </w:rPr>
              <w:t>​ Return on</w:t>
            </w:r>
          </w:p>
        </w:tc>
        <w:tc>
          <w:tcPr>
            <w:tcW w:w="200" w:type="dxa"/>
            <w:vAlign w:val="bottom"/>
          </w:tcPr>
          <w:p>
            <w:pPr>
              <w:spacing w:after="0" w:line="158" w:lineRule="exact"/>
              <w:rPr>
                <w:sz w:val="20"/>
                <w:szCs w:val="20"/>
                <w:color w:val="auto"/>
              </w:rPr>
            </w:pPr>
            <w:r>
              <w:rPr>
                <w:rFonts w:ascii="Arial" w:cs="Arial" w:eastAsia="Arial" w:hAnsi="Arial"/>
                <w:sz w:val="15"/>
                <w:szCs w:val="15"/>
                <w:color w:val="auto"/>
              </w:rPr>
              <w:t>​</w:t>
            </w:r>
          </w:p>
        </w:tc>
        <w:tc>
          <w:tcPr>
            <w:tcW w:w="1300" w:type="dxa"/>
            <w:vAlign w:val="bottom"/>
          </w:tcPr>
          <w:p>
            <w:pPr>
              <w:ind w:left="20"/>
              <w:spacing w:after="0" w:line="158" w:lineRule="exact"/>
              <w:rPr>
                <w:sz w:val="20"/>
                <w:szCs w:val="20"/>
                <w:color w:val="auto"/>
              </w:rPr>
            </w:pPr>
            <w:r>
              <w:rPr>
                <w:rFonts w:ascii="Arial" w:cs="Arial" w:eastAsia="Arial" w:hAnsi="Arial"/>
                <w:sz w:val="15"/>
                <w:szCs w:val="15"/>
                <w:color w:val="auto"/>
              </w:rPr>
              <w:t>​ Employees</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deposit base 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margin, up</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average total</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280" w:type="dxa"/>
            <w:vAlign w:val="bottom"/>
          </w:tcPr>
          <w:p>
            <w:pPr>
              <w:spacing w:after="0" w:line="162" w:lineRule="exact"/>
              <w:rPr>
                <w:sz w:val="20"/>
                <w:szCs w:val="20"/>
                <w:color w:val="auto"/>
              </w:rPr>
            </w:pPr>
            <w:r>
              <w:rPr>
                <w:rFonts w:ascii="Arial" w:cs="Arial" w:eastAsia="Arial" w:hAnsi="Arial"/>
                <w:sz w:val="15"/>
                <w:szCs w:val="15"/>
                <w:color w:val="auto"/>
              </w:rPr>
              <w:t>Hawaii, Guam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0"/>
              <w:spacing w:after="0" w:line="162" w:lineRule="exact"/>
              <w:rPr>
                <w:sz w:val="20"/>
                <w:szCs w:val="20"/>
                <w:color w:val="auto"/>
              </w:rPr>
            </w:pPr>
            <w:r>
              <w:rPr>
                <w:rFonts w:ascii="Arial" w:cs="Arial" w:eastAsia="Arial" w:hAnsi="Arial"/>
                <w:sz w:val="15"/>
                <w:szCs w:val="15"/>
                <w:color w:val="auto"/>
              </w:rPr>
              <w:t>14 basis points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40"/>
              <w:spacing w:after="0" w:line="162" w:lineRule="exact"/>
              <w:rPr>
                <w:sz w:val="20"/>
                <w:szCs w:val="20"/>
                <w:color w:val="auto"/>
              </w:rPr>
            </w:pPr>
            <w:r>
              <w:rPr>
                <w:rFonts w:ascii="Arial" w:cs="Arial" w:eastAsia="Arial" w:hAnsi="Arial"/>
                <w:sz w:val="15"/>
                <w:szCs w:val="15"/>
                <w:color w:val="auto"/>
              </w:rPr>
              <w:t>stockholders’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and Saipan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equity / return</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40"/>
              <w:spacing w:after="0"/>
              <w:rPr>
                <w:sz w:val="20"/>
                <w:szCs w:val="20"/>
                <w:color w:val="auto"/>
              </w:rPr>
            </w:pPr>
            <w:r>
              <w:rPr>
                <w:rFonts w:ascii="Arial" w:cs="Arial" w:eastAsia="Arial" w:hAnsi="Arial"/>
                <w:sz w:val="15"/>
                <w:szCs w:val="15"/>
                <w:color w:val="auto"/>
              </w:rPr>
              <w:t>on average</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-1137285</wp:posOffset>
            </wp:positionV>
            <wp:extent cx="3771900" cy="1465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0" cy="1465580"/>
                    </a:xfrm>
                    <a:prstGeom prst="rect">
                      <a:avLst/>
                    </a:prstGeom>
                    <a:noFill/>
                  </pic:spPr>
                </pic:pic>
              </a:graphicData>
            </a:graphic>
          </wp:anchor>
        </w:drawing>
      </w:r>
    </w:p>
    <w:p>
      <w:pPr>
        <w:ind w:left="7460"/>
        <w:spacing w:after="0" w:line="225" w:lineRule="auto"/>
        <w:rPr>
          <w:sz w:val="20"/>
          <w:szCs w:val="20"/>
          <w:color w:val="auto"/>
        </w:rPr>
      </w:pPr>
      <w:r>
        <w:rPr>
          <w:rFonts w:ascii="Arial" w:cs="Arial" w:eastAsia="Arial" w:hAnsi="Arial"/>
          <w:sz w:val="15"/>
          <w:szCs w:val="15"/>
          <w:color w:val="auto"/>
        </w:rPr>
        <w:t>tangible</w:t>
      </w:r>
    </w:p>
    <w:p>
      <w:pPr>
        <w:ind w:left="7460"/>
        <w:spacing w:after="0"/>
        <w:rPr>
          <w:sz w:val="20"/>
          <w:szCs w:val="20"/>
          <w:color w:val="auto"/>
        </w:rPr>
      </w:pPr>
      <w:r>
        <w:rPr>
          <w:rFonts w:ascii="Arial" w:cs="Arial" w:eastAsia="Arial" w:hAnsi="Arial"/>
          <w:sz w:val="15"/>
          <w:szCs w:val="15"/>
          <w:color w:val="auto"/>
        </w:rPr>
        <w:t>stockholders’</w:t>
      </w:r>
    </w:p>
    <w:p>
      <w:pPr>
        <w:spacing w:after="0" w:line="3"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132715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6" w:lineRule="exact"/>
        <w:rPr>
          <w:sz w:val="20"/>
          <w:szCs w:val="20"/>
          <w:color w:val="auto"/>
        </w:rPr>
      </w:pPr>
    </w:p>
    <w:p>
      <w:pPr>
        <w:ind w:left="880" w:right="140" w:hanging="368"/>
        <w:spacing w:after="0" w:line="351" w:lineRule="auto"/>
        <w:tabs>
          <w:tab w:leader="none" w:pos="8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a non-GAAP measure. Please see “</w:t>
      </w:r>
      <w:r>
        <w:rPr>
          <w:rFonts w:ascii="Arial" w:cs="Arial" w:eastAsia="Arial" w:hAnsi="Arial"/>
          <w:sz w:val="15"/>
          <w:szCs w:val="15"/>
          <w:i w:val="1"/>
          <w:iCs w:val="1"/>
          <w:color w:val="auto"/>
        </w:rPr>
        <w:t>Item 7. Management’s Discussion and Analysis of Financial Condition and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 in our Annual Report on Form 10-K for the year ended December 31, 2023 for an explanation and reconciliation.</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23"/>
          <w:szCs w:val="23"/>
          <w:b w:val="1"/>
          <w:bCs w:val="1"/>
          <w:color w:val="FEFEFE"/>
        </w:rPr>
        <w:t>​</w:t>
      </w:r>
    </w:p>
    <w:p>
      <w:pPr>
        <w:spacing w:after="0" w:line="13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t>
      </w:r>
      <w:r>
        <w:rPr>
          <w:rFonts w:ascii="Arial" w:cs="Arial" w:eastAsia="Arial" w:hAnsi="Arial"/>
          <w:sz w:val="46"/>
          <w:szCs w:val="46"/>
          <w:b w:val="1"/>
          <w:bCs w:val="1"/>
          <w:color w:val="FEFEFE"/>
          <w:vertAlign w:val="subscript"/>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24" w:lineRule="exact"/>
        <w:rPr>
          <w:sz w:val="20"/>
          <w:szCs w:val="20"/>
          <w:color w:val="auto"/>
        </w:rPr>
      </w:pPr>
    </w:p>
    <w:p>
      <w:pPr>
        <w:sectPr>
          <w:pgSz w:w="11900" w:h="16838" w:orient="portrait"/>
          <w:cols w:equalWidth="0" w:num="2">
            <w:col w:w="10140" w:space="20"/>
            <w:col w:w="60"/>
          </w:cols>
          <w:pgMar w:left="740" w:top="165" w:right="939" w:bottom="1440" w:gutter="0" w:footer="0" w:header="0"/>
          <w:type w:val="continuous"/>
        </w:sectPr>
      </w:pPr>
    </w:p>
    <w:p>
      <w:pPr>
        <w:ind w:left="52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1905</wp:posOffset>
            </wp:positionV>
            <wp:extent cx="59664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OUR PILLARS OF SUSTAINABILITY</w:t>
      </w:r>
    </w:p>
    <w:p>
      <w:pPr>
        <w:spacing w:after="0" w:line="122"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176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17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 ​</w:t>
            </w:r>
          </w:p>
        </w:tc>
        <w:tc>
          <w:tcPr>
            <w:tcW w:w="17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17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 ​</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6"/>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BF5B5A"/>
            </w:tcBorders>
          </w:tcPr>
          <w:p>
            <w:pPr>
              <w:spacing w:after="0"/>
              <w:rPr>
                <w:sz w:val="24"/>
                <w:szCs w:val="2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740" w:type="dxa"/>
            <w:vAlign w:val="bottom"/>
            <w:tcBorders>
              <w:bottom w:val="single" w:sz="8" w:color="BF5B5A"/>
            </w:tcBorders>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1720" w:type="dxa"/>
            <w:vAlign w:val="bottom"/>
            <w:tcBorders>
              <w:bottom w:val="single" w:sz="8" w:color="BF5B5A"/>
            </w:tcBorders>
          </w:tcPr>
          <w:p>
            <w:pPr>
              <w:spacing w:after="0"/>
              <w:rPr>
                <w:sz w:val="24"/>
                <w:szCs w:val="2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740" w:type="dxa"/>
            <w:vAlign w:val="bottom"/>
            <w:tcBorders>
              <w:bottom w:val="single" w:sz="8" w:color="BF5B5A"/>
            </w:tcBorders>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 ​</w:t>
            </w:r>
          </w:p>
        </w:tc>
        <w:tc>
          <w:tcPr>
            <w:tcW w:w="1720" w:type="dxa"/>
            <w:vAlign w:val="bottom"/>
            <w:tcBorders>
              <w:bottom w:val="single" w:sz="8" w:color="BF5B5A"/>
            </w:tcBorders>
          </w:tcPr>
          <w:p>
            <w:pPr>
              <w:spacing w:after="0"/>
              <w:rPr>
                <w:sz w:val="24"/>
                <w:szCs w:val="24"/>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0" w:type="dxa"/>
            <w:vAlign w:val="bottom"/>
            <w:vMerge w:val="continue"/>
          </w:tcPr>
          <w:p>
            <w:pPr>
              <w:spacing w:after="0"/>
              <w:rPr>
                <w:sz w:val="12"/>
                <w:szCs w:val="12"/>
                <w:color w:val="auto"/>
              </w:rPr>
            </w:pPr>
          </w:p>
        </w:tc>
        <w:tc>
          <w:tcPr>
            <w:tcW w:w="1720" w:type="dxa"/>
            <w:vAlign w:val="bottom"/>
          </w:tcPr>
          <w:p>
            <w:pPr>
              <w:ind w:left="80"/>
              <w:spacing w:after="0" w:line="147" w:lineRule="exact"/>
              <w:rPr>
                <w:sz w:val="20"/>
                <w:szCs w:val="20"/>
                <w:color w:val="auto"/>
              </w:rPr>
            </w:pPr>
            <w:r>
              <w:rPr>
                <w:rFonts w:ascii="Arial" w:cs="Arial" w:eastAsia="Arial" w:hAnsi="Arial"/>
                <w:sz w:val="14"/>
                <w:szCs w:val="14"/>
                <w:color w:val="auto"/>
              </w:rPr>
              <w:t>Promoting healthy</w:t>
            </w:r>
          </w:p>
        </w:tc>
        <w:tc>
          <w:tcPr>
            <w:tcW w:w="160" w:type="dxa"/>
            <w:vAlign w:val="bottom"/>
            <w:vMerge w:val="continue"/>
          </w:tcPr>
          <w:p>
            <w:pPr>
              <w:spacing w:after="0"/>
              <w:rPr>
                <w:sz w:val="12"/>
                <w:szCs w:val="12"/>
                <w:color w:val="auto"/>
              </w:rPr>
            </w:pPr>
          </w:p>
        </w:tc>
        <w:tc>
          <w:tcPr>
            <w:tcW w:w="1740" w:type="dxa"/>
            <w:vAlign w:val="bottom"/>
          </w:tcPr>
          <w:p>
            <w:pPr>
              <w:ind w:left="80"/>
              <w:spacing w:after="0" w:line="147" w:lineRule="exact"/>
              <w:rPr>
                <w:sz w:val="20"/>
                <w:szCs w:val="20"/>
                <w:color w:val="auto"/>
              </w:rPr>
            </w:pPr>
            <w:r>
              <w:rPr>
                <w:rFonts w:ascii="Arial" w:cs="Arial" w:eastAsia="Arial" w:hAnsi="Arial"/>
                <w:sz w:val="14"/>
                <w:szCs w:val="14"/>
                <w:color w:val="auto"/>
              </w:rPr>
              <w:t>Protecting the Company</w:t>
            </w:r>
          </w:p>
        </w:tc>
        <w:tc>
          <w:tcPr>
            <w:tcW w:w="160" w:type="dxa"/>
            <w:vAlign w:val="bottom"/>
            <w:vMerge w:val="continue"/>
          </w:tcPr>
          <w:p>
            <w:pPr>
              <w:spacing w:after="0"/>
              <w:rPr>
                <w:sz w:val="12"/>
                <w:szCs w:val="12"/>
                <w:color w:val="auto"/>
              </w:rPr>
            </w:pPr>
          </w:p>
        </w:tc>
        <w:tc>
          <w:tcPr>
            <w:tcW w:w="1720" w:type="dxa"/>
            <w:vAlign w:val="bottom"/>
          </w:tcPr>
          <w:p>
            <w:pPr>
              <w:ind w:left="80"/>
              <w:spacing w:after="0" w:line="147" w:lineRule="exact"/>
              <w:rPr>
                <w:sz w:val="20"/>
                <w:szCs w:val="20"/>
                <w:color w:val="auto"/>
              </w:rPr>
            </w:pPr>
            <w:r>
              <w:rPr>
                <w:rFonts w:ascii="Arial" w:cs="Arial" w:eastAsia="Arial" w:hAnsi="Arial"/>
                <w:sz w:val="14"/>
                <w:szCs w:val="14"/>
                <w:color w:val="auto"/>
              </w:rPr>
              <w:t>Growing our capacity by</w:t>
            </w:r>
          </w:p>
        </w:tc>
        <w:tc>
          <w:tcPr>
            <w:tcW w:w="160" w:type="dxa"/>
            <w:vAlign w:val="bottom"/>
            <w:vMerge w:val="continue"/>
          </w:tcPr>
          <w:p>
            <w:pPr>
              <w:spacing w:after="0"/>
              <w:rPr>
                <w:sz w:val="12"/>
                <w:szCs w:val="12"/>
                <w:color w:val="auto"/>
              </w:rPr>
            </w:pPr>
          </w:p>
        </w:tc>
        <w:tc>
          <w:tcPr>
            <w:tcW w:w="1740" w:type="dxa"/>
            <w:vAlign w:val="bottom"/>
          </w:tcPr>
          <w:p>
            <w:pPr>
              <w:ind w:left="80"/>
              <w:spacing w:after="0" w:line="147" w:lineRule="exact"/>
              <w:rPr>
                <w:sz w:val="20"/>
                <w:szCs w:val="20"/>
                <w:color w:val="auto"/>
              </w:rPr>
            </w:pPr>
            <w:r>
              <w:rPr>
                <w:rFonts w:ascii="Arial" w:cs="Arial" w:eastAsia="Arial" w:hAnsi="Arial"/>
                <w:sz w:val="14"/>
                <w:szCs w:val="14"/>
                <w:color w:val="auto"/>
              </w:rPr>
              <w:t>Accepting our</w:t>
            </w:r>
          </w:p>
        </w:tc>
        <w:tc>
          <w:tcPr>
            <w:tcW w:w="160" w:type="dxa"/>
            <w:vAlign w:val="bottom"/>
            <w:vMerge w:val="continue"/>
          </w:tcPr>
          <w:p>
            <w:pPr>
              <w:spacing w:after="0"/>
              <w:rPr>
                <w:sz w:val="12"/>
                <w:szCs w:val="12"/>
                <w:color w:val="auto"/>
              </w:rPr>
            </w:pPr>
          </w:p>
        </w:tc>
        <w:tc>
          <w:tcPr>
            <w:tcW w:w="1720" w:type="dxa"/>
            <w:vAlign w:val="bottom"/>
          </w:tcPr>
          <w:p>
            <w:pPr>
              <w:ind w:left="80"/>
              <w:spacing w:after="0" w:line="147" w:lineRule="exact"/>
              <w:rPr>
                <w:sz w:val="20"/>
                <w:szCs w:val="20"/>
                <w:color w:val="auto"/>
              </w:rPr>
            </w:pPr>
            <w:r>
              <w:rPr>
                <w:rFonts w:ascii="Arial" w:cs="Arial" w:eastAsia="Arial" w:hAnsi="Arial"/>
                <w:sz w:val="14"/>
                <w:szCs w:val="14"/>
                <w:color w:val="auto"/>
              </w:rPr>
              <w:t>Increasing the potential</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color w:val="auto"/>
              </w:rPr>
              <w:t>profitability through</w:t>
            </w:r>
          </w:p>
        </w:tc>
        <w:tc>
          <w:tcPr>
            <w:tcW w:w="16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color w:val="auto"/>
              </w:rPr>
              <w:t>and its stakeholders</w:t>
            </w: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Investing in Company</w:t>
            </w:r>
          </w:p>
        </w:tc>
        <w:tc>
          <w:tcPr>
            <w:tcW w:w="1740" w:type="dxa"/>
            <w:vAlign w:val="bottom"/>
          </w:tcPr>
          <w:p>
            <w:pPr>
              <w:ind w:left="80"/>
              <w:spacing w:after="0"/>
              <w:rPr>
                <w:sz w:val="20"/>
                <w:szCs w:val="20"/>
                <w:color w:val="auto"/>
              </w:rPr>
            </w:pPr>
            <w:r>
              <w:rPr>
                <w:rFonts w:ascii="Arial" w:cs="Arial" w:eastAsia="Arial" w:hAnsi="Arial"/>
                <w:sz w:val="14"/>
                <w:szCs w:val="14"/>
                <w:color w:val="auto"/>
              </w:rPr>
              <w:t>responsibility as an</w:t>
            </w:r>
          </w:p>
        </w:tc>
        <w:tc>
          <w:tcPr>
            <w:tcW w:w="16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color w:val="auto"/>
              </w:rPr>
              <w:t>of our communities by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Values-Based</w:t>
            </w:r>
          </w:p>
        </w:tc>
        <w:tc>
          <w:tcPr>
            <w:tcW w:w="16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color w:val="auto"/>
              </w:rPr>
              <w:t xml:space="preserve">through </w:t>
            </w:r>
            <w:r>
              <w:rPr>
                <w:rFonts w:ascii="Arial" w:cs="Arial" w:eastAsia="Arial" w:hAnsi="Arial"/>
                <w:sz w:val="14"/>
                <w:szCs w:val="14"/>
                <w:b w:val="1"/>
                <w:bCs w:val="1"/>
                <w:color w:val="auto"/>
              </w:rPr>
              <w:t>Responsible</w:t>
            </w: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Culture and our</w:t>
            </w:r>
          </w:p>
        </w:tc>
        <w:tc>
          <w:tcPr>
            <w:tcW w:w="1740" w:type="dxa"/>
            <w:vAlign w:val="bottom"/>
          </w:tcPr>
          <w:p>
            <w:pPr>
              <w:ind w:left="80"/>
              <w:spacing w:after="0"/>
              <w:rPr>
                <w:sz w:val="20"/>
                <w:szCs w:val="20"/>
                <w:color w:val="auto"/>
              </w:rPr>
            </w:pPr>
            <w:r>
              <w:rPr>
                <w:rFonts w:ascii="Arial" w:cs="Arial" w:eastAsia="Arial" w:hAnsi="Arial"/>
                <w:sz w:val="14"/>
                <w:szCs w:val="14"/>
                <w:color w:val="auto"/>
              </w:rPr>
              <w:t>organization for</w:t>
            </w:r>
          </w:p>
        </w:tc>
        <w:tc>
          <w:tcPr>
            <w:tcW w:w="16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color w:val="auto"/>
              </w:rPr>
              <w:t>investing in programs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Governance</w:t>
            </w:r>
          </w:p>
        </w:tc>
        <w:tc>
          <w:tcPr>
            <w:tcW w:w="16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Risk Management</w:t>
            </w: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Employees</w:t>
            </w: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Improving our</w:t>
            </w:r>
          </w:p>
        </w:tc>
        <w:tc>
          <w:tcPr>
            <w:tcW w:w="160" w:type="dxa"/>
            <w:vAlign w:val="bottom"/>
          </w:tcPr>
          <w:p>
            <w:pPr>
              <w:spacing w:after="0"/>
              <w:rPr>
                <w:sz w:val="14"/>
                <w:szCs w:val="14"/>
                <w:color w:val="auto"/>
              </w:rPr>
            </w:pPr>
          </w:p>
        </w:tc>
        <w:tc>
          <w:tcPr>
            <w:tcW w:w="1720" w:type="dxa"/>
            <w:vAlign w:val="bottom"/>
          </w:tcPr>
          <w:p>
            <w:pPr>
              <w:ind w:left="80"/>
              <w:spacing w:after="0"/>
              <w:rPr>
                <w:sz w:val="20"/>
                <w:szCs w:val="20"/>
                <w:color w:val="auto"/>
              </w:rPr>
            </w:pPr>
            <w:r>
              <w:rPr>
                <w:rFonts w:ascii="Arial" w:cs="Arial" w:eastAsia="Arial" w:hAnsi="Arial"/>
                <w:sz w:val="14"/>
                <w:szCs w:val="14"/>
                <w:color w:val="auto"/>
              </w:rPr>
              <w:t xml:space="preserve">that </w:t>
            </w:r>
            <w:r>
              <w:rPr>
                <w:rFonts w:ascii="Arial" w:cs="Arial" w:eastAsia="Arial" w:hAnsi="Arial"/>
                <w:sz w:val="14"/>
                <w:szCs w:val="14"/>
                <w:b w:val="1"/>
                <w:bCs w:val="1"/>
                <w:color w:val="auto"/>
              </w:rPr>
              <w:t>Maximize Social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Environmental Impact</w:t>
            </w:r>
          </w:p>
        </w:tc>
        <w:tc>
          <w:tcPr>
            <w:tcW w:w="160" w:type="dxa"/>
            <w:vAlign w:val="bottom"/>
          </w:tcPr>
          <w:p>
            <w:pPr>
              <w:spacing w:after="0"/>
              <w:rPr>
                <w:sz w:val="17"/>
                <w:szCs w:val="17"/>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Impact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-898525</wp:posOffset>
            </wp:positionV>
            <wp:extent cx="27432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 cy="26606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-898525</wp:posOffset>
            </wp:positionV>
            <wp:extent cx="28257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30035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-898525</wp:posOffset>
            </wp:positionV>
            <wp:extent cx="30861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-898525</wp:posOffset>
            </wp:positionV>
            <wp:extent cx="26606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065" cy="282575"/>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-898525</wp:posOffset>
            </wp:positionV>
            <wp:extent cx="41148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274320"/>
                    </a:xfrm>
                    <a:prstGeom prst="rect">
                      <a:avLst/>
                    </a:prstGeom>
                    <a:noFill/>
                  </pic:spPr>
                </pic:pic>
              </a:graphicData>
            </a:graphic>
          </wp:anchor>
        </w:drawing>
      </w:r>
    </w:p>
    <w:p>
      <w:pPr>
        <w:sectPr>
          <w:pgSz w:w="11900" w:h="16838" w:orient="portrait"/>
          <w:cols w:equalWidth="0" w:num="1">
            <w:col w:w="10220"/>
          </w:cols>
          <w:pgMar w:left="740" w:top="165" w:right="9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441325</wp:posOffset>
            </wp:positionV>
            <wp:extent cx="2562860"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CEO’S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357505</wp:posOffset>
            </wp:positionV>
            <wp:extent cx="865505" cy="866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550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TO OUR STOCKHOLDERS:</w:t>
      </w:r>
    </w:p>
    <w:p>
      <w:pPr>
        <w:spacing w:after="0" w:line="164" w:lineRule="exact"/>
        <w:rPr>
          <w:sz w:val="20"/>
          <w:szCs w:val="20"/>
          <w:color w:val="auto"/>
        </w:rPr>
      </w:pPr>
    </w:p>
    <w:p>
      <w:pPr>
        <w:ind w:left="780"/>
        <w:spacing w:after="0" w:line="254" w:lineRule="auto"/>
        <w:rPr>
          <w:sz w:val="20"/>
          <w:szCs w:val="20"/>
          <w:color w:val="auto"/>
        </w:rPr>
      </w:pPr>
      <w:r>
        <w:rPr>
          <w:rFonts w:ascii="Arial" w:cs="Arial" w:eastAsia="Arial" w:hAnsi="Arial"/>
          <w:sz w:val="18"/>
          <w:szCs w:val="18"/>
          <w:color w:val="auto"/>
        </w:rPr>
        <w:t>We cordially invite you to attend our 2024 Annual Meeting of Stockholders. The meeting will be held via live webcast on Wednesday, April 24, 2024 at 8:00 a.m. Hawaiian Standard Time. You will be able to participate in the 2024 Annual Meeting online at https://web.lumiagm.com/​224987645 and may submit questions and vote your shares electronically. The attached Notice of our 2024 Annual Meeting of Stockholders and proxy statement provide details on how to join the meeting and the business we plan to conduct.</w:t>
      </w:r>
    </w:p>
    <w:p>
      <w:pPr>
        <w:spacing w:after="0" w:line="28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2023—A Year of Resiliency</w:t>
      </w:r>
    </w:p>
    <w:p>
      <w:pPr>
        <w:spacing w:after="0" w:line="164" w:lineRule="exact"/>
        <w:rPr>
          <w:sz w:val="20"/>
          <w:szCs w:val="20"/>
          <w:color w:val="auto"/>
        </w:rPr>
      </w:pPr>
    </w:p>
    <w:p>
      <w:pPr>
        <w:ind w:left="780" w:right="60"/>
        <w:spacing w:after="0" w:line="252" w:lineRule="auto"/>
        <w:rPr>
          <w:sz w:val="20"/>
          <w:szCs w:val="20"/>
          <w:color w:val="auto"/>
        </w:rPr>
      </w:pPr>
      <w:r>
        <w:rPr>
          <w:rFonts w:ascii="Arial" w:cs="Arial" w:eastAsia="Arial" w:hAnsi="Arial"/>
          <w:sz w:val="18"/>
          <w:szCs w:val="18"/>
          <w:color w:val="auto"/>
        </w:rPr>
        <w:t>2023 was marked by uncertainty as evidenced by a set of events not seen in decades putting the banking industry to the test. Against the backdrop of three prominent mainland bank failures and a challenging interest rate environment, we continued to focus on what we do best—offer great customer service, consistently evolve our diverse product portfolio, demonstrate economic support for our communities and deliver tangible financial results. Notwithstanding rapidly rising interest rates, we saw deposit outflows of only $356.4 million, while we grew loans by $261.5 million, improving our net interest margin by 14 basis points to 2.92% and increasing our Common Equity Tier 1 capital ratio from 11.82% at December 31, 2022 to 12.39% at December 31, 2023.</w:t>
      </w:r>
    </w:p>
    <w:p>
      <w:pPr>
        <w:spacing w:after="0" w:line="344"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Marking over 165 years of excellence, First Hawaiian Bank continues to stay true to its founding principles of trust and integrity. Our coordinated, modern relationship bank, client-focused approach remains a cornerstone of our business model, which encompasses stability and resiliency, as well as our desire to be well positioned to drive value over the years to come.</w:t>
      </w:r>
    </w:p>
    <w:p>
      <w:pPr>
        <w:spacing w:after="0" w:line="109" w:lineRule="exact"/>
        <w:rPr>
          <w:sz w:val="20"/>
          <w:szCs w:val="20"/>
          <w:color w:val="auto"/>
        </w:rPr>
      </w:pPr>
    </w:p>
    <w:p>
      <w:pPr>
        <w:ind w:left="780" w:right="100"/>
        <w:spacing w:after="0" w:line="287" w:lineRule="auto"/>
        <w:rPr>
          <w:sz w:val="20"/>
          <w:szCs w:val="20"/>
          <w:color w:val="auto"/>
        </w:rPr>
      </w:pPr>
      <w:r>
        <w:rPr>
          <w:rFonts w:ascii="Arial" w:cs="Arial" w:eastAsia="Arial" w:hAnsi="Arial"/>
          <w:sz w:val="18"/>
          <w:szCs w:val="18"/>
          <w:color w:val="auto"/>
        </w:rPr>
        <w:t>During 2023, we continued to make progress in optimizing new technologies with the transformation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of our digital footprint. Together with building a diverse and high performing workforce across the entire organization, we continue to take steps to ensure we maintain our competitive standing in a fast-changing and dynamic market. As confirmation of our success, we are honored to once again be named to the World’s Best Banks list published by Forbes for a second year, together with the distinction of being a Top Hawaii Bank (Forbes) and listed as the Best Big Bank in Hawaii by Newsweek magazine.</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Helping our Communities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Support of our communities, customers and team members was never more important than this past year. With two environmental disasters hitting Guam (strongest tropical cyclone in the world) and Maui (the devastating wildfires), we immediately put in place financial relief efforts and digital banking options for customers and partnered with local organizations and associations to assist during these very trying times of crisis.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response to the Maui wildfires, we partnered with the Hawaii Bankers Association to benefit the Hawaii Community Foundation’s Maui Strong Fund via the Aloha for Maui campaign. Among other initiatives, we donated $250,000 to fast-track community giving and encouraged donations at all branch locations and online. Additional information about our community support and impact can be found under “</w:t>
      </w:r>
      <w:r>
        <w:rPr>
          <w:rFonts w:ascii="Arial" w:cs="Arial" w:eastAsia="Arial" w:hAnsi="Arial"/>
          <w:sz w:val="18"/>
          <w:szCs w:val="18"/>
          <w:i w:val="1"/>
          <w:iCs w:val="1"/>
          <w:color w:val="auto"/>
        </w:rPr>
        <w:t>Proxy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Summary—First Hawaiian Commitment to Environmental, Social and Governance Matters.</w:t>
      </w:r>
      <w:r>
        <w:rPr>
          <w:rFonts w:ascii="Arial" w:cs="Arial" w:eastAsia="Arial" w:hAnsi="Arial"/>
          <w:sz w:val="18"/>
          <w:szCs w:val="18"/>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The Annual Meeting</w:t>
      </w:r>
    </w:p>
    <w:p>
      <w:pPr>
        <w:spacing w:after="0" w:line="17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Board of Directors and senior officers, together with representatives from our independent registered public accounting firm, will be in attendance at the Annual Meeting to respond to your questions. We encourage you to read our 2024 Proxy Summary,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245745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20"/>
            <w:col w:w="4380"/>
          </w:cols>
          <w:pgMar w:left="580" w:top="97" w:right="137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80"/>
        <w:spacing w:after="0" w:line="274" w:lineRule="auto"/>
        <w:rPr>
          <w:sz w:val="20"/>
          <w:szCs w:val="20"/>
          <w:color w:val="auto"/>
        </w:rPr>
      </w:pPr>
      <w:r>
        <w:rPr>
          <w:rFonts w:ascii="Arial" w:cs="Arial" w:eastAsia="Arial" w:hAnsi="Arial"/>
          <w:sz w:val="18"/>
          <w:szCs w:val="18"/>
          <w:color w:val="auto"/>
        </w:rPr>
        <w:t>2023 Annual Report to Stockholders and our Annual Report on Form 10-K for the year ended December 31, 2023 prior to the meeting. Complete instructions on how to vote begin on page 2. Whether or not you plan to attend the meeting, please complete, sign, date and return the enclosed proxy card in the envelope provided or vote telephonically or electronically using the telephone or Internet voting procedures described on your proxy card at your earlier convenience. Our Board of Directors along with our leadership team value the views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our stockholders and look forward to your participation at this year’s Annual Meeting. Thank you for your continued support of First Hawaiian, Inc.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102870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S. Harrison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6897370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00" w:space="460"/>
            <w:col w:w="4360"/>
          </w:cols>
          <w:pgMar w:left="580" w:top="97" w:right="13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5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-118745</wp:posOffset>
            </wp:positionV>
            <wp:extent cx="2562860" cy="848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48360"/>
                    </a:xfrm>
                    <a:prstGeom prst="rect">
                      <a:avLst/>
                    </a:prstGeom>
                    <a:noFill/>
                  </pic:spPr>
                </pic:pic>
              </a:graphicData>
            </a:graphic>
          </wp:anchor>
        </w:drawing>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NOTICE OF 2024</w:t>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ANNUAL MEETING OF</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Notice Hereby is Given </w:t>
      </w:r>
      <w:r>
        <w:rPr>
          <w:rFonts w:ascii="Arial" w:cs="Arial" w:eastAsia="Arial" w:hAnsi="Arial"/>
          <w:sz w:val="18"/>
          <w:szCs w:val="18"/>
          <w:color w:val="auto"/>
        </w:rPr>
        <w:t>that the 2024 Annual Meeting of Stockholders of First Hawaiian, Inc. will be held:</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154940</wp:posOffset>
            </wp:positionV>
            <wp:extent cx="5829300" cy="165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0" cy="165481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352" w:lineRule="exact"/>
        <w:rPr>
          <w:sz w:val="20"/>
          <w:szCs w:val="20"/>
          <w:color w:val="auto"/>
        </w:rPr>
      </w:pPr>
    </w:p>
    <w:p>
      <w:pPr>
        <w:ind w:left="940" w:hanging="160"/>
        <w:spacing w:after="0"/>
        <w:tabs>
          <w:tab w:leader="none" w:pos="940" w:val="left"/>
        </w:tabs>
        <w:numPr>
          <w:ilvl w:val="0"/>
          <w:numId w:val="8"/>
        </w:numPr>
        <w:rPr>
          <w:rFonts w:ascii="Arial" w:cs="Arial" w:eastAsia="Arial" w:hAnsi="Arial"/>
          <w:sz w:val="18"/>
          <w:szCs w:val="18"/>
          <w:b w:val="1"/>
          <w:bCs w:val="1"/>
          <w:color w:val="FFFFFF"/>
        </w:rPr>
      </w:pPr>
      <w:r>
        <w:rPr>
          <w:rFonts w:ascii="Arial" w:cs="Arial" w:eastAsia="Arial" w:hAnsi="Arial"/>
          <w:sz w:val="1"/>
          <w:szCs w:val="1"/>
          <w:b w:val="1"/>
          <w:bCs w:val="1"/>
          <w:color w:val="FFFFFF"/>
        </w:rPr>
        <w:drawing>
          <wp:inline distT="0" distB="0" distL="0" distR="0">
            <wp:extent cx="265430" cy="2654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430" cy="265430"/>
                    </a:xfrm>
                    <a:prstGeom prst="rect">
                      <a:avLst/>
                    </a:prstGeom>
                    <a:noFill/>
                    <a:ln>
                      <a:noFill/>
                    </a:ln>
                  </pic:spPr>
                </pic:pic>
              </a:graphicData>
            </a:graphic>
          </wp:inline>
        </w:drawing>
      </w:r>
      <w:r>
        <w:rPr>
          <w:rFonts w:ascii="Arial" w:cs="Arial" w:eastAsia="Arial" w:hAnsi="Arial"/>
          <w:sz w:val="18"/>
          <w:szCs w:val="18"/>
          <w:b w:val="1"/>
          <w:bCs w:val="1"/>
          <w:color w:val="FFFFFF"/>
        </w:rPr>
        <w:t xml:space="preserve"> ​ ​ WHEN</w:t>
      </w:r>
    </w:p>
    <w:p>
      <w:pPr>
        <w:spacing w:after="0" w:line="69" w:lineRule="exact"/>
        <w:rPr>
          <w:rFonts w:ascii="Arial" w:cs="Arial" w:eastAsia="Arial" w:hAnsi="Arial"/>
          <w:sz w:val="18"/>
          <w:szCs w:val="18"/>
          <w:b w:val="1"/>
          <w:bCs w:val="1"/>
          <w:color w:val="FFFFFF"/>
        </w:rPr>
      </w:pPr>
    </w:p>
    <w:p>
      <w:pPr>
        <w:jc w:val="both"/>
        <w:ind w:left="860" w:hanging="80"/>
        <w:spacing w:after="0" w:line="210" w:lineRule="auto"/>
        <w:tabs>
          <w:tab w:leader="none" w:pos="860" w:val="left"/>
        </w:tabs>
        <w:numPr>
          <w:ilvl w:val="0"/>
          <w:numId w:val="8"/>
        </w:numPr>
        <w:rPr>
          <w:rFonts w:ascii="Arial" w:cs="Arial" w:eastAsia="Arial" w:hAnsi="Arial"/>
          <w:sz w:val="32"/>
          <w:szCs w:val="32"/>
          <w:color w:val="auto"/>
          <w:vertAlign w:val="superscript"/>
        </w:rPr>
      </w:pPr>
      <w:r>
        <w:rPr>
          <w:rFonts w:ascii="Arial" w:cs="Arial" w:eastAsia="Arial" w:hAnsi="Arial"/>
          <w:sz w:val="16"/>
          <w:szCs w:val="16"/>
          <w:color w:val="auto"/>
        </w:rPr>
        <w:t>Wednesday, April 24, 2024, 8:00 a.m., Hawaii Standard Time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94"/>
        </w:trPr>
        <w:tc>
          <w:tcPr>
            <w:tcW w:w="220" w:type="dxa"/>
            <w:vAlign w:val="bottom"/>
          </w:tcPr>
          <w:p>
            <w:pPr>
              <w:spacing w:after="0"/>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BF5B5A"/>
          </w:tcPr>
          <w:p>
            <w:pPr>
              <w:spacing w:after="0"/>
              <w:rPr>
                <w:sz w:val="20"/>
                <w:szCs w:val="20"/>
                <w:color w:val="auto"/>
              </w:rPr>
            </w:pPr>
            <w:r>
              <w:rPr>
                <w:rFonts w:ascii="Arial" w:cs="Arial" w:eastAsia="Arial" w:hAnsi="Arial"/>
                <w:sz w:val="18"/>
                <w:szCs w:val="18"/>
                <w:b w:val="1"/>
                <w:bCs w:val="1"/>
                <w:color w:val="FFFFFF"/>
              </w:rPr>
              <w:t>​</w:t>
            </w:r>
          </w:p>
        </w:tc>
        <w:tc>
          <w:tcPr>
            <w:tcW w:w="2460" w:type="dxa"/>
            <w:vAlign w:val="bottom"/>
            <w:shd w:val="clear" w:color="auto" w:fill="BF5B5A"/>
          </w:tcPr>
          <w:p>
            <w:pPr>
              <w:ind w:left="500"/>
              <w:spacing w:after="0"/>
              <w:rPr>
                <w:sz w:val="20"/>
                <w:szCs w:val="20"/>
                <w:color w:val="auto"/>
              </w:rPr>
            </w:pPr>
            <w:r>
              <w:rPr>
                <w:rFonts w:ascii="Arial" w:cs="Arial" w:eastAsia="Arial" w:hAnsi="Arial"/>
                <w:sz w:val="18"/>
                <w:szCs w:val="18"/>
                <w:b w:val="1"/>
                <w:bCs w:val="1"/>
                <w:color w:val="FFFFFF"/>
              </w:rPr>
              <w:t>​ ​ WHO MAY VOTE</w:t>
            </w:r>
          </w:p>
        </w:tc>
        <w:tc>
          <w:tcPr>
            <w:tcW w:w="140" w:type="dxa"/>
            <w:vAlign w:val="bottom"/>
          </w:tcPr>
          <w:p>
            <w:pPr>
              <w:spacing w:after="0"/>
              <w:rPr>
                <w:sz w:val="20"/>
                <w:szCs w:val="20"/>
                <w:color w:val="auto"/>
              </w:rPr>
            </w:pPr>
            <w:r>
              <w:rPr>
                <w:rFonts w:ascii="Arial" w:cs="Arial" w:eastAsia="Arial" w:hAnsi="Arial"/>
                <w:sz w:val="18"/>
                <w:szCs w:val="18"/>
                <w:b w:val="1"/>
                <w:bCs w:val="1"/>
                <w:color w:val="FFFFFF"/>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FFFFFF"/>
              </w:rPr>
              <w:t>​</w:t>
            </w:r>
          </w:p>
        </w:tc>
        <w:tc>
          <w:tcPr>
            <w:tcW w:w="3520" w:type="dxa"/>
            <w:vAlign w:val="bottom"/>
          </w:tcPr>
          <w:p>
            <w:pPr>
              <w:ind w:left="600"/>
              <w:spacing w:after="0"/>
              <w:rPr>
                <w:sz w:val="20"/>
                <w:szCs w:val="20"/>
                <w:color w:val="auto"/>
              </w:rPr>
            </w:pPr>
            <w:r>
              <w:rPr>
                <w:rFonts w:ascii="Arial" w:cs="Arial" w:eastAsia="Arial" w:hAnsi="Arial"/>
                <w:sz w:val="18"/>
                <w:szCs w:val="18"/>
                <w:b w:val="1"/>
                <w:bCs w:val="1"/>
                <w:color w:val="FFFFFF"/>
              </w:rPr>
              <w:t>​ ​ ACCESS</w:t>
            </w:r>
          </w:p>
        </w:tc>
      </w:tr>
      <w:tr>
        <w:trPr>
          <w:trHeight w:val="256"/>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Stockholders of record on the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680" w:type="dxa"/>
            <w:vAlign w:val="bottom"/>
            <w:gridSpan w:val="2"/>
          </w:tcPr>
          <w:p>
            <w:pPr>
              <w:ind w:left="8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Via webcast at </w:t>
            </w:r>
            <w:r>
              <w:rPr>
                <w:rFonts w:ascii="Arial" w:cs="Arial" w:eastAsia="Arial" w:hAnsi="Arial"/>
                <w:sz w:val="15"/>
                <w:szCs w:val="15"/>
                <w:color w:val="BF5B5A"/>
              </w:rPr>
              <w:t>https://web.lumiagm.com/</w:t>
            </w:r>
            <w:r>
              <w:rPr>
                <w:rFonts w:ascii="Arial" w:cs="Arial" w:eastAsia="Arial" w:hAnsi="Arial"/>
                <w:sz w:val="15"/>
                <w:szCs w:val="15"/>
                <w:color w:val="auto"/>
              </w:rPr>
              <w:t>​</w:t>
            </w:r>
          </w:p>
        </w:tc>
      </w:tr>
      <w:tr>
        <w:trPr>
          <w:trHeight w:val="215"/>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record date, March 1, 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BF5B5A"/>
              </w:rPr>
              <w:t>224987645</w:t>
            </w:r>
            <w:r>
              <w:rPr>
                <w:rFonts w:ascii="Arial" w:cs="Arial" w:eastAsia="Arial" w:hAnsi="Arial"/>
                <w:sz w:val="16"/>
                <w:szCs w:val="16"/>
                <w:color w:val="000000"/>
              </w:rPr>
              <w:t>; access available beginning at</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7:30 a.m., local time in Honolulu, Hawaii, on</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April 24, 2024. Enter your voter control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-864235</wp:posOffset>
            </wp:positionV>
            <wp:extent cx="18034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000000"/>
                        </a:clrFrom>
                        <a:clrTo>
                          <a:srgbClr val="000000">
                            <a:alpha val="0"/>
                          </a:srgbClr>
                        </a:clrTo>
                      </a:clrChange>
                      <a:extLst>
                        <a:ext uri="{28A0092B-C50C-407E-A947-70E740481C1C}"/>
                      </a:extLst>
                    </a:blip>
                    <a:srcRect/>
                    <a:stretch>
                      <a:fillRect/>
                    </a:stretch>
                  </pic:blipFill>
                  <pic:spPr bwMode="auto">
                    <a:xfrm>
                      <a:off x="0" y="0"/>
                      <a:ext cx="180340" cy="248920"/>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-864235</wp:posOffset>
            </wp:positionV>
            <wp:extent cx="18034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80340" cy="248920"/>
                    </a:xfrm>
                    <a:prstGeom prst="rect">
                      <a:avLst/>
                    </a:prstGeom>
                    <a:noFill/>
                  </pic:spPr>
                </pic:pic>
              </a:graphicData>
            </a:graphic>
          </wp:anchor>
        </w:drawing>
      </w:r>
    </w:p>
    <w:p>
      <w:pPr>
        <w:ind w:left="3080"/>
        <w:spacing w:after="0" w:line="291" w:lineRule="auto"/>
        <w:rPr>
          <w:sz w:val="20"/>
          <w:szCs w:val="20"/>
          <w:color w:val="auto"/>
        </w:rPr>
      </w:pPr>
      <w:r>
        <w:rPr>
          <w:rFonts w:ascii="Arial" w:cs="Arial" w:eastAsia="Arial" w:hAnsi="Arial"/>
          <w:sz w:val="16"/>
          <w:szCs w:val="16"/>
          <w:color w:val="auto"/>
        </w:rPr>
        <w:t>found on your Important Notice Regarding the Availability of Proxy Materials, on your proxy card or on the instructions that accompanied your proxy materials, along with the password of fh2024 (case sensitive).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933" w:lineRule="exact"/>
        <w:rPr>
          <w:sz w:val="20"/>
          <w:szCs w:val="20"/>
          <w:color w:val="auto"/>
        </w:rPr>
      </w:pPr>
    </w:p>
    <w:p>
      <w:pPr>
        <w:sectPr>
          <w:pgSz w:w="11900" w:h="16838" w:orient="portrait"/>
          <w:cols w:equalWidth="0" w:num="3">
            <w:col w:w="2900" w:space="100"/>
            <w:col w:w="6860" w:space="40"/>
            <w:col w:w="820"/>
          </w:cols>
          <w:pgMar w:left="580" w:top="97" w:right="59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At the Annual Meeting, we will ask you to consider and vote upon these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582930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0" cy="17145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p>
      <w:pPr>
        <w:spacing w:after="0" w:line="23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 Items of Business</w:t>
      </w:r>
    </w:p>
    <w:p>
      <w:pPr>
        <w:spacing w:after="0" w:line="3" w:lineRule="exact"/>
        <w:rPr>
          <w:sz w:val="20"/>
          <w:szCs w:val="20"/>
          <w:color w:val="auto"/>
        </w:rPr>
      </w:pPr>
    </w:p>
    <w:p>
      <w:pPr>
        <w:ind w:left="1320" w:hanging="539"/>
        <w:spacing w:after="0" w:line="180" w:lineRule="auto"/>
        <w:rPr>
          <w:sz w:val="20"/>
          <w:szCs w:val="20"/>
          <w:color w:val="auto"/>
        </w:rPr>
      </w:pPr>
      <w:r>
        <w:rPr>
          <w:rFonts w:ascii="Arial" w:cs="Arial" w:eastAsia="Arial" w:hAnsi="Arial"/>
          <w:sz w:val="23"/>
          <w:szCs w:val="23"/>
          <w:color w:val="auto"/>
          <w:vertAlign w:val="subscript"/>
        </w:rPr>
        <w:t>​</w:t>
      </w:r>
      <w:r>
        <w:rPr>
          <w:rFonts w:ascii="Arial" w:cs="Arial" w:eastAsia="Arial" w:hAnsi="Arial"/>
          <w:sz w:val="14"/>
          <w:szCs w:val="14"/>
          <w:color w:val="auto"/>
        </w:rPr>
        <w:t xml:space="preserve"> </w:t>
      </w:r>
      <w:r>
        <w:rPr>
          <w:rFonts w:ascii="Arial" w:cs="Arial" w:eastAsia="Arial" w:hAnsi="Arial"/>
          <w:sz w:val="34"/>
          <w:szCs w:val="34"/>
          <w:b w:val="1"/>
          <w:bCs w:val="1"/>
          <w:color w:val="BF5B5A"/>
          <w:vertAlign w:val="subscript"/>
        </w:rPr>
        <w:t>1.</w:t>
      </w:r>
      <w:r>
        <w:rPr>
          <w:rFonts w:ascii="Arial" w:cs="Arial" w:eastAsia="Arial" w:hAnsi="Arial"/>
          <w:sz w:val="23"/>
          <w:szCs w:val="23"/>
          <w:color w:val="auto"/>
          <w:vertAlign w:val="subscript"/>
        </w:rPr>
        <w:t>​ ​</w:t>
      </w:r>
      <w:r>
        <w:rPr>
          <w:rFonts w:ascii="Arial" w:cs="Arial" w:eastAsia="Arial" w:hAnsi="Arial"/>
          <w:sz w:val="14"/>
          <w:szCs w:val="14"/>
          <w:color w:val="auto"/>
        </w:rPr>
        <w:t xml:space="preserve"> The election to our Board of Directors of the nine nominees named in the attached Proxy Statement to serve until the 2025 Annual Meeting of Stockholders</w:t>
      </w:r>
    </w:p>
    <w:p>
      <w:pPr>
        <w:spacing w:after="0" w:line="70"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720" w:type="dxa"/>
            <w:vAlign w:val="bottom"/>
          </w:tcPr>
          <w:p>
            <w:pPr>
              <w:jc w:val="right"/>
              <w:spacing w:after="0"/>
              <w:rPr>
                <w:sz w:val="20"/>
                <w:szCs w:val="20"/>
                <w:color w:val="auto"/>
              </w:rPr>
            </w:pPr>
            <w:r>
              <w:rPr>
                <w:rFonts w:ascii="Arial" w:cs="Arial" w:eastAsia="Arial" w:hAnsi="Arial"/>
                <w:sz w:val="16"/>
                <w:szCs w:val="16"/>
                <w:color w:val="auto"/>
              </w:rPr>
              <w:t xml:space="preserve">​ ​  ​ ​  </w:t>
            </w:r>
            <w:r>
              <w:rPr>
                <w:rFonts w:ascii="Arial" w:cs="Arial" w:eastAsia="Arial" w:hAnsi="Arial"/>
                <w:sz w:val="16"/>
                <w:szCs w:val="16"/>
                <w:color w:val="BF5B5A"/>
              </w:rPr>
              <w:t>•</w:t>
            </w:r>
          </w:p>
        </w:tc>
        <w:tc>
          <w:tcPr>
            <w:tcW w:w="1620" w:type="dxa"/>
            <w:vAlign w:val="bottom"/>
          </w:tcPr>
          <w:p>
            <w:pPr>
              <w:ind w:left="60"/>
              <w:spacing w:after="0"/>
              <w:rPr>
                <w:sz w:val="20"/>
                <w:szCs w:val="20"/>
                <w:color w:val="auto"/>
              </w:rPr>
            </w:pPr>
            <w:r>
              <w:rPr>
                <w:rFonts w:ascii="Arial" w:cs="Arial" w:eastAsia="Arial" w:hAnsi="Arial"/>
                <w:sz w:val="16"/>
                <w:szCs w:val="16"/>
                <w:color w:val="auto"/>
              </w:rPr>
              <w:t>Michael K. Fujimoto</w:t>
            </w:r>
          </w:p>
        </w:tc>
        <w:tc>
          <w:tcPr>
            <w:tcW w:w="50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F5B5A"/>
              </w:rPr>
              <w:t>•</w:t>
            </w:r>
          </w:p>
        </w:tc>
        <w:tc>
          <w:tcPr>
            <w:tcW w:w="1520" w:type="dxa"/>
            <w:vAlign w:val="bottom"/>
          </w:tcPr>
          <w:p>
            <w:pPr>
              <w:ind w:left="60"/>
              <w:spacing w:after="0"/>
              <w:rPr>
                <w:sz w:val="20"/>
                <w:szCs w:val="20"/>
                <w:color w:val="auto"/>
              </w:rPr>
            </w:pPr>
            <w:r>
              <w:rPr>
                <w:rFonts w:ascii="Arial" w:cs="Arial" w:eastAsia="Arial" w:hAnsi="Arial"/>
                <w:sz w:val="16"/>
                <w:szCs w:val="16"/>
                <w:color w:val="auto"/>
              </w:rPr>
              <w:t>James S. Moffatt</w:t>
            </w:r>
          </w:p>
        </w:tc>
        <w:tc>
          <w:tcPr>
            <w:tcW w:w="60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F5B5A"/>
              </w:rPr>
              <w:t>•</w:t>
            </w:r>
          </w:p>
        </w:tc>
        <w:tc>
          <w:tcPr>
            <w:tcW w:w="1580" w:type="dxa"/>
            <w:vAlign w:val="bottom"/>
          </w:tcPr>
          <w:p>
            <w:pPr>
              <w:ind w:left="60"/>
              <w:spacing w:after="0"/>
              <w:rPr>
                <w:sz w:val="20"/>
                <w:szCs w:val="20"/>
                <w:color w:val="auto"/>
              </w:rPr>
            </w:pPr>
            <w:r>
              <w:rPr>
                <w:rFonts w:ascii="Arial" w:cs="Arial" w:eastAsia="Arial" w:hAnsi="Arial"/>
                <w:sz w:val="16"/>
                <w:szCs w:val="16"/>
                <w:color w:val="auto"/>
              </w:rPr>
              <w:t>Kelly A. Thompson</w:t>
            </w:r>
          </w:p>
        </w:tc>
        <w:tc>
          <w:tcPr>
            <w:tcW w:w="54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BF5B5A"/>
              </w:rPr>
              <w:t>•</w:t>
            </w:r>
          </w:p>
        </w:tc>
        <w:tc>
          <w:tcPr>
            <w:tcW w:w="1800" w:type="dxa"/>
            <w:vAlign w:val="bottom"/>
          </w:tcPr>
          <w:p>
            <w:pPr>
              <w:ind w:left="60"/>
              <w:spacing w:after="0"/>
              <w:rPr>
                <w:sz w:val="20"/>
                <w:szCs w:val="20"/>
                <w:color w:val="auto"/>
              </w:rPr>
            </w:pPr>
            <w:r>
              <w:rPr>
                <w:rFonts w:ascii="Arial" w:cs="Arial" w:eastAsia="Arial" w:hAnsi="Arial"/>
                <w:sz w:val="16"/>
                <w:szCs w:val="16"/>
                <w:color w:val="auto"/>
              </w:rPr>
              <w:t>Vanessa L. Washington</w:t>
            </w:r>
          </w:p>
        </w:tc>
      </w:tr>
      <w:tr>
        <w:trPr>
          <w:trHeight w:val="270"/>
        </w:trPr>
        <w:tc>
          <w:tcPr>
            <w:tcW w:w="720" w:type="dxa"/>
            <w:vAlign w:val="bottom"/>
          </w:tcPr>
          <w:p>
            <w:pPr>
              <w:jc w:val="right"/>
              <w:spacing w:after="0"/>
              <w:rPr>
                <w:sz w:val="20"/>
                <w:szCs w:val="20"/>
                <w:color w:val="auto"/>
              </w:rPr>
            </w:pPr>
            <w:r>
              <w:rPr>
                <w:rFonts w:ascii="Arial" w:cs="Arial" w:eastAsia="Arial" w:hAnsi="Arial"/>
                <w:sz w:val="16"/>
                <w:szCs w:val="16"/>
                <w:color w:val="BF5B5A"/>
              </w:rPr>
              <w:t>•</w:t>
            </w:r>
          </w:p>
        </w:tc>
        <w:tc>
          <w:tcPr>
            <w:tcW w:w="1620" w:type="dxa"/>
            <w:vAlign w:val="bottom"/>
          </w:tcPr>
          <w:p>
            <w:pPr>
              <w:ind w:left="60"/>
              <w:spacing w:after="0"/>
              <w:rPr>
                <w:sz w:val="20"/>
                <w:szCs w:val="20"/>
                <w:color w:val="auto"/>
              </w:rPr>
            </w:pPr>
            <w:r>
              <w:rPr>
                <w:rFonts w:ascii="Arial" w:cs="Arial" w:eastAsia="Arial" w:hAnsi="Arial"/>
                <w:sz w:val="16"/>
                <w:szCs w:val="16"/>
                <w:color w:val="auto"/>
              </w:rPr>
              <w:t>Robert S. Harrison</w:t>
            </w:r>
          </w:p>
        </w:tc>
        <w:tc>
          <w:tcPr>
            <w:tcW w:w="500" w:type="dxa"/>
            <w:vAlign w:val="bottom"/>
          </w:tcPr>
          <w:p>
            <w:pPr>
              <w:jc w:val="right"/>
              <w:spacing w:after="0"/>
              <w:rPr>
                <w:sz w:val="20"/>
                <w:szCs w:val="20"/>
                <w:color w:val="auto"/>
              </w:rPr>
            </w:pPr>
            <w:r>
              <w:rPr>
                <w:rFonts w:ascii="Arial" w:cs="Arial" w:eastAsia="Arial" w:hAnsi="Arial"/>
                <w:sz w:val="16"/>
                <w:szCs w:val="16"/>
                <w:color w:val="BF5B5A"/>
              </w:rPr>
              <w:t>•</w:t>
            </w:r>
          </w:p>
        </w:tc>
        <w:tc>
          <w:tcPr>
            <w:tcW w:w="1520" w:type="dxa"/>
            <w:vAlign w:val="bottom"/>
          </w:tcPr>
          <w:p>
            <w:pPr>
              <w:ind w:left="60"/>
              <w:spacing w:after="0"/>
              <w:rPr>
                <w:sz w:val="20"/>
                <w:szCs w:val="20"/>
                <w:color w:val="auto"/>
              </w:rPr>
            </w:pPr>
            <w:r>
              <w:rPr>
                <w:rFonts w:ascii="Arial" w:cs="Arial" w:eastAsia="Arial" w:hAnsi="Arial"/>
                <w:sz w:val="16"/>
                <w:szCs w:val="16"/>
                <w:color w:val="auto"/>
              </w:rPr>
              <w:t>Mark M. Mugiishi</w:t>
            </w:r>
          </w:p>
        </w:tc>
        <w:tc>
          <w:tcPr>
            <w:tcW w:w="600" w:type="dxa"/>
            <w:vAlign w:val="bottom"/>
          </w:tcPr>
          <w:p>
            <w:pPr>
              <w:jc w:val="right"/>
              <w:spacing w:after="0"/>
              <w:rPr>
                <w:sz w:val="20"/>
                <w:szCs w:val="20"/>
                <w:color w:val="auto"/>
              </w:rPr>
            </w:pPr>
            <w:r>
              <w:rPr>
                <w:rFonts w:ascii="Arial" w:cs="Arial" w:eastAsia="Arial" w:hAnsi="Arial"/>
                <w:sz w:val="16"/>
                <w:szCs w:val="16"/>
                <w:color w:val="BF5B5A"/>
              </w:rPr>
              <w:t>•</w:t>
            </w:r>
          </w:p>
        </w:tc>
        <w:tc>
          <w:tcPr>
            <w:tcW w:w="1580" w:type="dxa"/>
            <w:vAlign w:val="bottom"/>
          </w:tcPr>
          <w:p>
            <w:pPr>
              <w:ind w:left="60"/>
              <w:spacing w:after="0"/>
              <w:rPr>
                <w:sz w:val="20"/>
                <w:szCs w:val="20"/>
                <w:color w:val="auto"/>
              </w:rPr>
            </w:pPr>
            <w:r>
              <w:rPr>
                <w:rFonts w:ascii="Arial" w:cs="Arial" w:eastAsia="Arial" w:hAnsi="Arial"/>
                <w:sz w:val="16"/>
                <w:szCs w:val="16"/>
                <w:color w:val="auto"/>
              </w:rPr>
              <w:t>Allen B. Uyeda</w:t>
            </w:r>
          </w:p>
        </w:tc>
        <w:tc>
          <w:tcPr>
            <w:tcW w:w="540" w:type="dxa"/>
            <w:vAlign w:val="bottom"/>
          </w:tcPr>
          <w:p>
            <w:pPr>
              <w:jc w:val="right"/>
              <w:spacing w:after="0"/>
              <w:rPr>
                <w:sz w:val="20"/>
                <w:szCs w:val="20"/>
                <w:color w:val="auto"/>
              </w:rPr>
            </w:pPr>
            <w:r>
              <w:rPr>
                <w:rFonts w:ascii="Arial" w:cs="Arial" w:eastAsia="Arial" w:hAnsi="Arial"/>
                <w:sz w:val="16"/>
                <w:szCs w:val="16"/>
                <w:color w:val="BF5B5A"/>
              </w:rPr>
              <w:t>•</w:t>
            </w:r>
          </w:p>
        </w:tc>
        <w:tc>
          <w:tcPr>
            <w:tcW w:w="1800" w:type="dxa"/>
            <w:vAlign w:val="bottom"/>
          </w:tcPr>
          <w:p>
            <w:pPr>
              <w:ind w:left="60"/>
              <w:spacing w:after="0"/>
              <w:rPr>
                <w:sz w:val="20"/>
                <w:szCs w:val="20"/>
                <w:color w:val="auto"/>
              </w:rPr>
            </w:pPr>
            <w:r>
              <w:rPr>
                <w:rFonts w:ascii="Arial" w:cs="Arial" w:eastAsia="Arial" w:hAnsi="Arial"/>
                <w:sz w:val="16"/>
                <w:szCs w:val="16"/>
                <w:color w:val="auto"/>
              </w:rPr>
              <w:t>C. Scott Wo</w:t>
            </w:r>
          </w:p>
        </w:tc>
      </w:tr>
    </w:tbl>
    <w:p>
      <w:pPr>
        <w:spacing w:after="0" w:line="55" w:lineRule="exact"/>
        <w:rPr>
          <w:sz w:val="20"/>
          <w:szCs w:val="20"/>
          <w:color w:val="auto"/>
        </w:rPr>
      </w:pPr>
    </w:p>
    <w:p>
      <w:pPr>
        <w:ind w:left="1560" w:hanging="168"/>
        <w:spacing w:after="0"/>
        <w:tabs>
          <w:tab w:leader="none" w:pos="1560" w:val="left"/>
        </w:tabs>
        <w:numPr>
          <w:ilvl w:val="0"/>
          <w:numId w:val="9"/>
        </w:numPr>
        <w:rPr>
          <w:rFonts w:ascii="Arial" w:cs="Arial" w:eastAsia="Arial" w:hAnsi="Arial"/>
          <w:sz w:val="16"/>
          <w:szCs w:val="16"/>
          <w:color w:val="BF5B5A"/>
        </w:rPr>
      </w:pPr>
      <w:r>
        <w:rPr>
          <w:rFonts w:ascii="Arial" w:cs="Arial" w:eastAsia="Arial" w:hAnsi="Arial"/>
          <w:sz w:val="16"/>
          <w:szCs w:val="16"/>
          <w:color w:val="auto"/>
        </w:rPr>
        <w:t>Faye W. Kurren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84" w:lineRule="exact"/>
        <w:rPr>
          <w:sz w:val="20"/>
          <w:szCs w:val="20"/>
          <w:color w:val="auto"/>
        </w:rPr>
      </w:pPr>
    </w:p>
    <w:p>
      <w:pPr>
        <w:sectPr>
          <w:pgSz w:w="11900" w:h="16838" w:orient="portrait"/>
          <w:cols w:equalWidth="0" w:num="2">
            <w:col w:w="9700" w:space="140"/>
            <w:col w:w="880"/>
          </w:cols>
          <w:pgMar w:left="580" w:top="97" w:right="599" w:bottom="1440" w:gutter="0" w:footer="0" w:header="0"/>
          <w:type w:val="continuous"/>
        </w:sectPr>
      </w:pPr>
    </w:p>
    <w:p>
      <w:pPr>
        <w:ind w:left="1320" w:right="380" w:hanging="540"/>
        <w:spacing w:after="0" w:line="231" w:lineRule="auto"/>
        <w:tabs>
          <w:tab w:leader="none" w:pos="888" w:val="left"/>
        </w:tabs>
        <w:numPr>
          <w:ilvl w:val="0"/>
          <w:numId w:val="10"/>
        </w:numPr>
        <w:rPr>
          <w:rFonts w:ascii="Arial" w:cs="Arial" w:eastAsia="Arial" w:hAnsi="Arial"/>
          <w:sz w:val="30"/>
          <w:szCs w:val="30"/>
          <w:color w:val="auto"/>
          <w:vertAlign w:val="subscript"/>
        </w:rPr>
      </w:pPr>
      <w:r>
        <w:rPr>
          <w:rFonts w:ascii="Arial" w:cs="Arial" w:eastAsia="Arial" w:hAnsi="Arial"/>
          <w:sz w:val="45"/>
          <w:szCs w:val="45"/>
          <w:b w:val="1"/>
          <w:bCs w:val="1"/>
          <w:color w:val="BF5B5A"/>
          <w:vertAlign w:val="subscript"/>
        </w:rPr>
        <w:t>2.</w:t>
      </w:r>
      <w:r>
        <w:rPr>
          <w:rFonts w:ascii="Arial" w:cs="Arial" w:eastAsia="Arial" w:hAnsi="Arial"/>
          <w:sz w:val="29"/>
          <w:szCs w:val="29"/>
          <w:color w:val="auto"/>
          <w:vertAlign w:val="subscript"/>
        </w:rPr>
        <w:t>​ ​</w:t>
      </w:r>
      <w:r>
        <w:rPr>
          <w:rFonts w:ascii="Arial" w:cs="Arial" w:eastAsia="Arial" w:hAnsi="Arial"/>
          <w:sz w:val="15"/>
          <w:szCs w:val="15"/>
          <w:color w:val="auto"/>
        </w:rPr>
        <w:t xml:space="preserve"> An advisory vote on the compensation of our named executive officers as disclosed in the attached Proxy Statement</w:t>
      </w:r>
    </w:p>
    <w:p>
      <w:pPr>
        <w:spacing w:after="0" w:line="1" w:lineRule="exact"/>
        <w:rPr>
          <w:rFonts w:ascii="Arial" w:cs="Arial" w:eastAsia="Arial" w:hAnsi="Arial"/>
          <w:sz w:val="30"/>
          <w:szCs w:val="30"/>
          <w:color w:val="auto"/>
          <w:vertAlign w:val="subscript"/>
        </w:rPr>
      </w:pPr>
    </w:p>
    <w:p>
      <w:pPr>
        <w:ind w:left="880" w:hanging="100"/>
        <w:spacing w:after="0"/>
        <w:tabs>
          <w:tab w:leader="none" w:pos="880" w:val="left"/>
        </w:tabs>
        <w:numPr>
          <w:ilvl w:val="0"/>
          <w:numId w:val="10"/>
        </w:numPr>
        <w:rPr>
          <w:rFonts w:ascii="Arial" w:cs="Arial" w:eastAsia="Arial" w:hAnsi="Arial"/>
          <w:sz w:val="25"/>
          <w:szCs w:val="25"/>
          <w:color w:val="BF5B5A"/>
        </w:rPr>
      </w:pPr>
      <w:r>
        <w:rPr>
          <w:rFonts w:ascii="Arial" w:cs="Arial" w:eastAsia="Arial" w:hAnsi="Arial"/>
          <w:sz w:val="25"/>
          <w:szCs w:val="25"/>
          <w:b w:val="1"/>
          <w:bCs w:val="1"/>
          <w:color w:val="BF5B5A"/>
        </w:rPr>
        <w:t>3.</w:t>
      </w:r>
      <w:r>
        <w:rPr>
          <w:rFonts w:ascii="Arial" w:cs="Arial" w:eastAsia="Arial" w:hAnsi="Arial"/>
          <w:sz w:val="25"/>
          <w:szCs w:val="25"/>
          <w:color w:val="BF5B5A"/>
        </w:rPr>
        <w:t>​ ​</w:t>
      </w:r>
      <w:r>
        <w:rPr>
          <w:rFonts w:ascii="Arial" w:cs="Arial" w:eastAsia="Arial" w:hAnsi="Arial"/>
          <w:sz w:val="25"/>
          <w:szCs w:val="25"/>
          <w:b w:val="1"/>
          <w:bCs w:val="1"/>
          <w:color w:val="BF5B5A"/>
        </w:rPr>
        <w:t xml:space="preserve"> </w:t>
      </w:r>
      <w:r>
        <w:rPr>
          <w:rFonts w:ascii="Arial" w:cs="Arial" w:eastAsia="Arial" w:hAnsi="Arial"/>
          <w:sz w:val="16"/>
          <w:szCs w:val="16"/>
          <w:color w:val="000000"/>
        </w:rPr>
        <w:t>An advisory vote on the frequency of future votes on the compensation of our named executive officers</w:t>
      </w:r>
    </w:p>
    <w:p>
      <w:pPr>
        <w:spacing w:after="0" w:line="92" w:lineRule="exact"/>
        <w:rPr>
          <w:rFonts w:ascii="Arial" w:cs="Arial" w:eastAsia="Arial" w:hAnsi="Arial"/>
          <w:sz w:val="25"/>
          <w:szCs w:val="25"/>
          <w:color w:val="BF5B5A"/>
        </w:rPr>
      </w:pPr>
    </w:p>
    <w:p>
      <w:pPr>
        <w:ind w:left="1320" w:right="340" w:hanging="540"/>
        <w:spacing w:after="0" w:line="181" w:lineRule="auto"/>
        <w:tabs>
          <w:tab w:leader="none" w:pos="888" w:val="left"/>
        </w:tabs>
        <w:numPr>
          <w:ilvl w:val="0"/>
          <w:numId w:val="10"/>
        </w:numPr>
        <w:rPr>
          <w:rFonts w:ascii="Arial" w:cs="Arial" w:eastAsia="Arial" w:hAnsi="Arial"/>
          <w:sz w:val="23"/>
          <w:szCs w:val="23"/>
          <w:color w:val="auto"/>
          <w:vertAlign w:val="subscript"/>
        </w:rPr>
      </w:pPr>
      <w:r>
        <w:rPr>
          <w:rFonts w:ascii="Arial" w:cs="Arial" w:eastAsia="Arial" w:hAnsi="Arial"/>
          <w:sz w:val="34"/>
          <w:szCs w:val="34"/>
          <w:b w:val="1"/>
          <w:bCs w:val="1"/>
          <w:color w:val="BF5B5A"/>
          <w:vertAlign w:val="subscript"/>
        </w:rPr>
        <w:t>4.</w:t>
      </w:r>
      <w:r>
        <w:rPr>
          <w:rFonts w:ascii="Arial" w:cs="Arial" w:eastAsia="Arial" w:hAnsi="Arial"/>
          <w:sz w:val="23"/>
          <w:szCs w:val="23"/>
          <w:color w:val="auto"/>
          <w:vertAlign w:val="subscript"/>
        </w:rPr>
        <w:t>​ ​</w:t>
      </w:r>
      <w:r>
        <w:rPr>
          <w:rFonts w:ascii="Arial" w:cs="Arial" w:eastAsia="Arial" w:hAnsi="Arial"/>
          <w:sz w:val="14"/>
          <w:szCs w:val="14"/>
          <w:color w:val="auto"/>
        </w:rPr>
        <w:t xml:space="preserve"> The ratification of the appointment of Deloitte &amp; Touche LLP to serve as our independent registered public accounting firm for the fiscal year ending December 31, 2024</w:t>
      </w:r>
    </w:p>
    <w:p>
      <w:pPr>
        <w:ind w:left="1320" w:hanging="540"/>
        <w:spacing w:after="0" w:line="206" w:lineRule="auto"/>
        <w:tabs>
          <w:tab w:leader="none" w:pos="888" w:val="left"/>
        </w:tabs>
        <w:numPr>
          <w:ilvl w:val="0"/>
          <w:numId w:val="10"/>
        </w:numPr>
        <w:rPr>
          <w:rFonts w:ascii="Arial" w:cs="Arial" w:eastAsia="Arial" w:hAnsi="Arial"/>
          <w:sz w:val="30"/>
          <w:szCs w:val="30"/>
          <w:color w:val="auto"/>
          <w:vertAlign w:val="subscript"/>
        </w:rPr>
      </w:pPr>
      <w:r>
        <w:rPr>
          <w:rFonts w:ascii="Arial" w:cs="Arial" w:eastAsia="Arial" w:hAnsi="Arial"/>
          <w:sz w:val="45"/>
          <w:szCs w:val="45"/>
          <w:b w:val="1"/>
          <w:bCs w:val="1"/>
          <w:color w:val="BF5B5A"/>
          <w:vertAlign w:val="subscript"/>
        </w:rPr>
        <w:t>5.</w:t>
      </w:r>
      <w:r>
        <w:rPr>
          <w:rFonts w:ascii="Arial" w:cs="Arial" w:eastAsia="Arial" w:hAnsi="Arial"/>
          <w:sz w:val="29"/>
          <w:szCs w:val="29"/>
          <w:color w:val="auto"/>
          <w:vertAlign w:val="subscript"/>
        </w:rPr>
        <w:t>​ ​</w:t>
      </w:r>
      <w:r>
        <w:rPr>
          <w:rFonts w:ascii="Arial" w:cs="Arial" w:eastAsia="Arial" w:hAnsi="Arial"/>
          <w:sz w:val="15"/>
          <w:szCs w:val="15"/>
          <w:color w:val="auto"/>
        </w:rPr>
        <w:t xml:space="preserve"> Such other business as properly may come before the Annual Meeting or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45085</wp:posOffset>
            </wp:positionV>
            <wp:extent cx="5829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-271780</wp:posOffset>
            </wp:positionV>
            <wp:extent cx="5829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-554355</wp:posOffset>
            </wp:positionV>
            <wp:extent cx="5829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-777240</wp:posOffset>
            </wp:positionV>
            <wp:extent cx="5829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-1060450</wp:posOffset>
            </wp:positionV>
            <wp:extent cx="5829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color w:val="BF5B5A"/>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77" w:lineRule="exact"/>
        <w:rPr>
          <w:sz w:val="20"/>
          <w:szCs w:val="20"/>
          <w:color w:val="auto"/>
        </w:rPr>
      </w:pPr>
    </w:p>
    <w:p>
      <w:pPr>
        <w:sectPr>
          <w:pgSz w:w="11900" w:h="16838" w:orient="portrait"/>
          <w:cols w:equalWidth="0" w:num="2">
            <w:col w:w="9500" w:space="340"/>
            <w:col w:w="880"/>
          </w:cols>
          <w:pgMar w:left="580" w:top="97" w:right="599" w:bottom="1440" w:gutter="0" w:footer="0" w:header="0"/>
          <w:type w:val="continuous"/>
        </w:sectPr>
      </w:pPr>
    </w:p>
    <w:p>
      <w:pPr>
        <w:spacing w:after="0" w:line="149" w:lineRule="exact"/>
        <w:rPr>
          <w:sz w:val="20"/>
          <w:szCs w:val="20"/>
          <w:color w:val="auto"/>
        </w:rPr>
      </w:pPr>
    </w:p>
    <w:p>
      <w:pPr>
        <w:ind w:left="780"/>
        <w:spacing w:after="0" w:line="300" w:lineRule="auto"/>
        <w:rPr>
          <w:sz w:val="20"/>
          <w:szCs w:val="20"/>
          <w:color w:val="auto"/>
        </w:rPr>
      </w:pPr>
      <w:r>
        <w:rPr>
          <w:rFonts w:ascii="Arial" w:cs="Arial" w:eastAsia="Arial" w:hAnsi="Arial"/>
          <w:sz w:val="15"/>
          <w:szCs w:val="15"/>
          <w:color w:val="auto"/>
        </w:rPr>
        <w:t>This year’s Annual Meeting will be held exclusively online via live webcast on Wednesday, April 24, 2024, at 8:00 a.m., Hawaii Standard Time. You will be able to attend the meeting online and submit questions during the meeting. You will also be able to vote your shares electronically at the Annual Meeting.</w:t>
      </w:r>
    </w:p>
    <w:p>
      <w:pPr>
        <w:spacing w:after="0" w:line="272" w:lineRule="exact"/>
        <w:rPr>
          <w:sz w:val="20"/>
          <w:szCs w:val="20"/>
          <w:color w:val="auto"/>
        </w:rPr>
      </w:pPr>
    </w:p>
    <w:p>
      <w:pPr>
        <w:ind w:left="780" w:right="100"/>
        <w:spacing w:after="0" w:line="303" w:lineRule="auto"/>
        <w:rPr>
          <w:sz w:val="20"/>
          <w:szCs w:val="20"/>
          <w:color w:val="auto"/>
        </w:rPr>
      </w:pPr>
      <w:r>
        <w:rPr>
          <w:rFonts w:ascii="Arial" w:cs="Arial" w:eastAsia="Arial" w:hAnsi="Arial"/>
          <w:sz w:val="15"/>
          <w:szCs w:val="15"/>
          <w:color w:val="auto"/>
        </w:rPr>
        <w:t>The Proxy Statement contains important information for you to consider when deciding how to vote on the matters brought before the Annual Meeting.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188595</wp:posOffset>
            </wp:positionV>
            <wp:extent cx="951230" cy="951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800"/>
        <w:spacing w:after="0" w:line="314" w:lineRule="auto"/>
        <w:rPr>
          <w:sz w:val="20"/>
          <w:szCs w:val="20"/>
          <w:color w:val="auto"/>
        </w:rPr>
      </w:pPr>
      <w:r>
        <w:rPr>
          <w:rFonts w:ascii="Arial" w:cs="Arial" w:eastAsia="Arial" w:hAnsi="Arial"/>
          <w:sz w:val="15"/>
          <w:szCs w:val="15"/>
          <w:b w:val="1"/>
          <w:bCs w:val="1"/>
          <w:color w:val="BF5B5A"/>
        </w:rPr>
        <w:t xml:space="preserve">WHETHER OR NOT YOU EXPECT TO ATTEND THE ANNUAL MEETING, PLEASE SUBMIT YOUR PROXY WITH YOUR VOTING INSTRUCTIONS. </w:t>
      </w:r>
      <w:r>
        <w:rPr>
          <w:rFonts w:ascii="Arial" w:cs="Arial" w:eastAsia="Arial" w:hAnsi="Arial"/>
          <w:sz w:val="15"/>
          <w:szCs w:val="15"/>
          <w:b w:val="1"/>
          <w:bCs w:val="1"/>
          <w:color w:val="000000"/>
        </w:rPr>
        <w:t>YOU MAY VOTE BY TELEPHONE OR</w:t>
      </w:r>
      <w:r>
        <w:rPr>
          <w:rFonts w:ascii="Arial" w:cs="Arial" w:eastAsia="Arial" w:hAnsi="Arial"/>
          <w:sz w:val="15"/>
          <w:szCs w:val="15"/>
          <w:b w:val="1"/>
          <w:bCs w:val="1"/>
          <w:color w:val="BF5B5A"/>
        </w:rPr>
        <w:t xml:space="preserve"> </w:t>
      </w:r>
      <w:r>
        <w:rPr>
          <w:rFonts w:ascii="Arial" w:cs="Arial" w:eastAsia="Arial" w:hAnsi="Arial"/>
          <w:sz w:val="15"/>
          <w:szCs w:val="15"/>
          <w:b w:val="1"/>
          <w:bCs w:val="1"/>
          <w:color w:val="000000"/>
        </w:rPr>
        <w:t>INTERNET, BY FOLLOWING THE INSTRUCTIONS ON THE PROXY CARD OR BY MAIL.</w:t>
      </w:r>
    </w:p>
    <w:p>
      <w:pPr>
        <w:spacing w:after="0" w:line="1063" w:lineRule="exact"/>
        <w:rPr>
          <w:sz w:val="20"/>
          <w:szCs w:val="20"/>
          <w:color w:val="auto"/>
        </w:rPr>
      </w:pPr>
    </w:p>
    <w:p>
      <w:pPr>
        <w:sectPr>
          <w:pgSz w:w="11900" w:h="16838" w:orient="portrait"/>
          <w:cols w:equalWidth="0" w:num="2">
            <w:col w:w="5100" w:space="520"/>
            <w:col w:w="5100"/>
          </w:cols>
          <w:pgMar w:left="580" w:top="97" w:right="599" w:bottom="1440" w:gutter="0" w:footer="0" w:header="0"/>
          <w:type w:val="continuous"/>
        </w:sect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260985</wp:posOffset>
            </wp:positionV>
            <wp:extent cx="97726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ind w:left="780"/>
              <w:spacing w:after="0"/>
              <w:rPr>
                <w:sz w:val="20"/>
                <w:szCs w:val="20"/>
                <w:color w:val="auto"/>
              </w:rPr>
            </w:pPr>
            <w:r>
              <w:rPr>
                <w:rFonts w:ascii="Arial" w:cs="Arial" w:eastAsia="Arial" w:hAnsi="Arial"/>
                <w:sz w:val="16"/>
                <w:szCs w:val="16"/>
                <w:color w:val="auto"/>
              </w:rPr>
              <w:t>Honolulu, Hawaii</w:t>
            </w:r>
          </w:p>
        </w:tc>
        <w:tc>
          <w:tcPr>
            <w:tcW w:w="1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Joel E. Rappoport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520" w:type="dxa"/>
            <w:vAlign w:val="bottom"/>
          </w:tcPr>
          <w:p>
            <w:pPr>
              <w:ind w:left="780"/>
              <w:spacing w:after="0" w:line="163" w:lineRule="exact"/>
              <w:rPr>
                <w:sz w:val="20"/>
                <w:szCs w:val="20"/>
                <w:color w:val="auto"/>
              </w:rPr>
            </w:pPr>
            <w:r>
              <w:rPr>
                <w:rFonts w:ascii="Arial" w:cs="Arial" w:eastAsia="Arial" w:hAnsi="Arial"/>
                <w:sz w:val="16"/>
                <w:szCs w:val="16"/>
                <w:color w:val="auto"/>
              </w:rPr>
              <w:t>March 14, 2024</w:t>
            </w:r>
          </w:p>
        </w:tc>
        <w:tc>
          <w:tcPr>
            <w:tcW w:w="176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20" w:type="dxa"/>
            <w:vAlign w:val="bottom"/>
            <w:vMerge w:val="restart"/>
          </w:tcPr>
          <w:p>
            <w:pPr>
              <w:ind w:left="1140"/>
              <w:spacing w:after="0"/>
              <w:rPr>
                <w:sz w:val="20"/>
                <w:szCs w:val="20"/>
                <w:color w:val="auto"/>
              </w:rPr>
            </w:pPr>
            <w:r>
              <w:rPr>
                <w:rFonts w:ascii="Arial" w:cs="Arial" w:eastAsia="Arial" w:hAnsi="Arial"/>
                <w:sz w:val="16"/>
                <w:szCs w:val="16"/>
                <w:color w:val="auto"/>
              </w:rPr>
              <w:t>​ ​</w:t>
            </w:r>
          </w:p>
        </w:tc>
        <w:tc>
          <w:tcPr>
            <w:tcW w:w="4340" w:type="dxa"/>
            <w:vAlign w:val="bottom"/>
          </w:tcPr>
          <w:p>
            <w:pPr>
              <w:ind w:left="40"/>
              <w:spacing w:after="0" w:line="163" w:lineRule="exact"/>
              <w:rPr>
                <w:sz w:val="20"/>
                <w:szCs w:val="20"/>
                <w:color w:val="auto"/>
              </w:rPr>
            </w:pPr>
            <w:r>
              <w:rPr>
                <w:rFonts w:ascii="Arial" w:cs="Arial" w:eastAsia="Arial" w:hAnsi="Arial"/>
                <w:sz w:val="16"/>
                <w:szCs w:val="16"/>
                <w:color w:val="auto"/>
              </w:rPr>
              <w:t>Executive Vice President, General Counsel and Secretary</w:t>
            </w:r>
          </w:p>
        </w:tc>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20" w:type="dxa"/>
            <w:vAlign w:val="bottom"/>
          </w:tcPr>
          <w:p>
            <w:pPr>
              <w:ind w:left="780"/>
              <w:spacing w:after="0"/>
              <w:rPr>
                <w:sz w:val="20"/>
                <w:szCs w:val="20"/>
                <w:color w:val="auto"/>
              </w:rPr>
            </w:pPr>
            <w:r>
              <w:rPr>
                <w:rFonts w:ascii="Arial" w:cs="Arial" w:eastAsia="Arial" w:hAnsi="Arial"/>
                <w:sz w:val="16"/>
                <w:szCs w:val="16"/>
                <w:color w:val="auto"/>
              </w:rPr>
              <w:t>​</w:t>
            </w:r>
          </w:p>
        </w:tc>
        <w:tc>
          <w:tcPr>
            <w:tcW w:w="17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2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43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247"/>
        </w:trPr>
        <w:tc>
          <w:tcPr>
            <w:tcW w:w="780" w:type="dxa"/>
            <w:vAlign w:val="bottom"/>
          </w:tcPr>
          <w:p>
            <w:pPr>
              <w:spacing w:after="0"/>
              <w:rPr>
                <w:sz w:val="21"/>
                <w:szCs w:val="21"/>
                <w:color w:val="auto"/>
              </w:rPr>
            </w:pPr>
          </w:p>
        </w:tc>
        <w:tc>
          <w:tcPr>
            <w:tcW w:w="8400" w:type="dxa"/>
            <w:vAlign w:val="bottom"/>
          </w:tcPr>
          <w:p>
            <w:pPr>
              <w:jc w:val="right"/>
              <w:spacing w:after="0"/>
              <w:rPr>
                <w:sz w:val="20"/>
                <w:szCs w:val="20"/>
                <w:color w:val="auto"/>
              </w:rPr>
            </w:pPr>
            <w:r>
              <w:rPr>
                <w:rFonts w:ascii="Arial" w:cs="Arial" w:eastAsia="Arial" w:hAnsi="Arial"/>
                <w:sz w:val="18"/>
                <w:szCs w:val="18"/>
                <w:b w:val="1"/>
                <w:bCs w:val="1"/>
                <w:color w:val="7F7F7F"/>
              </w:rPr>
              <w:t>NOTICE OF 2024 ANNUAL MEETING OF STOCKHOLDERS</w:t>
            </w:r>
          </w:p>
        </w:tc>
      </w:tr>
      <w:tr>
        <w:trPr>
          <w:trHeight w:val="366"/>
        </w:trPr>
        <w:tc>
          <w:tcPr>
            <w:tcW w:w="780" w:type="dxa"/>
            <w:vAlign w:val="bottom"/>
          </w:tcPr>
          <w:p>
            <w:pPr>
              <w:spacing w:after="0"/>
              <w:rPr>
                <w:sz w:val="24"/>
                <w:szCs w:val="24"/>
                <w:color w:val="auto"/>
              </w:rPr>
            </w:pPr>
          </w:p>
        </w:tc>
        <w:tc>
          <w:tcPr>
            <w:tcW w:w="8400" w:type="dxa"/>
            <w:vAlign w:val="bottom"/>
          </w:tcPr>
          <w:p>
            <w:pPr>
              <w:spacing w:after="0"/>
              <w:rPr>
                <w:sz w:val="24"/>
                <w:szCs w:val="24"/>
                <w:color w:val="auto"/>
              </w:rPr>
            </w:pPr>
          </w:p>
        </w:tc>
      </w:tr>
      <w:tr>
        <w:trPr>
          <w:trHeight w:val="162"/>
        </w:trPr>
        <w:tc>
          <w:tcPr>
            <w:tcW w:w="780" w:type="dxa"/>
            <w:vAlign w:val="bottom"/>
            <w:shd w:val="clear" w:color="auto" w:fill="BF5B5A"/>
          </w:tcPr>
          <w:p>
            <w:pPr>
              <w:ind w:left="80"/>
              <w:spacing w:after="0" w:line="162" w:lineRule="exact"/>
              <w:rPr>
                <w:sz w:val="20"/>
                <w:szCs w:val="20"/>
                <w:color w:val="auto"/>
              </w:rPr>
            </w:pPr>
            <w:r>
              <w:rPr>
                <w:rFonts w:ascii="Arial" w:cs="Arial" w:eastAsia="Arial" w:hAnsi="Arial"/>
                <w:sz w:val="18"/>
                <w:szCs w:val="18"/>
                <w:b w:val="1"/>
                <w:bCs w:val="1"/>
                <w:color w:val="FFFFFF"/>
              </w:rPr>
              <w:t>​</w:t>
            </w:r>
          </w:p>
        </w:tc>
        <w:tc>
          <w:tcPr>
            <w:tcW w:w="8400" w:type="dxa"/>
            <w:vAlign w:val="bottom"/>
            <w:shd w:val="clear" w:color="auto" w:fill="BF5B5A"/>
          </w:tcPr>
          <w:p>
            <w:pPr>
              <w:jc w:val="right"/>
              <w:spacing w:after="0" w:line="162" w:lineRule="exact"/>
              <w:rPr>
                <w:sz w:val="20"/>
                <w:szCs w:val="20"/>
                <w:color w:val="auto"/>
              </w:rPr>
            </w:pPr>
            <w:r>
              <w:rPr>
                <w:rFonts w:ascii="Arial" w:cs="Arial" w:eastAsia="Arial" w:hAnsi="Arial"/>
                <w:sz w:val="18"/>
                <w:szCs w:val="18"/>
                <w:b w:val="1"/>
                <w:bCs w:val="1"/>
                <w:color w:val="FFFFFF"/>
              </w:rPr>
              <w:t>​</w:t>
            </w:r>
          </w:p>
        </w:tc>
      </w:tr>
      <w:tr>
        <w:trPr>
          <w:trHeight w:val="170"/>
        </w:trPr>
        <w:tc>
          <w:tcPr>
            <w:tcW w:w="780" w:type="dxa"/>
            <w:vAlign w:val="bottom"/>
            <w:shd w:val="clear" w:color="auto" w:fill="BF5B5A"/>
          </w:tcPr>
          <w:p>
            <w:pPr>
              <w:spacing w:after="0"/>
              <w:rPr>
                <w:sz w:val="14"/>
                <w:szCs w:val="14"/>
                <w:color w:val="auto"/>
              </w:rPr>
            </w:pPr>
          </w:p>
        </w:tc>
        <w:tc>
          <w:tcPr>
            <w:tcW w:w="8400" w:type="dxa"/>
            <w:vAlign w:val="bottom"/>
            <w:shd w:val="clear" w:color="auto" w:fill="BF5B5A"/>
          </w:tcPr>
          <w:p>
            <w:pPr>
              <w:jc w:val="right"/>
              <w:ind w:right="1390"/>
              <w:spacing w:after="0" w:line="170" w:lineRule="exact"/>
              <w:rPr>
                <w:sz w:val="20"/>
                <w:szCs w:val="20"/>
                <w:color w:val="auto"/>
              </w:rPr>
            </w:pPr>
            <w:r>
              <w:rPr>
                <w:rFonts w:ascii="Arial" w:cs="Arial" w:eastAsia="Arial" w:hAnsi="Arial"/>
                <w:sz w:val="18"/>
                <w:szCs w:val="18"/>
                <w:b w:val="1"/>
                <w:bCs w:val="1"/>
                <w:color w:val="FFFFFF"/>
              </w:rPr>
              <w:t>IMPORTANT NOTICE REGARDING THE AVAILABILITY OF PROXY MATERIALS</w:t>
            </w:r>
          </w:p>
        </w:tc>
      </w:tr>
      <w:tr>
        <w:trPr>
          <w:trHeight w:val="247"/>
        </w:trPr>
        <w:tc>
          <w:tcPr>
            <w:tcW w:w="780" w:type="dxa"/>
            <w:vAlign w:val="bottom"/>
            <w:shd w:val="clear" w:color="auto" w:fill="BF5B5A"/>
          </w:tcPr>
          <w:p>
            <w:pPr>
              <w:spacing w:after="0"/>
              <w:rPr>
                <w:sz w:val="21"/>
                <w:szCs w:val="21"/>
                <w:color w:val="auto"/>
              </w:rPr>
            </w:pPr>
          </w:p>
        </w:tc>
        <w:tc>
          <w:tcPr>
            <w:tcW w:w="8400" w:type="dxa"/>
            <w:vAlign w:val="bottom"/>
            <w:shd w:val="clear" w:color="auto" w:fill="BF5B5A"/>
          </w:tcPr>
          <w:p>
            <w:pPr>
              <w:jc w:val="right"/>
              <w:ind w:right="2010"/>
              <w:spacing w:after="0"/>
              <w:rPr>
                <w:sz w:val="20"/>
                <w:szCs w:val="20"/>
                <w:color w:val="auto"/>
              </w:rPr>
            </w:pPr>
            <w:r>
              <w:rPr>
                <w:rFonts w:ascii="Arial" w:cs="Arial" w:eastAsia="Arial" w:hAnsi="Arial"/>
                <w:sz w:val="18"/>
                <w:szCs w:val="18"/>
                <w:b w:val="1"/>
                <w:bCs w:val="1"/>
                <w:color w:val="FFFFFF"/>
              </w:rPr>
              <w:t>FOR OUR ANNUAL MEETING TO BE HELD ON APRIL 24, 2024</w:t>
            </w:r>
          </w:p>
        </w:tc>
      </w:tr>
      <w:tr>
        <w:trPr>
          <w:trHeight w:val="83"/>
        </w:trPr>
        <w:tc>
          <w:tcPr>
            <w:tcW w:w="780" w:type="dxa"/>
            <w:vAlign w:val="bottom"/>
            <w:shd w:val="clear" w:color="auto" w:fill="BF5B5A"/>
          </w:tcPr>
          <w:p>
            <w:pPr>
              <w:spacing w:after="0"/>
              <w:rPr>
                <w:sz w:val="7"/>
                <w:szCs w:val="7"/>
                <w:color w:val="auto"/>
              </w:rPr>
            </w:pPr>
          </w:p>
        </w:tc>
        <w:tc>
          <w:tcPr>
            <w:tcW w:w="8400" w:type="dxa"/>
            <w:vAlign w:val="bottom"/>
            <w:shd w:val="clear" w:color="auto" w:fill="BF5B5A"/>
          </w:tcPr>
          <w:p>
            <w:pPr>
              <w:spacing w:after="0"/>
              <w:rPr>
                <w:sz w:val="7"/>
                <w:szCs w:val="7"/>
                <w:color w:val="auto"/>
              </w:rPr>
            </w:pPr>
          </w:p>
        </w:tc>
      </w:tr>
      <w:tr>
        <w:trPr>
          <w:trHeight w:val="148"/>
        </w:trPr>
        <w:tc>
          <w:tcPr>
            <w:tcW w:w="780" w:type="dxa"/>
            <w:vAlign w:val="bottom"/>
            <w:tcBorders>
              <w:bottom w:val="single" w:sz="8" w:color="BF5B5A"/>
            </w:tcBorders>
          </w:tcPr>
          <w:p>
            <w:pPr>
              <w:spacing w:after="0"/>
              <w:rPr>
                <w:sz w:val="12"/>
                <w:szCs w:val="12"/>
                <w:color w:val="auto"/>
              </w:rPr>
            </w:pPr>
          </w:p>
        </w:tc>
        <w:tc>
          <w:tcPr>
            <w:tcW w:w="8400" w:type="dxa"/>
            <w:vAlign w:val="bottom"/>
            <w:tcBorders>
              <w:bottom w:val="single" w:sz="8" w:color="BF5B5A"/>
            </w:tcBorders>
          </w:tcPr>
          <w:p>
            <w:pPr>
              <w:spacing w:after="0"/>
              <w:rPr>
                <w:sz w:val="12"/>
                <w:szCs w:val="12"/>
                <w:color w:val="auto"/>
              </w:rPr>
            </w:pPr>
          </w:p>
        </w:tc>
      </w:tr>
    </w:tbl>
    <w:p>
      <w:pPr>
        <w:jc w:val="center"/>
        <w:ind w:left="1420"/>
        <w:spacing w:after="0" w:line="223"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 xml:space="preserve"> Our Proxy Statement, our 2023 Annual Report to Stockholders and our Annual Report on Form 10-K for the fiscal </w:t>
      </w:r>
      <w:r>
        <w:rPr>
          <w:rFonts w:ascii="Arial" w:cs="Arial" w:eastAsia="Arial" w:hAnsi="Arial"/>
          <w:sz w:val="34"/>
          <w:szCs w:val="34"/>
          <w:color w:val="auto"/>
          <w:vertAlign w:val="superscript"/>
        </w:rPr>
        <w:t>​</w:t>
      </w:r>
      <w:r>
        <w:rPr>
          <w:rFonts w:ascii="Arial" w:cs="Arial" w:eastAsia="Arial" w:hAnsi="Arial"/>
          <w:sz w:val="17"/>
          <w:szCs w:val="17"/>
          <w:color w:val="auto"/>
        </w:rPr>
        <w:t xml:space="preserve"> year ended December 31, 2023 are available on our website at </w:t>
      </w:r>
      <w:r>
        <w:rPr>
          <w:rFonts w:ascii="Arial" w:cs="Arial" w:eastAsia="Arial" w:hAnsi="Arial"/>
          <w:sz w:val="17"/>
          <w:szCs w:val="17"/>
          <w:color w:val="BF5B5A"/>
        </w:rPr>
        <w:t>http://proxy.fhb.com</w:t>
      </w:r>
      <w:r>
        <w:rPr>
          <w:rFonts w:ascii="Arial" w:cs="Arial" w:eastAsia="Arial" w:hAnsi="Arial"/>
          <w:sz w:val="17"/>
          <w:szCs w:val="17"/>
          <w:color w:val="auto"/>
        </w:rPr>
        <w:t>. Except as stated otherwise, information on our website is not considered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52705</wp:posOffset>
            </wp:positionV>
            <wp:extent cx="58293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4" w:lineRule="exact"/>
        <w:rPr>
          <w:sz w:val="20"/>
          <w:szCs w:val="20"/>
          <w:color w:val="auto"/>
        </w:rPr>
      </w:pPr>
    </w:p>
    <w:p>
      <w:pPr>
        <w:jc w:val="center"/>
        <w:ind w:right="-619"/>
        <w:spacing w:after="0"/>
        <w:tabs>
          <w:tab w:leader="none" w:pos="160" w:val="left"/>
          <w:tab w:leader="none" w:pos="240" w:val="left"/>
        </w:tabs>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ab/>
        <w:t>By March 14, 2024, we will have sent to certain of our stockholders a Notice of Availability of Proxy Materials</w:t>
      </w:r>
      <w:r>
        <w:rPr>
          <w:sz w:val="20"/>
          <w:szCs w:val="20"/>
          <w:color w:val="auto"/>
        </w:rPr>
        <w:tab/>
      </w:r>
      <w:r>
        <w:rPr>
          <w:rFonts w:ascii="Arial" w:cs="Arial" w:eastAsia="Arial" w:hAnsi="Arial"/>
          <w:sz w:val="34"/>
          <w:szCs w:val="34"/>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-235585</wp:posOffset>
            </wp:positionV>
            <wp:extent cx="5829300" cy="131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1311275"/>
                    </a:xfrm>
                    <a:prstGeom prst="rect">
                      <a:avLst/>
                    </a:prstGeom>
                    <a:noFill/>
                  </pic:spPr>
                </pic:pic>
              </a:graphicData>
            </a:graphic>
          </wp:anchor>
        </w:drawing>
      </w:r>
    </w:p>
    <w:p>
      <w:pPr>
        <w:ind w:left="1000" w:right="300"/>
        <w:spacing w:after="0" w:line="282" w:lineRule="auto"/>
        <w:rPr>
          <w:sz w:val="20"/>
          <w:szCs w:val="20"/>
          <w:color w:val="auto"/>
        </w:rPr>
      </w:pPr>
      <w:r>
        <w:rPr>
          <w:rFonts w:ascii="Arial" w:cs="Arial" w:eastAsia="Arial" w:hAnsi="Arial"/>
          <w:sz w:val="17"/>
          <w:szCs w:val="17"/>
          <w:color w:val="auto"/>
        </w:rPr>
        <w:t>(“Notice”). The Notice includes instructions on how to access our Proxy Statement, our 2023 Annual Report to Stockholders and our Annual Report on Form 10-K for the fiscal year ended December 31, 2023 and vote online. Stockholders who do not receive the Notice will continue to receive either a paper or an electronic copy of our proxy materials, which will be sent on or about March 21, 2024. If you received the Notice and would like to receive a printed copy of our proxy materials, please follow the instructions for requesting such materials included in the Notice. For more information, see “</w:t>
      </w:r>
      <w:r>
        <w:rPr>
          <w:rFonts w:ascii="Arial" w:cs="Arial" w:eastAsia="Arial" w:hAnsi="Arial"/>
          <w:sz w:val="17"/>
          <w:szCs w:val="17"/>
          <w:i w:val="1"/>
          <w:iCs w:val="1"/>
          <w:color w:val="auto"/>
        </w:rPr>
        <w:t>Frequently Asked Questions about the Annual Meeting and</w:t>
      </w:r>
      <w:r>
        <w:rPr>
          <w:rFonts w:ascii="Arial" w:cs="Arial" w:eastAsia="Arial" w:hAnsi="Arial"/>
          <w:sz w:val="17"/>
          <w:szCs w:val="17"/>
          <w:color w:val="auto"/>
        </w:rPr>
        <w:t xml:space="preserve"> </w:t>
      </w:r>
      <w:r>
        <w:rPr>
          <w:rFonts w:ascii="Arial" w:cs="Arial" w:eastAsia="Arial" w:hAnsi="Arial"/>
          <w:sz w:val="17"/>
          <w:szCs w:val="17"/>
          <w:i w:val="1"/>
          <w:iCs w:val="1"/>
          <w:color w:val="auto"/>
        </w:rPr>
        <w:t>Voting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200660</wp:posOffset>
            </wp:positionV>
            <wp:extent cx="5829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5880100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48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60" w:type="dxa"/>
            <w:vAlign w:val="bottom"/>
            <w:gridSpan w:val="4"/>
          </w:tcPr>
          <w:p>
            <w:pPr>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3620" w:type="dxa"/>
            <w:vAlign w:val="bottom"/>
            <w:gridSpan w:val="40"/>
          </w:tcPr>
          <w:p>
            <w:pPr>
              <w:spacing w:after="0"/>
              <w:rPr>
                <w:sz w:val="20"/>
                <w:szCs w:val="20"/>
                <w:color w:val="auto"/>
              </w:rPr>
            </w:pPr>
            <w:r>
              <w:rPr>
                <w:rFonts w:ascii="Arial" w:cs="Arial" w:eastAsia="Arial" w:hAnsi="Arial"/>
                <w:sz w:val="14"/>
                <w:szCs w:val="14"/>
                <w:b w:val="1"/>
                <w:bCs w:val="1"/>
                <w:color w:val="auto"/>
              </w:rPr>
              <w:t>PROXY STATEMENT</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20"/>
                <w:szCs w:val="20"/>
                <w:color w:val="auto"/>
              </w:rPr>
            </w:pPr>
            <w:r>
              <w:rPr>
                <w:rFonts w:ascii="Arial" w:cs="Arial" w:eastAsia="Arial" w:hAnsi="Arial"/>
                <w:sz w:val="14"/>
                <w:szCs w:val="14"/>
                <w:i w:val="1"/>
                <w:iCs w:val="1"/>
                <w:color w:val="0000EE"/>
              </w:rPr>
              <w:t>62</w:t>
            </w:r>
          </w:p>
        </w:tc>
        <w:tc>
          <w:tcPr>
            <w:tcW w:w="160" w:type="dxa"/>
            <w:vAlign w:val="bottom"/>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4"/>
                <w:szCs w:val="14"/>
                <w:color w:val="auto"/>
              </w:rPr>
            </w:pPr>
          </w:p>
        </w:tc>
        <w:tc>
          <w:tcPr>
            <w:tcW w:w="3620" w:type="dxa"/>
            <w:vAlign w:val="bottom"/>
            <w:gridSpan w:val="37"/>
          </w:tcPr>
          <w:p>
            <w:pPr>
              <w:ind w:left="160"/>
              <w:spacing w:after="0"/>
              <w:rPr>
                <w:sz w:val="20"/>
                <w:szCs w:val="20"/>
                <w:color w:val="auto"/>
              </w:rPr>
            </w:pPr>
            <w:r>
              <w:rPr>
                <w:rFonts w:ascii="Arial" w:cs="Arial" w:eastAsia="Arial" w:hAnsi="Arial"/>
                <w:sz w:val="14"/>
                <w:szCs w:val="14"/>
                <w:i w:val="1"/>
                <w:iCs w:val="1"/>
                <w:color w:val="0000EE"/>
              </w:rPr>
              <w:t>Assessing Risk in Our Compensation Programs</w:t>
            </w:r>
          </w:p>
        </w:tc>
        <w:tc>
          <w:tcPr>
            <w:tcW w:w="780" w:type="dxa"/>
            <w:vAlign w:val="bottom"/>
            <w:gridSpan w:val="2"/>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4340" w:type="dxa"/>
            <w:vAlign w:val="bottom"/>
            <w:tcBorders>
              <w:bottom w:val="single" w:sz="8" w:color="BF5B5A"/>
            </w:tcBorders>
            <w:gridSpan w:val="47"/>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3040" w:type="dxa"/>
            <w:vAlign w:val="bottom"/>
            <w:tcBorders>
              <w:top w:val="single" w:sz="8" w:color="0000EE"/>
              <w:bottom w:val="single" w:sz="8" w:color="D8D8D8"/>
            </w:tcBorders>
            <w:gridSpan w:val="27"/>
          </w:tcPr>
          <w:p>
            <w:pPr>
              <w:spacing w:after="0" w:line="20" w:lineRule="exact"/>
              <w:rPr>
                <w:sz w:val="1"/>
                <w:szCs w:val="1"/>
                <w:color w:val="auto"/>
              </w:rPr>
            </w:pPr>
          </w:p>
        </w:tc>
        <w:tc>
          <w:tcPr>
            <w:tcW w:w="440" w:type="dxa"/>
            <w:vAlign w:val="bottom"/>
            <w:tcBorders>
              <w:bottom w:val="single" w:sz="8" w:color="D8D8D8"/>
            </w:tcBorders>
            <w:gridSpan w:val="10"/>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360" w:type="dxa"/>
            <w:vAlign w:val="bottom"/>
            <w:gridSpan w:val="4"/>
          </w:tcPr>
          <w:p>
            <w:pPr>
              <w:spacing w:after="0" w:line="142" w:lineRule="exact"/>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16"/>
                <w:szCs w:val="16"/>
                <w:b w:val="1"/>
                <w:bCs w:val="1"/>
                <w:color w:val="0000EE"/>
                <w:vertAlign w:val="subscript"/>
              </w:rPr>
              <w:t>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 ​</w:t>
            </w:r>
          </w:p>
        </w:tc>
        <w:tc>
          <w:tcPr>
            <w:tcW w:w="3620" w:type="dxa"/>
            <w:vAlign w:val="bottom"/>
            <w:gridSpan w:val="40"/>
          </w:tcPr>
          <w:p>
            <w:pPr>
              <w:spacing w:after="0" w:line="142" w:lineRule="exact"/>
              <w:rPr>
                <w:sz w:val="20"/>
                <w:szCs w:val="20"/>
                <w:color w:val="auto"/>
              </w:rPr>
            </w:pPr>
            <w:r>
              <w:rPr>
                <w:rFonts w:ascii="Arial" w:cs="Arial" w:eastAsia="Arial" w:hAnsi="Arial"/>
                <w:sz w:val="14"/>
                <w:szCs w:val="14"/>
                <w:b w:val="1"/>
                <w:bCs w:val="1"/>
                <w:color w:val="0000EE"/>
              </w:rPr>
              <w:t>PROXY STATEMENT SUMMARY</w:t>
            </w:r>
          </w:p>
        </w:tc>
        <w:tc>
          <w:tcPr>
            <w:tcW w:w="480" w:type="dxa"/>
            <w:vAlign w:val="bottom"/>
            <w:gridSpan w:val="2"/>
            <w:vMerge w:val="continue"/>
          </w:tcPr>
          <w:p>
            <w:pPr>
              <w:spacing w:after="0"/>
              <w:rPr>
                <w:sz w:val="13"/>
                <w:szCs w:val="13"/>
                <w:color w:val="auto"/>
              </w:rPr>
            </w:pPr>
          </w:p>
        </w:tc>
        <w:tc>
          <w:tcPr>
            <w:tcW w:w="6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4"/>
                <w:szCs w:val="14"/>
                <w:i w:val="1"/>
                <w:iCs w:val="1"/>
                <w:color w:val="0000EE"/>
              </w:rPr>
              <w:t>63</w:t>
            </w:r>
          </w:p>
        </w:tc>
        <w:tc>
          <w:tcPr>
            <w:tcW w:w="16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3"/>
                <w:szCs w:val="13"/>
                <w:color w:val="auto"/>
              </w:rPr>
            </w:pPr>
          </w:p>
        </w:tc>
        <w:tc>
          <w:tcPr>
            <w:tcW w:w="3620" w:type="dxa"/>
            <w:vAlign w:val="bottom"/>
            <w:gridSpan w:val="37"/>
          </w:tcPr>
          <w:p>
            <w:pPr>
              <w:ind w:left="160"/>
              <w:spacing w:after="0" w:line="142" w:lineRule="exact"/>
              <w:rPr>
                <w:sz w:val="20"/>
                <w:szCs w:val="20"/>
                <w:color w:val="auto"/>
              </w:rPr>
            </w:pPr>
            <w:r>
              <w:rPr>
                <w:rFonts w:ascii="Arial" w:cs="Arial" w:eastAsia="Arial" w:hAnsi="Arial"/>
                <w:sz w:val="14"/>
                <w:szCs w:val="14"/>
                <w:i w:val="1"/>
                <w:iCs w:val="1"/>
                <w:color w:val="0000EE"/>
              </w:rPr>
              <w:t>Change in CEO Pension Value in the Summary</w:t>
            </w: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40" w:type="dxa"/>
            <w:vAlign w:val="bottom"/>
            <w:tcBorders>
              <w:top w:val="single" w:sz="8" w:color="0000EE"/>
            </w:tcBorders>
            <w:gridSpan w:val="19"/>
          </w:tcPr>
          <w:p>
            <w:pPr>
              <w:spacing w:after="0" w:line="20" w:lineRule="exact"/>
              <w:rPr>
                <w:sz w:val="1"/>
                <w:szCs w:val="1"/>
                <w:color w:val="auto"/>
              </w:rPr>
            </w:pPr>
          </w:p>
        </w:tc>
        <w:tc>
          <w:tcPr>
            <w:tcW w:w="1560" w:type="dxa"/>
            <w:vAlign w:val="bottom"/>
            <w:gridSpan w:val="20"/>
          </w:tcPr>
          <w:p>
            <w:pPr>
              <w:spacing w:after="0" w:line="20" w:lineRule="exact"/>
              <w:rPr>
                <w:sz w:val="1"/>
                <w:szCs w:val="1"/>
                <w:color w:val="auto"/>
              </w:rPr>
            </w:pPr>
          </w:p>
        </w:tc>
        <w:tc>
          <w:tcPr>
            <w:tcW w:w="480" w:type="dxa"/>
            <w:vAlign w:val="bottom"/>
            <w:gridSpan w:val="2"/>
            <w:vMerge w:val="restart"/>
          </w:tcPr>
          <w:p>
            <w:pPr>
              <w:spacing w:after="0" w:line="155" w:lineRule="exact"/>
              <w:rPr>
                <w:sz w:val="20"/>
                <w:szCs w:val="20"/>
                <w:color w:val="auto"/>
              </w:rPr>
            </w:pPr>
            <w:r>
              <w:rPr>
                <w:rFonts w:ascii="Arial" w:cs="Arial" w:eastAsia="Arial" w:hAnsi="Arial"/>
                <w:sz w:val="14"/>
                <w:szCs w:val="14"/>
                <w:b w:val="1"/>
                <w:bCs w:val="1"/>
                <w:color w:val="auto"/>
              </w:rPr>
              <w:t>​</w:t>
            </w:r>
          </w:p>
        </w:tc>
        <w:tc>
          <w:tcPr>
            <w:tcW w:w="3880" w:type="dxa"/>
            <w:vAlign w:val="bottom"/>
            <w:tcBorders>
              <w:right w:val="single" w:sz="8" w:color="0000EE"/>
            </w:tcBorders>
            <w:gridSpan w:val="36"/>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0" w:lineRule="exact"/>
              <w:rPr>
                <w:sz w:val="1"/>
                <w:szCs w:val="1"/>
                <w:color w:val="auto"/>
              </w:rPr>
            </w:pPr>
          </w:p>
        </w:tc>
        <w:tc>
          <w:tcPr>
            <w:tcW w:w="4340" w:type="dxa"/>
            <w:vAlign w:val="bottom"/>
            <w:tcBorders>
              <w:bottom w:val="single" w:sz="8" w:color="BF5B5A"/>
            </w:tcBorders>
            <w:gridSpan w:val="47"/>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restart"/>
          </w:tcPr>
          <w:p>
            <w:pPr>
              <w:ind w:left="160"/>
              <w:spacing w:after="0" w:line="135" w:lineRule="exact"/>
              <w:rPr>
                <w:sz w:val="20"/>
                <w:szCs w:val="20"/>
                <w:color w:val="auto"/>
              </w:rPr>
            </w:pPr>
            <w:r>
              <w:rPr>
                <w:rFonts w:ascii="Arial" w:cs="Arial" w:eastAsia="Arial" w:hAnsi="Arial"/>
                <w:sz w:val="14"/>
                <w:szCs w:val="14"/>
                <w:i w:val="1"/>
                <w:iCs w:val="1"/>
                <w:color w:val="0000EE"/>
              </w:rPr>
              <w:t>Compensation Table</w:t>
            </w: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320" w:type="dxa"/>
            <w:vAlign w:val="bottom"/>
            <w:gridSpan w:val="7"/>
          </w:tcPr>
          <w:p>
            <w:pPr>
              <w:spacing w:after="0"/>
              <w:rPr>
                <w:sz w:val="20"/>
                <w:szCs w:val="20"/>
                <w:color w:val="auto"/>
              </w:rPr>
            </w:pPr>
            <w:r>
              <w:rPr>
                <w:rFonts w:ascii="Arial" w:cs="Arial" w:eastAsia="Arial" w:hAnsi="Arial"/>
                <w:sz w:val="11"/>
                <w:szCs w:val="11"/>
                <w:b w:val="1"/>
                <w:bCs w:val="1"/>
                <w:color w:val="auto"/>
              </w:rPr>
              <w:t>​</w:t>
            </w:r>
          </w:p>
        </w:tc>
        <w:tc>
          <w:tcPr>
            <w:tcW w:w="3800" w:type="dxa"/>
            <w:vAlign w:val="bottom"/>
            <w:gridSpan w:val="41"/>
          </w:tcPr>
          <w:p>
            <w:pPr>
              <w:ind w:left="20"/>
              <w:spacing w:after="0" w:line="96" w:lineRule="exact"/>
              <w:rPr>
                <w:sz w:val="20"/>
                <w:szCs w:val="20"/>
                <w:color w:val="auto"/>
              </w:rPr>
            </w:pPr>
            <w:r>
              <w:rPr>
                <w:rFonts w:ascii="Arial" w:cs="Arial" w:eastAsia="Arial" w:hAnsi="Arial"/>
                <w:sz w:val="11"/>
                <w:szCs w:val="11"/>
                <w:b w:val="1"/>
                <w:bCs w:val="1"/>
                <w:color w:val="auto"/>
              </w:rPr>
              <w:t>​ ​</w:t>
            </w:r>
          </w:p>
        </w:tc>
        <w:tc>
          <w:tcPr>
            <w:tcW w:w="480" w:type="dxa"/>
            <w:vAlign w:val="bottom"/>
            <w:gridSpan w:val="2"/>
            <w:vMerge w:val="continue"/>
          </w:tcPr>
          <w:p>
            <w:pPr>
              <w:spacing w:after="0"/>
              <w:rPr>
                <w:sz w:val="8"/>
                <w:szCs w:val="8"/>
                <w:color w:val="auto"/>
              </w:rPr>
            </w:pPr>
          </w:p>
        </w:tc>
        <w:tc>
          <w:tcPr>
            <w:tcW w:w="700" w:type="dxa"/>
            <w:vAlign w:val="bottom"/>
            <w:gridSpan w:val="8"/>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7"/>
            <w:vMerge w:val="continue"/>
          </w:tcPr>
          <w:p>
            <w:pPr>
              <w:spacing w:after="0"/>
              <w:rPr>
                <w:sz w:val="8"/>
                <w:szCs w:val="8"/>
                <w:color w:val="auto"/>
              </w:rPr>
            </w:pPr>
          </w:p>
        </w:tc>
        <w:tc>
          <w:tcPr>
            <w:tcW w:w="7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60" w:type="dxa"/>
            <w:vAlign w:val="bottom"/>
            <w:gridSpan w:val="4"/>
            <w:vMerge w:val="restart"/>
          </w:tcPr>
          <w:p>
            <w:pPr>
              <w:ind w:left="60"/>
              <w:spacing w:after="0" w:line="122" w:lineRule="exact"/>
              <w:rPr>
                <w:sz w:val="20"/>
                <w:szCs w:val="20"/>
                <w:color w:val="auto"/>
              </w:rPr>
            </w:pPr>
            <w:r>
              <w:rPr>
                <w:rFonts w:ascii="Arial" w:cs="Arial" w:eastAsia="Arial" w:hAnsi="Arial"/>
                <w:sz w:val="14"/>
                <w:szCs w:val="14"/>
                <w:b w:val="1"/>
                <w:bCs w:val="1"/>
                <w:color w:val="0000EE"/>
              </w:rPr>
              <w:t>15</w:t>
            </w:r>
          </w:p>
        </w:tc>
        <w:tc>
          <w:tcPr>
            <w:tcW w:w="360" w:type="dxa"/>
            <w:vAlign w:val="bottom"/>
            <w:gridSpan w:val="3"/>
          </w:tcPr>
          <w:p>
            <w:pPr>
              <w:spacing w:after="0"/>
              <w:rPr>
                <w:sz w:val="2"/>
                <w:szCs w:val="2"/>
                <w:color w:val="auto"/>
              </w:rPr>
            </w:pPr>
          </w:p>
        </w:tc>
        <w:tc>
          <w:tcPr>
            <w:tcW w:w="3620" w:type="dxa"/>
            <w:vAlign w:val="bottom"/>
            <w:gridSpan w:val="40"/>
            <w:vMerge w:val="restart"/>
          </w:tcPr>
          <w:p>
            <w:pPr>
              <w:spacing w:after="0" w:line="122" w:lineRule="exact"/>
              <w:rPr>
                <w:sz w:val="20"/>
                <w:szCs w:val="20"/>
                <w:color w:val="auto"/>
              </w:rPr>
            </w:pPr>
            <w:r>
              <w:rPr>
                <w:rFonts w:ascii="Arial" w:cs="Arial" w:eastAsia="Arial" w:hAnsi="Arial"/>
                <w:sz w:val="14"/>
                <w:szCs w:val="14"/>
                <w:b w:val="1"/>
                <w:bCs w:val="1"/>
                <w:color w:val="0000EE"/>
              </w:rPr>
              <w:t>CORPORATE GOVERNANCE AND BOARD MATTERS</w:t>
            </w:r>
          </w:p>
        </w:tc>
        <w:tc>
          <w:tcPr>
            <w:tcW w:w="480" w:type="dxa"/>
            <w:vAlign w:val="bottom"/>
            <w:gridSpan w:val="2"/>
          </w:tcPr>
          <w:p>
            <w:pPr>
              <w:spacing w:after="0"/>
              <w:rPr>
                <w:sz w:val="2"/>
                <w:szCs w:val="2"/>
                <w:color w:val="auto"/>
              </w:rPr>
            </w:pPr>
          </w:p>
        </w:tc>
        <w:tc>
          <w:tcPr>
            <w:tcW w:w="880" w:type="dxa"/>
            <w:vAlign w:val="bottom"/>
            <w:tcBorders>
              <w:bottom w:val="single" w:sz="8" w:color="D8D8D8"/>
            </w:tcBorders>
            <w:gridSpan w:val="10"/>
          </w:tcPr>
          <w:p>
            <w:pPr>
              <w:spacing w:after="0"/>
              <w:rPr>
                <w:sz w:val="2"/>
                <w:szCs w:val="2"/>
                <w:color w:val="auto"/>
              </w:rPr>
            </w:pPr>
          </w:p>
        </w:tc>
        <w:tc>
          <w:tcPr>
            <w:tcW w:w="1300" w:type="dxa"/>
            <w:vAlign w:val="bottom"/>
            <w:tcBorders>
              <w:top w:val="single" w:sz="8" w:color="0000EE"/>
              <w:bottom w:val="single" w:sz="8" w:color="D8D8D8"/>
            </w:tcBorders>
            <w:gridSpan w:val="7"/>
          </w:tcPr>
          <w:p>
            <w:pPr>
              <w:spacing w:after="0"/>
              <w:rPr>
                <w:sz w:val="2"/>
                <w:szCs w:val="2"/>
                <w:color w:val="auto"/>
              </w:rPr>
            </w:pPr>
          </w:p>
        </w:tc>
        <w:tc>
          <w:tcPr>
            <w:tcW w:w="2180" w:type="dxa"/>
            <w:vAlign w:val="bottom"/>
            <w:tcBorders>
              <w:bottom w:val="single" w:sz="8" w:color="D8D8D8"/>
            </w:tcBorders>
            <w:gridSpan w:val="3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20" w:type="dxa"/>
            <w:vAlign w:val="bottom"/>
            <w:gridSpan w:val="40"/>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gridSpan w:val="5"/>
            <w:vMerge w:val="restart"/>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 xml:space="preserve"> 63</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color w:val="0000EE"/>
              </w:rPr>
              <w:t>COMPENSATION COMMITTEE REPORT</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60" w:type="dxa"/>
            <w:vAlign w:val="bottom"/>
            <w:tcBorders>
              <w:bottom w:val="single" w:sz="8" w:color="BF5B5A"/>
            </w:tcBorders>
          </w:tcPr>
          <w:p>
            <w:pPr>
              <w:spacing w:after="0" w:line="20" w:lineRule="exact"/>
              <w:rPr>
                <w:sz w:val="1"/>
                <w:szCs w:val="1"/>
                <w:color w:val="auto"/>
              </w:rPr>
            </w:pPr>
          </w:p>
        </w:tc>
        <w:tc>
          <w:tcPr>
            <w:tcW w:w="160" w:type="dxa"/>
            <w:vAlign w:val="bottom"/>
            <w:tcBorders>
              <w:top w:val="single" w:sz="8" w:color="0000EE"/>
              <w:bottom w:val="single" w:sz="8" w:color="BF5B5A"/>
            </w:tcBorders>
            <w:gridSpan w:val="2"/>
          </w:tcPr>
          <w:p>
            <w:pPr>
              <w:spacing w:after="0" w:line="20" w:lineRule="exact"/>
              <w:rPr>
                <w:sz w:val="1"/>
                <w:szCs w:val="1"/>
                <w:color w:val="auto"/>
              </w:rPr>
            </w:pPr>
          </w:p>
        </w:tc>
        <w:tc>
          <w:tcPr>
            <w:tcW w:w="520" w:type="dxa"/>
            <w:vAlign w:val="bottom"/>
            <w:tcBorders>
              <w:bottom w:val="single" w:sz="8" w:color="BF5B5A"/>
            </w:tcBorders>
            <w:gridSpan w:val="5"/>
          </w:tcPr>
          <w:p>
            <w:pPr>
              <w:spacing w:after="0" w:line="20" w:lineRule="exact"/>
              <w:rPr>
                <w:sz w:val="1"/>
                <w:szCs w:val="1"/>
                <w:color w:val="auto"/>
              </w:rPr>
            </w:pPr>
          </w:p>
        </w:tc>
        <w:tc>
          <w:tcPr>
            <w:tcW w:w="3400" w:type="dxa"/>
            <w:vAlign w:val="bottom"/>
            <w:tcBorders>
              <w:top w:val="single" w:sz="8" w:color="0000EE"/>
              <w:bottom w:val="single" w:sz="8" w:color="BF5B5A"/>
            </w:tcBorders>
            <w:gridSpan w:val="38"/>
          </w:tcPr>
          <w:p>
            <w:pPr>
              <w:spacing w:after="0" w:line="20" w:lineRule="exact"/>
              <w:rPr>
                <w:sz w:val="1"/>
                <w:szCs w:val="1"/>
                <w:color w:val="auto"/>
              </w:rPr>
            </w:pPr>
          </w:p>
        </w:tc>
        <w:tc>
          <w:tcPr>
            <w:tcW w:w="220" w:type="dxa"/>
            <w:vAlign w:val="bottom"/>
            <w:tcBorders>
              <w:bottom w:val="single" w:sz="8" w:color="BF5B5A"/>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5"/>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restart"/>
          </w:tcPr>
          <w:p>
            <w:pPr>
              <w:spacing w:after="0" w:line="210" w:lineRule="exact"/>
              <w:rPr>
                <w:sz w:val="20"/>
                <w:szCs w:val="20"/>
                <w:color w:val="auto"/>
              </w:rPr>
            </w:pPr>
            <w:r>
              <w:rPr>
                <w:rFonts w:ascii="Arial" w:cs="Arial" w:eastAsia="Arial" w:hAnsi="Arial"/>
                <w:sz w:val="24"/>
                <w:szCs w:val="24"/>
                <w:b w:val="1"/>
                <w:bCs w:val="1"/>
                <w:color w:val="000000"/>
                <w:vertAlign w:val="superscript"/>
              </w:rPr>
              <w:t>​</w:t>
            </w:r>
            <w:r>
              <w:rPr>
                <w:rFonts w:ascii="Arial" w:cs="Arial" w:eastAsia="Arial" w:hAnsi="Arial"/>
                <w:sz w:val="13"/>
                <w:szCs w:val="13"/>
                <w:b w:val="1"/>
                <w:bCs w:val="1"/>
                <w:color w:val="BF5B5A"/>
              </w:rPr>
              <w:t xml:space="preserve"> 15</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gridSpan w:val="41"/>
            <w:vMerge w:val="restart"/>
          </w:tcPr>
          <w:p>
            <w:pPr>
              <w:ind w:left="20"/>
              <w:spacing w:after="0" w:line="210" w:lineRule="exact"/>
              <w:rPr>
                <w:sz w:val="20"/>
                <w:szCs w:val="20"/>
                <w:color w:val="auto"/>
              </w:rPr>
            </w:pPr>
            <w:r>
              <w:rPr>
                <w:rFonts w:ascii="Arial" w:cs="Arial" w:eastAsia="Arial" w:hAnsi="Arial"/>
                <w:sz w:val="24"/>
                <w:szCs w:val="24"/>
                <w:b w:val="1"/>
                <w:bCs w:val="1"/>
                <w:color w:val="000000"/>
                <w:vertAlign w:val="superscript"/>
              </w:rPr>
              <w:t>​ ​</w:t>
            </w:r>
            <w:r>
              <w:rPr>
                <w:rFonts w:ascii="Arial" w:cs="Arial" w:eastAsia="Arial" w:hAnsi="Arial"/>
                <w:sz w:val="13"/>
                <w:szCs w:val="13"/>
                <w:b w:val="1"/>
                <w:bCs w:val="1"/>
                <w:color w:val="BF5B5A"/>
              </w:rPr>
              <w:t xml:space="preserve"> PROPOSAL 1</w:t>
            </w:r>
            <w:r>
              <w:rPr>
                <w:rFonts w:ascii="Arial" w:cs="Arial" w:eastAsia="Arial" w:hAnsi="Arial"/>
                <w:sz w:val="13"/>
                <w:szCs w:val="13"/>
                <w:color w:val="0000EE"/>
              </w:rPr>
              <w:t>—ELECTION OF DIRECTORS</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3640" w:type="dxa"/>
            <w:vAlign w:val="bottom"/>
            <w:gridSpan w:val="38"/>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41"/>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80" w:type="dxa"/>
            <w:vAlign w:val="bottom"/>
            <w:tcBorders>
              <w:top w:val="single" w:sz="8" w:color="0000EE"/>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14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8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260" w:type="dxa"/>
            <w:vAlign w:val="bottom"/>
            <w:tcBorders>
              <w:top w:val="single" w:sz="8" w:color="0000EE"/>
              <w:bottom w:val="single" w:sz="8" w:color="A5A5A5"/>
            </w:tcBorders>
          </w:tcPr>
          <w:p>
            <w:pPr>
              <w:spacing w:after="0" w:line="20" w:lineRule="exact"/>
              <w:rPr>
                <w:sz w:val="1"/>
                <w:szCs w:val="1"/>
                <w:color w:val="auto"/>
              </w:rPr>
            </w:pPr>
          </w:p>
        </w:tc>
        <w:tc>
          <w:tcPr>
            <w:tcW w:w="20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40" w:type="dxa"/>
            <w:vAlign w:val="bottom"/>
            <w:tcBorders>
              <w:top w:val="single" w:sz="8" w:color="0000EE"/>
              <w:bottom w:val="single" w:sz="8" w:color="A5A5A5"/>
            </w:tcBorders>
          </w:tcPr>
          <w:p>
            <w:pPr>
              <w:spacing w:after="0" w:line="20" w:lineRule="exact"/>
              <w:rPr>
                <w:sz w:val="1"/>
                <w:szCs w:val="1"/>
                <w:color w:val="auto"/>
              </w:rPr>
            </w:pPr>
          </w:p>
        </w:tc>
        <w:tc>
          <w:tcPr>
            <w:tcW w:w="100" w:type="dxa"/>
            <w:vAlign w:val="bottom"/>
            <w:tcBorders>
              <w:top w:val="single" w:sz="8" w:color="0000EE"/>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0" w:type="dxa"/>
            <w:vAlign w:val="bottom"/>
            <w:gridSpan w:val="41"/>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360" w:type="dxa"/>
            <w:vAlign w:val="bottom"/>
            <w:gridSpan w:val="5"/>
            <w:vMerge w:val="restart"/>
          </w:tcPr>
          <w:p>
            <w:pPr>
              <w:ind w:left="20"/>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 xml:space="preserve"> 64</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color w:val="0000EE"/>
              </w:rPr>
              <w:t>EXECUTIVE COMPENSATION TABLES</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BF5B5A"/>
              <w:bottom w:val="single" w:sz="8" w:color="A5A5A5"/>
            </w:tcBorders>
            <w:gridSpan w:val="2"/>
          </w:tcPr>
          <w:p>
            <w:pPr>
              <w:spacing w:after="0" w:line="20" w:lineRule="exact"/>
              <w:rPr>
                <w:sz w:val="1"/>
                <w:szCs w:val="1"/>
                <w:color w:val="auto"/>
              </w:rPr>
            </w:pPr>
          </w:p>
        </w:tc>
        <w:tc>
          <w:tcPr>
            <w:tcW w:w="520" w:type="dxa"/>
            <w:vAlign w:val="bottom"/>
            <w:tcBorders>
              <w:bottom w:val="single" w:sz="8" w:color="A5A5A5"/>
            </w:tcBorders>
            <w:gridSpan w:val="5"/>
          </w:tcPr>
          <w:p>
            <w:pPr>
              <w:spacing w:after="0" w:line="20" w:lineRule="exact"/>
              <w:rPr>
                <w:sz w:val="1"/>
                <w:szCs w:val="1"/>
                <w:color w:val="auto"/>
              </w:rPr>
            </w:pPr>
          </w:p>
        </w:tc>
        <w:tc>
          <w:tcPr>
            <w:tcW w:w="2760" w:type="dxa"/>
            <w:vAlign w:val="bottom"/>
            <w:tcBorders>
              <w:top w:val="single" w:sz="8" w:color="0000EE"/>
              <w:bottom w:val="single" w:sz="8" w:color="A5A5A5"/>
            </w:tcBorders>
            <w:gridSpan w:val="29"/>
          </w:tcPr>
          <w:p>
            <w:pPr>
              <w:spacing w:after="0" w:line="20" w:lineRule="exact"/>
              <w:rPr>
                <w:sz w:val="1"/>
                <w:szCs w:val="1"/>
                <w:color w:val="auto"/>
              </w:rPr>
            </w:pPr>
          </w:p>
        </w:tc>
        <w:tc>
          <w:tcPr>
            <w:tcW w:w="860" w:type="dxa"/>
            <w:vAlign w:val="bottom"/>
            <w:tcBorders>
              <w:bottom w:val="single" w:sz="8" w:color="A5A5A5"/>
            </w:tcBorders>
            <w:gridSpan w:val="1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5"/>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restart"/>
          </w:tcPr>
          <w:p>
            <w:pPr>
              <w:spacing w:after="0" w:line="210" w:lineRule="exact"/>
              <w:rPr>
                <w:sz w:val="20"/>
                <w:szCs w:val="20"/>
                <w:color w:val="auto"/>
              </w:rPr>
            </w:pPr>
            <w:r>
              <w:rPr>
                <w:rFonts w:ascii="Arial" w:cs="Arial" w:eastAsia="Arial" w:hAnsi="Arial"/>
                <w:sz w:val="24"/>
                <w:szCs w:val="24"/>
                <w:color w:val="000000"/>
                <w:vertAlign w:val="superscript"/>
              </w:rPr>
              <w:t>​</w:t>
            </w:r>
            <w:r>
              <w:rPr>
                <w:rFonts w:ascii="Arial" w:cs="Arial" w:eastAsia="Arial" w:hAnsi="Arial"/>
                <w:sz w:val="13"/>
                <w:szCs w:val="13"/>
                <w:color w:val="0000EE"/>
              </w:rPr>
              <w:t xml:space="preserve"> 16</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620" w:type="dxa"/>
            <w:vAlign w:val="bottom"/>
            <w:gridSpan w:val="40"/>
            <w:vMerge w:val="restart"/>
          </w:tcPr>
          <w:p>
            <w:pPr>
              <w:spacing w:after="0"/>
              <w:rPr>
                <w:sz w:val="20"/>
                <w:szCs w:val="20"/>
                <w:color w:val="auto"/>
              </w:rPr>
            </w:pPr>
            <w:r>
              <w:rPr>
                <w:rFonts w:ascii="Arial" w:cs="Arial" w:eastAsia="Arial" w:hAnsi="Arial"/>
                <w:sz w:val="14"/>
                <w:szCs w:val="14"/>
                <w:color w:val="0000EE"/>
              </w:rPr>
              <w:t>DIRECTOR NOMINEES</w:t>
            </w:r>
          </w:p>
        </w:tc>
        <w:tc>
          <w:tcPr>
            <w:tcW w:w="4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36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3640" w:type="dxa"/>
            <w:vAlign w:val="bottom"/>
            <w:gridSpan w:val="38"/>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620" w:type="dxa"/>
            <w:vAlign w:val="bottom"/>
            <w:gridSpan w:val="40"/>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80" w:type="dxa"/>
            <w:vAlign w:val="bottom"/>
            <w:tcBorders>
              <w:top w:val="single" w:sz="8" w:color="0000EE"/>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14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8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260" w:type="dxa"/>
            <w:vAlign w:val="bottom"/>
            <w:tcBorders>
              <w:top w:val="single" w:sz="8" w:color="0000EE"/>
              <w:bottom w:val="single" w:sz="8" w:color="A5A5A5"/>
            </w:tcBorders>
          </w:tcPr>
          <w:p>
            <w:pPr>
              <w:spacing w:after="0" w:line="20" w:lineRule="exact"/>
              <w:rPr>
                <w:sz w:val="1"/>
                <w:szCs w:val="1"/>
                <w:color w:val="auto"/>
              </w:rPr>
            </w:pPr>
          </w:p>
        </w:tc>
        <w:tc>
          <w:tcPr>
            <w:tcW w:w="20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40" w:type="dxa"/>
            <w:vAlign w:val="bottom"/>
            <w:tcBorders>
              <w:top w:val="single" w:sz="8" w:color="0000EE"/>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3620" w:type="dxa"/>
            <w:vAlign w:val="bottom"/>
            <w:gridSpan w:val="40"/>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64</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6"/>
                <w:szCs w:val="6"/>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Summary Compensation Table</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gridSpan w:val="2"/>
          </w:tcPr>
          <w:p>
            <w:pPr>
              <w:spacing w:after="0" w:line="20" w:lineRule="exact"/>
              <w:rPr>
                <w:sz w:val="1"/>
                <w:szCs w:val="1"/>
                <w:color w:val="auto"/>
              </w:rPr>
            </w:pPr>
          </w:p>
        </w:tc>
        <w:tc>
          <w:tcPr>
            <w:tcW w:w="520" w:type="dxa"/>
            <w:vAlign w:val="bottom"/>
            <w:tcBorders>
              <w:bottom w:val="single" w:sz="8" w:color="A5A5A5"/>
            </w:tcBorders>
            <w:gridSpan w:val="5"/>
          </w:tcPr>
          <w:p>
            <w:pPr>
              <w:spacing w:after="0" w:line="20" w:lineRule="exact"/>
              <w:rPr>
                <w:sz w:val="1"/>
                <w:szCs w:val="1"/>
                <w:color w:val="auto"/>
              </w:rPr>
            </w:pPr>
          </w:p>
        </w:tc>
        <w:tc>
          <w:tcPr>
            <w:tcW w:w="1480" w:type="dxa"/>
            <w:vAlign w:val="bottom"/>
            <w:tcBorders>
              <w:top w:val="single" w:sz="8" w:color="0000EE"/>
              <w:bottom w:val="single" w:sz="8" w:color="A5A5A5"/>
            </w:tcBorders>
            <w:gridSpan w:val="11"/>
          </w:tcPr>
          <w:p>
            <w:pPr>
              <w:spacing w:after="0" w:line="20" w:lineRule="exact"/>
              <w:rPr>
                <w:sz w:val="1"/>
                <w:szCs w:val="1"/>
                <w:color w:val="auto"/>
              </w:rPr>
            </w:pPr>
          </w:p>
        </w:tc>
        <w:tc>
          <w:tcPr>
            <w:tcW w:w="2140" w:type="dxa"/>
            <w:vAlign w:val="bottom"/>
            <w:tcBorders>
              <w:bottom w:val="single" w:sz="8" w:color="A5A5A5"/>
            </w:tcBorders>
            <w:gridSpan w:val="2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spacing w:after="0"/>
              <w:rPr>
                <w:sz w:val="20"/>
                <w:szCs w:val="20"/>
                <w:color w:val="auto"/>
              </w:rPr>
            </w:pPr>
            <w:r>
              <w:rPr>
                <w:rFonts w:ascii="Arial" w:cs="Arial" w:eastAsia="Arial" w:hAnsi="Arial"/>
                <w:sz w:val="14"/>
                <w:szCs w:val="14"/>
                <w:color w:val="0000EE"/>
                <w:w w:val="89"/>
              </w:rPr>
              <w:t>25</w:t>
            </w: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4"/>
                <w:szCs w:val="4"/>
                <w:color w:val="auto"/>
              </w:rPr>
            </w:pPr>
          </w:p>
        </w:tc>
        <w:tc>
          <w:tcPr>
            <w:tcW w:w="2880" w:type="dxa"/>
            <w:vAlign w:val="bottom"/>
            <w:gridSpan w:val="30"/>
            <w:vMerge w:val="restart"/>
          </w:tcPr>
          <w:p>
            <w:pPr>
              <w:spacing w:after="0"/>
              <w:rPr>
                <w:sz w:val="20"/>
                <w:szCs w:val="20"/>
                <w:color w:val="auto"/>
              </w:rPr>
            </w:pPr>
            <w:r>
              <w:rPr>
                <w:rFonts w:ascii="Arial" w:cs="Arial" w:eastAsia="Arial" w:hAnsi="Arial"/>
                <w:sz w:val="14"/>
                <w:szCs w:val="14"/>
                <w:color w:val="0000EE"/>
                <w:w w:val="97"/>
              </w:rPr>
              <w:t>BOARD OF DIRECTORS, COMMITTEES AND</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620" w:type="dxa"/>
            <w:vAlign w:val="bottom"/>
            <w:gridSpan w:val="37"/>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30"/>
            <w:vMerge w:val="continue"/>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960" w:type="dxa"/>
            <w:vAlign w:val="bottom"/>
            <w:tcBorders>
              <w:top w:val="single" w:sz="8" w:color="0000EE"/>
              <w:bottom w:val="single" w:sz="8" w:color="D8D8D8"/>
            </w:tcBorders>
            <w:gridSpan w:val="12"/>
          </w:tcPr>
          <w:p>
            <w:pPr>
              <w:spacing w:after="0" w:line="20" w:lineRule="exact"/>
              <w:rPr>
                <w:sz w:val="1"/>
                <w:szCs w:val="1"/>
                <w:color w:val="auto"/>
              </w:rPr>
            </w:pPr>
          </w:p>
        </w:tc>
        <w:tc>
          <w:tcPr>
            <w:tcW w:w="1520" w:type="dxa"/>
            <w:vAlign w:val="bottom"/>
            <w:tcBorders>
              <w:bottom w:val="single" w:sz="8" w:color="D8D8D8"/>
            </w:tcBorders>
            <w:gridSpan w:val="25"/>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107"/>
        </w:trPr>
        <w:tc>
          <w:tcPr>
            <w:tcW w:w="7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60" w:type="dxa"/>
            <w:vAlign w:val="bottom"/>
            <w:tcBorders>
              <w:bottom w:val="single" w:sz="8" w:color="0000EE"/>
            </w:tcBorders>
            <w:gridSpan w:val="2"/>
            <w:vMerge w:val="continue"/>
          </w:tcPr>
          <w:p>
            <w:pPr>
              <w:spacing w:after="0"/>
              <w:rPr>
                <w:sz w:val="8"/>
                <w:szCs w:val="8"/>
                <w:color w:val="auto"/>
              </w:rPr>
            </w:pPr>
          </w:p>
        </w:tc>
        <w:tc>
          <w:tcPr>
            <w:tcW w:w="14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880" w:type="dxa"/>
            <w:vAlign w:val="bottom"/>
            <w:tcBorders>
              <w:bottom w:val="single" w:sz="8" w:color="0000EE"/>
            </w:tcBorders>
            <w:gridSpan w:val="30"/>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66</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vMerge w:val="restart"/>
          </w:tcPr>
          <w:p>
            <w:pPr>
              <w:spacing w:after="0"/>
              <w:rPr>
                <w:sz w:val="8"/>
                <w:szCs w:val="8"/>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2023 Grants of Plan-Based Awards</w:t>
            </w:r>
          </w:p>
        </w:tc>
        <w:tc>
          <w:tcPr>
            <w:tcW w:w="20" w:type="dxa"/>
            <w:vAlign w:val="bottom"/>
            <w:vMerge w:val="restart"/>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20" w:type="dxa"/>
            <w:vAlign w:val="bottom"/>
            <w:gridSpan w:val="40"/>
            <w:vMerge w:val="restart"/>
          </w:tcPr>
          <w:p>
            <w:pPr>
              <w:spacing w:after="0" w:line="155" w:lineRule="exact"/>
              <w:rPr>
                <w:sz w:val="20"/>
                <w:szCs w:val="20"/>
                <w:color w:val="auto"/>
              </w:rPr>
            </w:pPr>
            <w:r>
              <w:rPr>
                <w:rFonts w:ascii="Arial" w:cs="Arial" w:eastAsia="Arial" w:hAnsi="Arial"/>
                <w:sz w:val="14"/>
                <w:szCs w:val="14"/>
                <w:color w:val="0000EE"/>
              </w:rPr>
              <w:t>GOVERNANCE</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620" w:type="dxa"/>
            <w:vAlign w:val="bottom"/>
            <w:gridSpan w:val="37"/>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500" w:type="dxa"/>
            <w:vAlign w:val="bottom"/>
            <w:gridSpan w:val="8"/>
          </w:tcPr>
          <w:p>
            <w:pPr>
              <w:spacing w:after="0" w:line="20" w:lineRule="exact"/>
              <w:rPr>
                <w:sz w:val="1"/>
                <w:szCs w:val="1"/>
                <w:color w:val="auto"/>
              </w:rPr>
            </w:pPr>
          </w:p>
        </w:tc>
        <w:tc>
          <w:tcPr>
            <w:tcW w:w="3620" w:type="dxa"/>
            <w:vAlign w:val="bottom"/>
            <w:gridSpan w:val="40"/>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2240" w:type="dxa"/>
            <w:vAlign w:val="bottom"/>
            <w:tcBorders>
              <w:top w:val="single" w:sz="8" w:color="0000EE"/>
              <w:bottom w:val="single" w:sz="8" w:color="D8D8D8"/>
            </w:tcBorders>
            <w:gridSpan w:val="15"/>
          </w:tcPr>
          <w:p>
            <w:pPr>
              <w:spacing w:after="0" w:line="20" w:lineRule="exact"/>
              <w:rPr>
                <w:sz w:val="1"/>
                <w:szCs w:val="1"/>
                <w:color w:val="auto"/>
              </w:rPr>
            </w:pPr>
          </w:p>
        </w:tc>
        <w:tc>
          <w:tcPr>
            <w:tcW w:w="1240" w:type="dxa"/>
            <w:vAlign w:val="bottom"/>
            <w:tcBorders>
              <w:bottom w:val="single" w:sz="8" w:color="D8D8D8"/>
            </w:tcBorders>
            <w:gridSpan w:val="2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20" w:type="dxa"/>
            <w:vAlign w:val="bottom"/>
            <w:gridSpan w:val="40"/>
            <w:vMerge w:val="continue"/>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67</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Outstanding Equity Awards at 2023 Fiscal Year End</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0" w:type="dxa"/>
            <w:vAlign w:val="bottom"/>
            <w:tcBorders>
              <w:bottom w:val="single" w:sz="8" w:color="A5A5A5"/>
            </w:tcBorders>
            <w:gridSpan w:val="8"/>
          </w:tcPr>
          <w:p>
            <w:pPr>
              <w:spacing w:after="0" w:line="20" w:lineRule="exact"/>
              <w:rPr>
                <w:sz w:val="1"/>
                <w:szCs w:val="1"/>
                <w:color w:val="auto"/>
              </w:rPr>
            </w:pPr>
          </w:p>
        </w:tc>
        <w:tc>
          <w:tcPr>
            <w:tcW w:w="960" w:type="dxa"/>
            <w:vAlign w:val="bottom"/>
            <w:tcBorders>
              <w:top w:val="single" w:sz="8" w:color="0000EE"/>
              <w:bottom w:val="single" w:sz="8" w:color="A5A5A5"/>
            </w:tcBorders>
            <w:gridSpan w:val="7"/>
          </w:tcPr>
          <w:p>
            <w:pPr>
              <w:spacing w:after="0" w:line="20" w:lineRule="exact"/>
              <w:rPr>
                <w:sz w:val="1"/>
                <w:szCs w:val="1"/>
                <w:color w:val="auto"/>
              </w:rPr>
            </w:pPr>
          </w:p>
        </w:tc>
        <w:tc>
          <w:tcPr>
            <w:tcW w:w="2660" w:type="dxa"/>
            <w:vAlign w:val="bottom"/>
            <w:tcBorders>
              <w:bottom w:val="single" w:sz="8" w:color="A5A5A5"/>
            </w:tcBorders>
            <w:gridSpan w:val="3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25</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7"/>
                <w:szCs w:val="7"/>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Meetings</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620" w:type="dxa"/>
            <w:vAlign w:val="bottom"/>
            <w:gridSpan w:val="37"/>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60" w:type="dxa"/>
            <w:vAlign w:val="bottom"/>
            <w:tcBorders>
              <w:top w:val="single" w:sz="8" w:color="0000EE"/>
              <w:bottom w:val="single" w:sz="8" w:color="D8D8D8"/>
            </w:tcBorders>
          </w:tcPr>
          <w:p>
            <w:pPr>
              <w:spacing w:after="0" w:line="20" w:lineRule="exact"/>
              <w:rPr>
                <w:sz w:val="1"/>
                <w:szCs w:val="1"/>
                <w:color w:val="auto"/>
              </w:rPr>
            </w:pPr>
          </w:p>
        </w:tc>
        <w:tc>
          <w:tcPr>
            <w:tcW w:w="20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20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68</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2023 Stock Vested</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600" w:type="dxa"/>
            <w:vAlign w:val="bottom"/>
            <w:tcBorders>
              <w:top w:val="single" w:sz="8" w:color="0000EE"/>
              <w:bottom w:val="single" w:sz="8" w:color="D8D8D8"/>
            </w:tcBorders>
            <w:gridSpan w:val="4"/>
          </w:tcPr>
          <w:p>
            <w:pPr>
              <w:spacing w:after="0" w:line="20" w:lineRule="exact"/>
              <w:rPr>
                <w:sz w:val="1"/>
                <w:szCs w:val="1"/>
                <w:color w:val="auto"/>
              </w:rPr>
            </w:pPr>
          </w:p>
        </w:tc>
        <w:tc>
          <w:tcPr>
            <w:tcW w:w="2900" w:type="dxa"/>
            <w:vAlign w:val="bottom"/>
            <w:tcBorders>
              <w:bottom w:val="single" w:sz="8" w:color="D8D8D8"/>
            </w:tcBorders>
            <w:gridSpan w:val="3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25</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7"/>
                <w:szCs w:val="7"/>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Director Independence</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620" w:type="dxa"/>
            <w:vAlign w:val="bottom"/>
            <w:gridSpan w:val="37"/>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6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69</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2023 Pension Benefits</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460" w:type="dxa"/>
            <w:vAlign w:val="bottom"/>
            <w:tcBorders>
              <w:top w:val="single" w:sz="8" w:color="0000EE"/>
              <w:bottom w:val="single" w:sz="8" w:color="D8D8D8"/>
            </w:tcBorders>
            <w:gridSpan w:val="11"/>
          </w:tcPr>
          <w:p>
            <w:pPr>
              <w:spacing w:after="0" w:line="20" w:lineRule="exact"/>
              <w:rPr>
                <w:sz w:val="1"/>
                <w:szCs w:val="1"/>
                <w:color w:val="auto"/>
              </w:rPr>
            </w:pPr>
          </w:p>
        </w:tc>
        <w:tc>
          <w:tcPr>
            <w:tcW w:w="2040" w:type="dxa"/>
            <w:vAlign w:val="bottom"/>
            <w:tcBorders>
              <w:bottom w:val="single" w:sz="8" w:color="D8D8D8"/>
            </w:tcBorders>
            <w:gridSpan w:val="2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26</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7"/>
                <w:szCs w:val="7"/>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Board Leadership Structure and Qualifications</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620" w:type="dxa"/>
            <w:vAlign w:val="bottom"/>
            <w:gridSpan w:val="37"/>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6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69</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2023 Nonqualified Deferred Compensation</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940" w:type="dxa"/>
            <w:vAlign w:val="bottom"/>
            <w:tcBorders>
              <w:top w:val="single" w:sz="8" w:color="0000EE"/>
              <w:bottom w:val="single" w:sz="8" w:color="D8D8D8"/>
            </w:tcBorders>
            <w:gridSpan w:val="32"/>
          </w:tcPr>
          <w:p>
            <w:pPr>
              <w:spacing w:after="0" w:line="20" w:lineRule="exact"/>
              <w:rPr>
                <w:sz w:val="1"/>
                <w:szCs w:val="1"/>
                <w:color w:val="auto"/>
              </w:rPr>
            </w:pPr>
          </w:p>
        </w:tc>
        <w:tc>
          <w:tcPr>
            <w:tcW w:w="560" w:type="dxa"/>
            <w:vAlign w:val="bottom"/>
            <w:tcBorders>
              <w:bottom w:val="single" w:sz="8" w:color="D8D8D8"/>
            </w:tcBorders>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26</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6"/>
                <w:szCs w:val="6"/>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Director Nomination Process</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620" w:type="dxa"/>
            <w:vAlign w:val="bottom"/>
            <w:gridSpan w:val="37"/>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60" w:type="dxa"/>
            <w:vAlign w:val="bottom"/>
            <w:tcBorders>
              <w:top w:val="single" w:sz="8" w:color="0000EE"/>
              <w:bottom w:val="single" w:sz="8" w:color="D8D8D8"/>
            </w:tcBorders>
          </w:tcPr>
          <w:p>
            <w:pPr>
              <w:spacing w:after="0" w:line="20" w:lineRule="exact"/>
              <w:rPr>
                <w:sz w:val="1"/>
                <w:szCs w:val="1"/>
                <w:color w:val="auto"/>
              </w:rPr>
            </w:pPr>
          </w:p>
        </w:tc>
        <w:tc>
          <w:tcPr>
            <w:tcW w:w="20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10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top w:val="single" w:sz="8" w:color="0000EE"/>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70</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Potential Payments upon Termination or Change in</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840" w:type="dxa"/>
            <w:vAlign w:val="bottom"/>
            <w:tcBorders>
              <w:top w:val="single" w:sz="8" w:color="0000EE"/>
              <w:bottom w:val="single" w:sz="8" w:color="D8D8D8"/>
            </w:tcBorders>
            <w:gridSpan w:val="16"/>
          </w:tcPr>
          <w:p>
            <w:pPr>
              <w:spacing w:after="0" w:line="20" w:lineRule="exact"/>
              <w:rPr>
                <w:sz w:val="1"/>
                <w:szCs w:val="1"/>
                <w:color w:val="auto"/>
              </w:rPr>
            </w:pPr>
          </w:p>
        </w:tc>
        <w:tc>
          <w:tcPr>
            <w:tcW w:w="1660" w:type="dxa"/>
            <w:vAlign w:val="bottom"/>
            <w:tcBorders>
              <w:bottom w:val="single" w:sz="8" w:color="D8D8D8"/>
            </w:tcBorders>
            <w:gridSpan w:val="2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28</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6"/>
                <w:szCs w:val="6"/>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Committees of Our Board of Directors</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620" w:type="dxa"/>
            <w:vAlign w:val="bottom"/>
            <w:gridSpan w:val="37"/>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600" w:type="dxa"/>
            <w:vAlign w:val="bottom"/>
            <w:gridSpan w:val="39"/>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20" w:type="dxa"/>
            <w:vAlign w:val="bottom"/>
            <w:gridSpan w:val="37"/>
            <w:vMerge w:val="restart"/>
          </w:tcPr>
          <w:p>
            <w:pPr>
              <w:ind w:left="160"/>
              <w:spacing w:after="0" w:line="155" w:lineRule="exact"/>
              <w:rPr>
                <w:sz w:val="20"/>
                <w:szCs w:val="20"/>
                <w:color w:val="auto"/>
              </w:rPr>
            </w:pPr>
            <w:r>
              <w:rPr>
                <w:rFonts w:ascii="Arial" w:cs="Arial" w:eastAsia="Arial" w:hAnsi="Arial"/>
                <w:sz w:val="14"/>
                <w:szCs w:val="14"/>
                <w:i w:val="1"/>
                <w:iCs w:val="1"/>
                <w:color w:val="0000EE"/>
              </w:rPr>
              <w:t>Control</w:t>
            </w: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400" w:type="dxa"/>
            <w:vAlign w:val="bottom"/>
            <w:tcBorders>
              <w:top w:val="single" w:sz="8" w:color="0000EE"/>
              <w:bottom w:val="single" w:sz="8" w:color="D8D8D8"/>
            </w:tcBorders>
            <w:gridSpan w:val="26"/>
          </w:tcPr>
          <w:p>
            <w:pPr>
              <w:spacing w:after="0" w:line="20" w:lineRule="exact"/>
              <w:rPr>
                <w:sz w:val="1"/>
                <w:szCs w:val="1"/>
                <w:color w:val="auto"/>
              </w:rPr>
            </w:pPr>
          </w:p>
        </w:tc>
        <w:tc>
          <w:tcPr>
            <w:tcW w:w="1100" w:type="dxa"/>
            <w:vAlign w:val="bottom"/>
            <w:tcBorders>
              <w:bottom w:val="single" w:sz="8" w:color="D8D8D8"/>
            </w:tcBorders>
            <w:gridSpan w:val="13"/>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60" w:type="dxa"/>
            <w:vAlign w:val="bottom"/>
            <w:vMerge w:val="restart"/>
          </w:tcPr>
          <w:p>
            <w:pPr>
              <w:jc w:val="right"/>
              <w:spacing w:after="0" w:line="155" w:lineRule="exact"/>
              <w:rPr>
                <w:sz w:val="20"/>
                <w:szCs w:val="20"/>
                <w:color w:val="auto"/>
              </w:rPr>
            </w:pPr>
            <w:r>
              <w:rPr>
                <w:rFonts w:ascii="Arial" w:cs="Arial" w:eastAsia="Arial" w:hAnsi="Arial"/>
                <w:sz w:val="14"/>
                <w:szCs w:val="14"/>
                <w:i w:val="1"/>
                <w:iCs w:val="1"/>
                <w:color w:val="0000EE"/>
                <w:w w:val="89"/>
              </w:rPr>
              <w:t>31</w:t>
            </w:r>
          </w:p>
        </w:tc>
        <w:tc>
          <w:tcPr>
            <w:tcW w:w="20" w:type="dxa"/>
            <w:vAlign w:val="bottom"/>
          </w:tcPr>
          <w:p>
            <w:pPr>
              <w:spacing w:after="0" w:line="20" w:lineRule="exact"/>
              <w:rPr>
                <w:sz w:val="1"/>
                <w:szCs w:val="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35"/>
            <w:vMerge w:val="restart"/>
          </w:tcPr>
          <w:p>
            <w:pPr>
              <w:spacing w:after="0" w:line="155" w:lineRule="exact"/>
              <w:rPr>
                <w:sz w:val="20"/>
                <w:szCs w:val="20"/>
                <w:color w:val="auto"/>
              </w:rPr>
            </w:pPr>
            <w:r>
              <w:rPr>
                <w:rFonts w:ascii="Arial" w:cs="Arial" w:eastAsia="Arial" w:hAnsi="Arial"/>
                <w:sz w:val="14"/>
                <w:szCs w:val="14"/>
                <w:i w:val="1"/>
                <w:iCs w:val="1"/>
                <w:color w:val="0000EE"/>
              </w:rPr>
              <w:t>Compensation Committee Interlocks and Insider</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60" w:type="dxa"/>
            <w:vAlign w:val="bottom"/>
            <w:gridSpan w:val="35"/>
            <w:vMerge w:val="continu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880" w:type="dxa"/>
            <w:vAlign w:val="bottom"/>
            <w:tcBorders>
              <w:bottom w:val="single" w:sz="8" w:color="D8D8D8"/>
            </w:tcBorders>
            <w:gridSpan w:val="10"/>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3020" w:type="dxa"/>
            <w:vAlign w:val="bottom"/>
            <w:tcBorders>
              <w:bottom w:val="single" w:sz="8" w:color="D8D8D8"/>
            </w:tcBorders>
            <w:gridSpan w:val="36"/>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780" w:type="dxa"/>
            <w:vAlign w:val="bottom"/>
          </w:tcPr>
          <w:p>
            <w:pPr>
              <w:spacing w:after="0"/>
              <w:rPr>
                <w:sz w:val="7"/>
                <w:szCs w:val="7"/>
                <w:color w:val="auto"/>
              </w:rPr>
            </w:pPr>
          </w:p>
        </w:tc>
        <w:tc>
          <w:tcPr>
            <w:tcW w:w="360" w:type="dxa"/>
            <w:vAlign w:val="bottom"/>
            <w:gridSpan w:val="4"/>
            <w:vMerge w:val="continue"/>
          </w:tcPr>
          <w:p>
            <w:pPr>
              <w:spacing w:after="0"/>
              <w:rPr>
                <w:sz w:val="7"/>
                <w:szCs w:val="7"/>
                <w:color w:val="auto"/>
              </w:rPr>
            </w:pPr>
          </w:p>
        </w:tc>
        <w:tc>
          <w:tcPr>
            <w:tcW w:w="160" w:type="dxa"/>
            <w:vAlign w:val="bottom"/>
            <w:tcBorders>
              <w:bottom w:val="single" w:sz="8" w:color="0000EE"/>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tcBorders>
              <w:bottom w:val="single" w:sz="8" w:color="0000EE"/>
            </w:tcBorders>
            <w:gridSpan w:val="35"/>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73</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vMerge w:val="restart"/>
          </w:tcPr>
          <w:p>
            <w:pPr>
              <w:spacing w:after="0"/>
              <w:rPr>
                <w:sz w:val="7"/>
                <w:szCs w:val="7"/>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Pay Ratio Disclosure</w:t>
            </w:r>
          </w:p>
        </w:tc>
        <w:tc>
          <w:tcPr>
            <w:tcW w:w="20" w:type="dxa"/>
            <w:vAlign w:val="bottom"/>
            <w:vMerge w:val="restart"/>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Participation</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620" w:type="dxa"/>
            <w:vAlign w:val="bottom"/>
            <w:gridSpan w:val="37"/>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gridSpan w:val="9"/>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320" w:type="dxa"/>
            <w:vAlign w:val="bottom"/>
            <w:tcBorders>
              <w:top w:val="single" w:sz="8" w:color="0000EE"/>
              <w:bottom w:val="single" w:sz="8" w:color="D8D8D8"/>
            </w:tcBorders>
            <w:gridSpan w:val="8"/>
          </w:tcPr>
          <w:p>
            <w:pPr>
              <w:spacing w:after="0" w:line="20" w:lineRule="exact"/>
              <w:rPr>
                <w:sz w:val="1"/>
                <w:szCs w:val="1"/>
                <w:color w:val="auto"/>
              </w:rPr>
            </w:pPr>
          </w:p>
        </w:tc>
        <w:tc>
          <w:tcPr>
            <w:tcW w:w="2160" w:type="dxa"/>
            <w:vAlign w:val="bottom"/>
            <w:tcBorders>
              <w:bottom w:val="single" w:sz="8" w:color="D8D8D8"/>
            </w:tcBorders>
            <w:gridSpan w:val="2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vMerge w:val="restart"/>
          </w:tcPr>
          <w:p>
            <w:pPr>
              <w:spacing w:after="0"/>
              <w:rPr>
                <w:sz w:val="20"/>
                <w:szCs w:val="20"/>
                <w:color w:val="auto"/>
              </w:rPr>
            </w:pPr>
            <w:r>
              <w:rPr>
                <w:rFonts w:ascii="Arial" w:cs="Arial" w:eastAsia="Arial" w:hAnsi="Arial"/>
                <w:sz w:val="14"/>
                <w:szCs w:val="14"/>
                <w:i w:val="1"/>
                <w:iCs w:val="1"/>
                <w:color w:val="0000EE"/>
              </w:rPr>
              <w:t>74</w:t>
            </w: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rPr>
                <w:sz w:val="20"/>
                <w:szCs w:val="20"/>
                <w:color w:val="auto"/>
              </w:rPr>
            </w:pPr>
            <w:r>
              <w:rPr>
                <w:rFonts w:ascii="Arial" w:cs="Arial" w:eastAsia="Arial" w:hAnsi="Arial"/>
                <w:sz w:val="14"/>
                <w:szCs w:val="14"/>
                <w:i w:val="1"/>
                <w:iCs w:val="1"/>
                <w:color w:val="0000EE"/>
              </w:rPr>
              <w:t>Pay Versus Performance Disclosure</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860" w:type="dxa"/>
            <w:vAlign w:val="bottom"/>
            <w:tcBorders>
              <w:bottom w:val="single" w:sz="8" w:color="D8D8D8"/>
            </w:tcBorders>
            <w:gridSpan w:val="9"/>
          </w:tcPr>
          <w:p>
            <w:pPr>
              <w:spacing w:after="0" w:line="20" w:lineRule="exact"/>
              <w:rPr>
                <w:sz w:val="1"/>
                <w:szCs w:val="1"/>
                <w:color w:val="auto"/>
              </w:rPr>
            </w:pPr>
          </w:p>
        </w:tc>
        <w:tc>
          <w:tcPr>
            <w:tcW w:w="800" w:type="dxa"/>
            <w:vAlign w:val="bottom"/>
            <w:tcBorders>
              <w:top w:val="single" w:sz="8" w:color="0000EE"/>
              <w:bottom w:val="single" w:sz="8" w:color="D8D8D8"/>
            </w:tcBorders>
            <w:gridSpan w:val="5"/>
          </w:tcPr>
          <w:p>
            <w:pPr>
              <w:spacing w:after="0" w:line="20" w:lineRule="exact"/>
              <w:rPr>
                <w:sz w:val="1"/>
                <w:szCs w:val="1"/>
                <w:color w:val="auto"/>
              </w:rPr>
            </w:pPr>
          </w:p>
        </w:tc>
        <w:tc>
          <w:tcPr>
            <w:tcW w:w="2700" w:type="dxa"/>
            <w:vAlign w:val="bottom"/>
            <w:tcBorders>
              <w:bottom w:val="single" w:sz="8" w:color="D8D8D8"/>
            </w:tcBorders>
            <w:gridSpan w:val="3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33</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6"/>
                <w:szCs w:val="6"/>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Board Oversight of Risk Management</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620" w:type="dxa"/>
            <w:vAlign w:val="bottom"/>
            <w:gridSpan w:val="37"/>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260" w:type="dxa"/>
            <w:vAlign w:val="bottom"/>
            <w:tcBorders>
              <w:top w:val="single" w:sz="8" w:color="0000EE"/>
              <w:bottom w:val="single" w:sz="8" w:color="D8D8D8"/>
            </w:tcBorders>
          </w:tcPr>
          <w:p>
            <w:pPr>
              <w:spacing w:after="0" w:line="20" w:lineRule="exact"/>
              <w:rPr>
                <w:sz w:val="1"/>
                <w:szCs w:val="1"/>
                <w:color w:val="auto"/>
              </w:rPr>
            </w:pPr>
          </w:p>
        </w:tc>
        <w:tc>
          <w:tcPr>
            <w:tcW w:w="20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60" w:type="dxa"/>
            <w:vAlign w:val="bottom"/>
            <w:tcBorders>
              <w:top w:val="single" w:sz="8" w:color="0000EE"/>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BF5B5A"/>
                <w:w w:val="89"/>
              </w:rPr>
              <w:t>79</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 ​</w:t>
            </w:r>
          </w:p>
        </w:tc>
        <w:tc>
          <w:tcPr>
            <w:tcW w:w="3620" w:type="dxa"/>
            <w:vAlign w:val="bottom"/>
            <w:gridSpan w:val="37"/>
            <w:vMerge w:val="restart"/>
          </w:tcPr>
          <w:p>
            <w:pPr>
              <w:spacing w:after="0"/>
              <w:rPr>
                <w:sz w:val="20"/>
                <w:szCs w:val="20"/>
                <w:color w:val="auto"/>
              </w:rPr>
            </w:pPr>
            <w:r>
              <w:rPr>
                <w:rFonts w:ascii="Arial" w:cs="Arial" w:eastAsia="Arial" w:hAnsi="Arial"/>
                <w:sz w:val="14"/>
                <w:szCs w:val="14"/>
                <w:b w:val="1"/>
                <w:bCs w:val="1"/>
                <w:color w:val="BF5B5A"/>
                <w:w w:val="98"/>
              </w:rPr>
              <w:t>PROPOSAL 3</w:t>
            </w:r>
            <w:r>
              <w:rPr>
                <w:rFonts w:ascii="Arial" w:cs="Arial" w:eastAsia="Arial" w:hAnsi="Arial"/>
                <w:sz w:val="14"/>
                <w:szCs w:val="14"/>
                <w:color w:val="0000EE"/>
                <w:w w:val="98"/>
              </w:rPr>
              <w:t>―ADVISORY VOTE ON THE FREQUENCY</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400" w:type="dxa"/>
            <w:vAlign w:val="bottom"/>
            <w:tcBorders>
              <w:top w:val="single" w:sz="8" w:color="0000EE"/>
              <w:bottom w:val="single" w:sz="8" w:color="D8D8D8"/>
            </w:tcBorders>
            <w:gridSpan w:val="26"/>
          </w:tcPr>
          <w:p>
            <w:pPr>
              <w:spacing w:after="0" w:line="20" w:lineRule="exact"/>
              <w:rPr>
                <w:sz w:val="1"/>
                <w:szCs w:val="1"/>
                <w:color w:val="auto"/>
              </w:rPr>
            </w:pPr>
          </w:p>
        </w:tc>
        <w:tc>
          <w:tcPr>
            <w:tcW w:w="1080" w:type="dxa"/>
            <w:vAlign w:val="bottom"/>
            <w:tcBorders>
              <w:bottom w:val="single" w:sz="8" w:color="D8D8D8"/>
            </w:tcBorders>
            <w:gridSpan w:val="12"/>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780" w:type="dxa"/>
            <w:vAlign w:val="bottom"/>
          </w:tcPr>
          <w:p>
            <w:pPr>
              <w:spacing w:after="0"/>
              <w:rPr>
                <w:sz w:val="10"/>
                <w:szCs w:val="10"/>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55" w:lineRule="exact"/>
              <w:rPr>
                <w:sz w:val="20"/>
                <w:szCs w:val="20"/>
                <w:color w:val="auto"/>
              </w:rPr>
            </w:pPr>
            <w:r>
              <w:rPr>
                <w:rFonts w:ascii="Arial" w:cs="Arial" w:eastAsia="Arial" w:hAnsi="Arial"/>
                <w:sz w:val="14"/>
                <w:szCs w:val="14"/>
                <w:i w:val="1"/>
                <w:iCs w:val="1"/>
                <w:color w:val="0000EE"/>
                <w:w w:val="89"/>
              </w:rPr>
              <w:t>35</w:t>
            </w: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0"/>
                <w:szCs w:val="10"/>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Director Education</w:t>
            </w:r>
          </w:p>
        </w:tc>
        <w:tc>
          <w:tcPr>
            <w:tcW w:w="480" w:type="dxa"/>
            <w:vAlign w:val="bottom"/>
            <w:gridSpan w:val="2"/>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180" w:type="dxa"/>
            <w:vAlign w:val="bottom"/>
            <w:tcBorders>
              <w:bottom w:val="single" w:sz="8" w:color="BF5B5A"/>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3620" w:type="dxa"/>
            <w:vAlign w:val="bottom"/>
            <w:tcBorders>
              <w:bottom w:val="single" w:sz="8" w:color="0000EE"/>
            </w:tcBorders>
            <w:gridSpan w:val="37"/>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64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60" w:type="dxa"/>
            <w:vAlign w:val="bottom"/>
            <w:tcBorders>
              <w:bottom w:val="single" w:sz="8" w:color="D8D8D8"/>
            </w:tcBorders>
            <w:gridSpan w:val="4"/>
          </w:tcPr>
          <w:p>
            <w:pPr>
              <w:spacing w:after="0"/>
              <w:rPr>
                <w:sz w:val="2"/>
                <w:szCs w:val="2"/>
                <w:color w:val="auto"/>
              </w:rPr>
            </w:pPr>
          </w:p>
        </w:tc>
        <w:tc>
          <w:tcPr>
            <w:tcW w:w="160" w:type="dxa"/>
            <w:vAlign w:val="bottom"/>
            <w:tcBorders>
              <w:top w:val="single" w:sz="8" w:color="0000EE"/>
              <w:bottom w:val="single" w:sz="8" w:color="D8D8D8"/>
            </w:tcBorders>
          </w:tcPr>
          <w:p>
            <w:pPr>
              <w:spacing w:after="0"/>
              <w:rPr>
                <w:sz w:val="2"/>
                <w:szCs w:val="2"/>
                <w:color w:val="auto"/>
              </w:rPr>
            </w:pPr>
          </w:p>
        </w:tc>
        <w:tc>
          <w:tcPr>
            <w:tcW w:w="340" w:type="dxa"/>
            <w:vAlign w:val="bottom"/>
            <w:tcBorders>
              <w:bottom w:val="single" w:sz="8" w:color="D8D8D8"/>
            </w:tcBorders>
            <w:gridSpan w:val="4"/>
          </w:tcPr>
          <w:p>
            <w:pPr>
              <w:spacing w:after="0"/>
              <w:rPr>
                <w:sz w:val="2"/>
                <w:szCs w:val="2"/>
                <w:color w:val="auto"/>
              </w:rPr>
            </w:pPr>
          </w:p>
        </w:tc>
        <w:tc>
          <w:tcPr>
            <w:tcW w:w="1180" w:type="dxa"/>
            <w:vAlign w:val="bottom"/>
            <w:tcBorders>
              <w:top w:val="single" w:sz="8" w:color="0000EE"/>
              <w:bottom w:val="single" w:sz="8" w:color="D8D8D8"/>
            </w:tcBorders>
            <w:gridSpan w:val="8"/>
          </w:tcPr>
          <w:p>
            <w:pPr>
              <w:spacing w:after="0"/>
              <w:rPr>
                <w:sz w:val="2"/>
                <w:szCs w:val="2"/>
                <w:color w:val="auto"/>
              </w:rPr>
            </w:pPr>
          </w:p>
        </w:tc>
        <w:tc>
          <w:tcPr>
            <w:tcW w:w="2320" w:type="dxa"/>
            <w:vAlign w:val="bottom"/>
            <w:tcBorders>
              <w:bottom w:val="single" w:sz="8" w:color="D8D8D8"/>
            </w:tcBorders>
            <w:gridSpan w:val="31"/>
          </w:tcPr>
          <w:p>
            <w:pPr>
              <w:spacing w:after="0"/>
              <w:rPr>
                <w:sz w:val="2"/>
                <w:szCs w:val="2"/>
                <w:color w:val="auto"/>
              </w:rPr>
            </w:pPr>
          </w:p>
        </w:tc>
        <w:tc>
          <w:tcPr>
            <w:tcW w:w="1160" w:type="dxa"/>
            <w:vAlign w:val="bottom"/>
            <w:gridSpan w:val="9"/>
          </w:tcPr>
          <w:p>
            <w:pPr>
              <w:spacing w:after="0"/>
              <w:rPr>
                <w:sz w:val="2"/>
                <w:szCs w:val="2"/>
                <w:color w:val="auto"/>
              </w:rPr>
            </w:pPr>
          </w:p>
        </w:tc>
        <w:tc>
          <w:tcPr>
            <w:tcW w:w="20" w:type="dxa"/>
            <w:vAlign w:val="bottom"/>
            <w:vMerge w:val="restart"/>
          </w:tcPr>
          <w:p>
            <w:pPr>
              <w:spacing w:after="0"/>
              <w:rPr>
                <w:sz w:val="2"/>
                <w:szCs w:val="2"/>
                <w:color w:val="auto"/>
              </w:rPr>
            </w:pPr>
          </w:p>
        </w:tc>
        <w:tc>
          <w:tcPr>
            <w:tcW w:w="3620" w:type="dxa"/>
            <w:vAlign w:val="bottom"/>
            <w:gridSpan w:val="37"/>
            <w:vMerge w:val="restart"/>
          </w:tcPr>
          <w:p>
            <w:pPr>
              <w:spacing w:after="0" w:line="108" w:lineRule="exact"/>
              <w:rPr>
                <w:sz w:val="20"/>
                <w:szCs w:val="20"/>
                <w:color w:val="auto"/>
              </w:rPr>
            </w:pPr>
            <w:r>
              <w:rPr>
                <w:rFonts w:ascii="Arial" w:cs="Arial" w:eastAsia="Arial" w:hAnsi="Arial"/>
                <w:sz w:val="12"/>
                <w:szCs w:val="12"/>
                <w:color w:val="0000EE"/>
              </w:rPr>
              <w:t>OF FUTURE VOTES ON THE COMPENSATION OF OUR</w:t>
            </w: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i w:val="1"/>
                <w:iCs w:val="1"/>
                <w:color w:val="0000EE"/>
                <w:w w:val="89"/>
              </w:rPr>
              <w:t>35</w:t>
            </w:r>
          </w:p>
        </w:tc>
        <w:tc>
          <w:tcPr>
            <w:tcW w:w="20" w:type="dxa"/>
            <w:vAlign w:val="bottom"/>
            <w:vMerge w:val="restart"/>
          </w:tcPr>
          <w:p>
            <w:pPr>
              <w:spacing w:after="0"/>
              <w:rPr>
                <w:sz w:val="5"/>
                <w:szCs w:val="5"/>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5"/>
                <w:szCs w:val="5"/>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Corporate Governance Guidelines and Code of</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62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780" w:type="dxa"/>
            <w:vAlign w:val="bottom"/>
          </w:tcPr>
          <w:p>
            <w:pPr>
              <w:spacing w:after="0"/>
              <w:rPr>
                <w:sz w:val="7"/>
                <w:szCs w:val="7"/>
                <w:color w:val="auto"/>
              </w:rPr>
            </w:pPr>
          </w:p>
        </w:tc>
        <w:tc>
          <w:tcPr>
            <w:tcW w:w="360" w:type="dxa"/>
            <w:vAlign w:val="bottom"/>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600" w:type="dxa"/>
            <w:vAlign w:val="bottom"/>
            <w:gridSpan w:val="39"/>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3580" w:type="dxa"/>
            <w:vAlign w:val="bottom"/>
            <w:tcBorders>
              <w:top w:val="single" w:sz="8" w:color="0000EE"/>
            </w:tcBorders>
            <w:gridSpan w:val="36"/>
            <w:vMerge w:val="restart"/>
          </w:tcPr>
          <w:p>
            <w:pPr>
              <w:spacing w:after="0" w:line="142" w:lineRule="exact"/>
              <w:rPr>
                <w:sz w:val="20"/>
                <w:szCs w:val="20"/>
                <w:color w:val="auto"/>
              </w:rPr>
            </w:pPr>
            <w:r>
              <w:rPr>
                <w:rFonts w:ascii="Arial" w:cs="Arial" w:eastAsia="Arial" w:hAnsi="Arial"/>
                <w:sz w:val="14"/>
                <w:szCs w:val="14"/>
                <w:color w:val="0000EE"/>
              </w:rPr>
              <w:t>NAMED EXECUTIVE OFFICERS</w:t>
            </w:r>
          </w:p>
        </w:tc>
        <w:tc>
          <w:tcPr>
            <w:tcW w:w="4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60" w:type="dxa"/>
            <w:vAlign w:val="bottom"/>
            <w:tcBorders>
              <w:right w:val="single" w:sz="8" w:color="0000EE"/>
            </w:tcBorders>
            <w:gridSpan w:val="44"/>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80" w:type="dxa"/>
            <w:vAlign w:val="bottom"/>
            <w:gridSpan w:val="36"/>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Conduct and Ethics</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3580" w:type="dxa"/>
            <w:vAlign w:val="bottom"/>
            <w:gridSpan w:val="36"/>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520" w:type="dxa"/>
            <w:vAlign w:val="bottom"/>
            <w:gridSpan w:val="9"/>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Borders>
              <w:bottom w:val="single" w:sz="8" w:color="A5A5A5"/>
            </w:tcBorders>
            <w:gridSpan w:val="9"/>
          </w:tcPr>
          <w:p>
            <w:pPr>
              <w:spacing w:after="0" w:line="20" w:lineRule="exact"/>
              <w:rPr>
                <w:sz w:val="1"/>
                <w:szCs w:val="1"/>
                <w:color w:val="auto"/>
              </w:rPr>
            </w:pPr>
          </w:p>
        </w:tc>
        <w:tc>
          <w:tcPr>
            <w:tcW w:w="2060" w:type="dxa"/>
            <w:vAlign w:val="bottom"/>
            <w:tcBorders>
              <w:top w:val="single" w:sz="8" w:color="0000EE"/>
              <w:bottom w:val="single" w:sz="8" w:color="A5A5A5"/>
            </w:tcBorders>
            <w:gridSpan w:val="12"/>
          </w:tcPr>
          <w:p>
            <w:pPr>
              <w:spacing w:after="0" w:line="20" w:lineRule="exact"/>
              <w:rPr>
                <w:sz w:val="1"/>
                <w:szCs w:val="1"/>
                <w:color w:val="auto"/>
              </w:rPr>
            </w:pPr>
          </w:p>
        </w:tc>
        <w:tc>
          <w:tcPr>
            <w:tcW w:w="1580" w:type="dxa"/>
            <w:vAlign w:val="bottom"/>
            <w:tcBorders>
              <w:bottom w:val="single" w:sz="8" w:color="A5A5A5"/>
            </w:tcBorders>
            <w:gridSpan w:val="2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1520" w:type="dxa"/>
            <w:vAlign w:val="bottom"/>
            <w:gridSpan w:val="9"/>
          </w:tcPr>
          <w:p>
            <w:pPr>
              <w:spacing w:after="0"/>
              <w:rPr>
                <w:sz w:val="5"/>
                <w:szCs w:val="5"/>
                <w:color w:val="auto"/>
              </w:rPr>
            </w:pPr>
          </w:p>
        </w:tc>
        <w:tc>
          <w:tcPr>
            <w:tcW w:w="3600" w:type="dxa"/>
            <w:vAlign w:val="bottom"/>
            <w:gridSpan w:val="39"/>
            <w:vMerge w:val="continue"/>
          </w:tcPr>
          <w:p>
            <w:pPr>
              <w:spacing w:after="0"/>
              <w:rPr>
                <w:sz w:val="5"/>
                <w:szCs w:val="5"/>
                <w:color w:val="auto"/>
              </w:rPr>
            </w:pPr>
          </w:p>
        </w:tc>
        <w:tc>
          <w:tcPr>
            <w:tcW w:w="480" w:type="dxa"/>
            <w:vAlign w:val="bottom"/>
            <w:gridSpan w:val="2"/>
          </w:tcPr>
          <w:p>
            <w:pPr>
              <w:spacing w:after="0"/>
              <w:rPr>
                <w:sz w:val="5"/>
                <w:szCs w:val="5"/>
                <w:color w:val="auto"/>
              </w:rPr>
            </w:pPr>
          </w:p>
        </w:tc>
        <w:tc>
          <w:tcPr>
            <w:tcW w:w="60" w:type="dxa"/>
            <w:vAlign w:val="bottom"/>
            <w:vMerge w:val="restart"/>
          </w:tcPr>
          <w:p>
            <w:pPr>
              <w:ind w:left="20"/>
              <w:spacing w:after="0" w:line="10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5"/>
                <w:szCs w:val="5"/>
                <w:color w:val="auto"/>
              </w:rPr>
            </w:pP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0000EE"/>
                <w:w w:val="89"/>
              </w:rPr>
              <w:t>80</w:t>
            </w:r>
          </w:p>
        </w:tc>
        <w:tc>
          <w:tcPr>
            <w:tcW w:w="280" w:type="dxa"/>
            <w:vAlign w:val="bottom"/>
            <w:gridSpan w:val="4"/>
          </w:tcPr>
          <w:p>
            <w:pPr>
              <w:spacing w:after="0"/>
              <w:rPr>
                <w:sz w:val="5"/>
                <w:szCs w:val="5"/>
                <w:color w:val="auto"/>
              </w:rPr>
            </w:pPr>
          </w:p>
        </w:tc>
        <w:tc>
          <w:tcPr>
            <w:tcW w:w="160" w:type="dxa"/>
            <w:vAlign w:val="bottom"/>
            <w:vMerge w:val="restart"/>
          </w:tcPr>
          <w:p>
            <w:pPr>
              <w:ind w:left="20"/>
              <w:spacing w:after="0" w:line="102" w:lineRule="exact"/>
              <w:rPr>
                <w:sz w:val="20"/>
                <w:szCs w:val="20"/>
                <w:color w:val="auto"/>
              </w:rPr>
            </w:pPr>
            <w:r>
              <w:rPr>
                <w:rFonts w:ascii="Arial" w:cs="Arial" w:eastAsia="Arial" w:hAnsi="Arial"/>
                <w:sz w:val="11"/>
                <w:szCs w:val="11"/>
                <w:b w:val="1"/>
                <w:bCs w:val="1"/>
                <w:color w:val="auto"/>
              </w:rPr>
              <w:t>​ ​</w:t>
            </w:r>
          </w:p>
        </w:tc>
        <w:tc>
          <w:tcPr>
            <w:tcW w:w="20" w:type="dxa"/>
            <w:vAlign w:val="bottom"/>
          </w:tcPr>
          <w:p>
            <w:pPr>
              <w:spacing w:after="0"/>
              <w:rPr>
                <w:sz w:val="5"/>
                <w:szCs w:val="5"/>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0000EE"/>
                <w:w w:val="94"/>
              </w:rPr>
              <w:t>AUDIT MATTERS</w:t>
            </w:r>
          </w:p>
        </w:tc>
        <w:tc>
          <w:tcPr>
            <w:tcW w:w="2520" w:type="dxa"/>
            <w:vAlign w:val="bottom"/>
            <w:gridSpan w:val="33"/>
          </w:tcPr>
          <w:p>
            <w:pPr>
              <w:spacing w:after="0"/>
              <w:rPr>
                <w:sz w:val="5"/>
                <w:szCs w:val="5"/>
                <w:color w:val="auto"/>
              </w:rPr>
            </w:pPr>
          </w:p>
        </w:tc>
        <w:tc>
          <w:tcPr>
            <w:tcW w:w="780" w:type="dxa"/>
            <w:vAlign w:val="bottom"/>
            <w:gridSpan w:val="2"/>
            <w:vMerge w:val="restart"/>
          </w:tcPr>
          <w:p>
            <w:pPr>
              <w:jc w:val="right"/>
              <w:ind w:right="735"/>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860" w:type="dxa"/>
            <w:vAlign w:val="bottom"/>
            <w:tcBorders>
              <w:bottom w:val="single" w:sz="8" w:color="D8D8D8"/>
            </w:tcBorders>
            <w:gridSpan w:val="9"/>
          </w:tcPr>
          <w:p>
            <w:pPr>
              <w:spacing w:after="0" w:line="20" w:lineRule="exact"/>
              <w:rPr>
                <w:sz w:val="1"/>
                <w:szCs w:val="1"/>
                <w:color w:val="auto"/>
              </w:rPr>
            </w:pPr>
          </w:p>
        </w:tc>
        <w:tc>
          <w:tcPr>
            <w:tcW w:w="1240" w:type="dxa"/>
            <w:vAlign w:val="bottom"/>
            <w:tcBorders>
              <w:top w:val="single" w:sz="8" w:color="0000EE"/>
              <w:bottom w:val="single" w:sz="8" w:color="D8D8D8"/>
            </w:tcBorders>
            <w:gridSpan w:val="9"/>
          </w:tcPr>
          <w:p>
            <w:pPr>
              <w:spacing w:after="0" w:line="20" w:lineRule="exact"/>
              <w:rPr>
                <w:sz w:val="1"/>
                <w:szCs w:val="1"/>
                <w:color w:val="auto"/>
              </w:rPr>
            </w:pPr>
          </w:p>
        </w:tc>
        <w:tc>
          <w:tcPr>
            <w:tcW w:w="2260" w:type="dxa"/>
            <w:vAlign w:val="bottom"/>
            <w:tcBorders>
              <w:bottom w:val="single" w:sz="8" w:color="D8D8D8"/>
            </w:tcBorders>
            <w:gridSpan w:val="3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vMerge w:val="continue"/>
          </w:tcPr>
          <w:p>
            <w:pPr>
              <w:spacing w:after="0" w:line="20" w:lineRule="exact"/>
              <w:rPr>
                <w:sz w:val="1"/>
                <w:szCs w:val="1"/>
                <w:color w:val="auto"/>
              </w:rPr>
            </w:pPr>
          </w:p>
        </w:tc>
        <w:tc>
          <w:tcPr>
            <w:tcW w:w="2520" w:type="dxa"/>
            <w:vAlign w:val="bottom"/>
            <w:gridSpan w:val="33"/>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780" w:type="dxa"/>
            <w:vAlign w:val="bottom"/>
          </w:tcPr>
          <w:p>
            <w:pPr>
              <w:spacing w:after="0"/>
              <w:rPr>
                <w:sz w:val="12"/>
                <w:szCs w:val="12"/>
                <w:color w:val="auto"/>
              </w:rPr>
            </w:pPr>
          </w:p>
        </w:tc>
        <w:tc>
          <w:tcPr>
            <w:tcW w:w="360" w:type="dxa"/>
            <w:vAlign w:val="bottom"/>
            <w:gridSpan w:val="4"/>
          </w:tcPr>
          <w:p>
            <w:pPr>
              <w:spacing w:after="0" w:line="142"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i w:val="1"/>
                <w:iCs w:val="1"/>
                <w:color w:val="0000EE"/>
                <w:w w:val="89"/>
              </w:rPr>
              <w:t>35</w:t>
            </w:r>
          </w:p>
        </w:tc>
        <w:tc>
          <w:tcPr>
            <w:tcW w:w="18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2"/>
                <w:szCs w:val="12"/>
                <w:color w:val="auto"/>
              </w:rPr>
            </w:pPr>
          </w:p>
        </w:tc>
        <w:tc>
          <w:tcPr>
            <w:tcW w:w="3600" w:type="dxa"/>
            <w:vAlign w:val="bottom"/>
            <w:gridSpan w:val="39"/>
          </w:tcPr>
          <w:p>
            <w:pPr>
              <w:ind w:left="120"/>
              <w:spacing w:after="0" w:line="142" w:lineRule="exact"/>
              <w:rPr>
                <w:sz w:val="20"/>
                <w:szCs w:val="20"/>
                <w:color w:val="auto"/>
              </w:rPr>
            </w:pPr>
            <w:r>
              <w:rPr>
                <w:rFonts w:ascii="Arial" w:cs="Arial" w:eastAsia="Arial" w:hAnsi="Arial"/>
                <w:sz w:val="14"/>
                <w:szCs w:val="14"/>
                <w:i w:val="1"/>
                <w:iCs w:val="1"/>
                <w:color w:val="0000EE"/>
              </w:rPr>
              <w:t>Stockholder Communications with the Board of</w:t>
            </w:r>
          </w:p>
        </w:tc>
        <w:tc>
          <w:tcPr>
            <w:tcW w:w="4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0000EE"/>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bottom w:val="single" w:sz="8" w:color="0000EE"/>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4"/>
          </w:tcPr>
          <w:p>
            <w:pPr>
              <w:spacing w:after="0"/>
              <w:rPr>
                <w:sz w:val="12"/>
                <w:szCs w:val="12"/>
                <w:color w:val="auto"/>
              </w:rPr>
            </w:pPr>
          </w:p>
        </w:tc>
        <w:tc>
          <w:tcPr>
            <w:tcW w:w="2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140" w:type="dxa"/>
            <w:vAlign w:val="bottom"/>
            <w:gridSpan w:val="5"/>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340" w:type="dxa"/>
            <w:vAlign w:val="bottom"/>
            <w:gridSpan w:val="4"/>
          </w:tcPr>
          <w:p>
            <w:pPr>
              <w:spacing w:after="0"/>
              <w:rPr>
                <w:sz w:val="3"/>
                <w:szCs w:val="3"/>
                <w:color w:val="auto"/>
              </w:rPr>
            </w:pPr>
          </w:p>
        </w:tc>
        <w:tc>
          <w:tcPr>
            <w:tcW w:w="2980" w:type="dxa"/>
            <w:vAlign w:val="bottom"/>
            <w:tcBorders>
              <w:bottom w:val="single" w:sz="8" w:color="0000EE"/>
            </w:tcBorders>
            <w:gridSpan w:val="33"/>
          </w:tcPr>
          <w:p>
            <w:pPr>
              <w:spacing w:after="0"/>
              <w:rPr>
                <w:sz w:val="3"/>
                <w:szCs w:val="3"/>
                <w:color w:val="auto"/>
              </w:rPr>
            </w:pPr>
          </w:p>
        </w:tc>
        <w:tc>
          <w:tcPr>
            <w:tcW w:w="6100" w:type="dxa"/>
            <w:vAlign w:val="bottom"/>
            <w:gridSpan w:val="55"/>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580" w:type="dxa"/>
            <w:vAlign w:val="bottom"/>
            <w:tcBorders>
              <w:bottom w:val="single" w:sz="8" w:color="0000EE"/>
            </w:tcBorders>
            <w:gridSpan w:val="3"/>
          </w:tcPr>
          <w:p>
            <w:pPr>
              <w:spacing w:after="0" w:line="122" w:lineRule="exact"/>
              <w:rPr>
                <w:sz w:val="20"/>
                <w:szCs w:val="20"/>
                <w:color w:val="auto"/>
              </w:rPr>
            </w:pPr>
            <w:r>
              <w:rPr>
                <w:rFonts w:ascii="Arial" w:cs="Arial" w:eastAsia="Arial" w:hAnsi="Arial"/>
                <w:sz w:val="14"/>
                <w:szCs w:val="14"/>
                <w:i w:val="1"/>
                <w:iCs w:val="1"/>
                <w:color w:val="0000EE"/>
                <w:w w:val="99"/>
              </w:rPr>
              <w:t>Directors</w:t>
            </w:r>
          </w:p>
        </w:tc>
        <w:tc>
          <w:tcPr>
            <w:tcW w:w="540" w:type="dxa"/>
            <w:vAlign w:val="bottom"/>
            <w:gridSpan w:val="4"/>
            <w:vMerge w:val="restart"/>
          </w:tcPr>
          <w:p>
            <w:pPr>
              <w:spacing w:after="0"/>
              <w:rPr>
                <w:sz w:val="10"/>
                <w:szCs w:val="10"/>
                <w:color w:val="auto"/>
              </w:rPr>
            </w:pPr>
          </w:p>
        </w:tc>
        <w:tc>
          <w:tcPr>
            <w:tcW w:w="240" w:type="dxa"/>
            <w:vAlign w:val="bottom"/>
            <w:gridSpan w:val="3"/>
            <w:vMerge w:val="restart"/>
          </w:tcPr>
          <w:p>
            <w:pPr>
              <w:spacing w:after="0"/>
              <w:rPr>
                <w:sz w:val="10"/>
                <w:szCs w:val="10"/>
                <w:color w:val="auto"/>
              </w:rPr>
            </w:pPr>
          </w:p>
        </w:tc>
        <w:tc>
          <w:tcPr>
            <w:tcW w:w="28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220" w:type="dxa"/>
            <w:vAlign w:val="bottom"/>
            <w:gridSpan w:val="3"/>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120" w:type="dxa"/>
            <w:vAlign w:val="bottom"/>
            <w:gridSpan w:val="3"/>
            <w:vMerge w:val="restart"/>
          </w:tcPr>
          <w:p>
            <w:pPr>
              <w:spacing w:after="0"/>
              <w:rPr>
                <w:sz w:val="10"/>
                <w:szCs w:val="10"/>
                <w:color w:val="auto"/>
              </w:rPr>
            </w:pPr>
          </w:p>
        </w:tc>
        <w:tc>
          <w:tcPr>
            <w:tcW w:w="200" w:type="dxa"/>
            <w:vAlign w:val="bottom"/>
            <w:gridSpan w:val="2"/>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Borders>
              <w:top w:val="single" w:sz="8" w:color="BF5B5A"/>
              <w:bottom w:val="single" w:sz="8" w:color="BF5B5A"/>
            </w:tcBorders>
            <w:gridSpan w:val="5"/>
            <w:vMerge w:val="restart"/>
          </w:tcPr>
          <w:p>
            <w:pPr>
              <w:ind w:left="20"/>
              <w:spacing w:after="0" w:line="163" w:lineRule="exact"/>
              <w:rPr>
                <w:sz w:val="20"/>
                <w:szCs w:val="20"/>
                <w:color w:val="auto"/>
              </w:rPr>
            </w:pPr>
            <w:r>
              <w:rPr>
                <w:rFonts w:ascii="Arial" w:cs="Arial" w:eastAsia="Arial" w:hAnsi="Arial"/>
                <w:sz w:val="18"/>
                <w:szCs w:val="18"/>
                <w:b w:val="1"/>
                <w:bCs w:val="1"/>
                <w:color w:val="000000"/>
                <w:vertAlign w:val="superscript"/>
              </w:rPr>
              <w:t>​</w:t>
            </w:r>
            <w:r>
              <w:rPr>
                <w:rFonts w:ascii="Arial" w:cs="Arial" w:eastAsia="Arial" w:hAnsi="Arial"/>
                <w:sz w:val="11"/>
                <w:szCs w:val="11"/>
                <w:b w:val="1"/>
                <w:bCs w:val="1"/>
                <w:color w:val="BF5B5A"/>
              </w:rPr>
              <w:t xml:space="preserve"> 80</w:t>
            </w:r>
          </w:p>
        </w:tc>
        <w:tc>
          <w:tcPr>
            <w:tcW w:w="160" w:type="dxa"/>
            <w:vAlign w:val="bottom"/>
            <w:tcBorders>
              <w:top w:val="single" w:sz="8" w:color="BF5B5A"/>
            </w:tcBorders>
          </w:tcPr>
          <w:p>
            <w:pPr>
              <w:spacing w:after="0"/>
              <w:rPr>
                <w:sz w:val="10"/>
                <w:szCs w:val="10"/>
                <w:color w:val="auto"/>
              </w:rPr>
            </w:pPr>
          </w:p>
        </w:tc>
        <w:tc>
          <w:tcPr>
            <w:tcW w:w="20" w:type="dxa"/>
            <w:vAlign w:val="bottom"/>
            <w:tcBorders>
              <w:top w:val="single" w:sz="8" w:color="BF5B5A"/>
            </w:tcBorders>
          </w:tcPr>
          <w:p>
            <w:pPr>
              <w:spacing w:after="0"/>
              <w:rPr>
                <w:sz w:val="10"/>
                <w:szCs w:val="10"/>
                <w:color w:val="auto"/>
              </w:rPr>
            </w:pPr>
          </w:p>
        </w:tc>
        <w:tc>
          <w:tcPr>
            <w:tcW w:w="3800" w:type="dxa"/>
            <w:vAlign w:val="bottom"/>
            <w:tcBorders>
              <w:top w:val="single" w:sz="8" w:color="BF5B5A"/>
              <w:bottom w:val="single" w:sz="8" w:color="BF5B5A"/>
            </w:tcBorders>
            <w:gridSpan w:val="39"/>
            <w:vMerge w:val="restart"/>
          </w:tcPr>
          <w:p>
            <w:pPr>
              <w:ind w:left="20"/>
              <w:spacing w:after="0" w:line="163" w:lineRule="exact"/>
              <w:rPr>
                <w:sz w:val="20"/>
                <w:szCs w:val="20"/>
                <w:color w:val="auto"/>
              </w:rPr>
            </w:pPr>
            <w:r>
              <w:rPr>
                <w:rFonts w:ascii="Arial" w:cs="Arial" w:eastAsia="Arial" w:hAnsi="Arial"/>
                <w:sz w:val="18"/>
                <w:szCs w:val="18"/>
                <w:b w:val="1"/>
                <w:bCs w:val="1"/>
                <w:color w:val="000000"/>
                <w:vertAlign w:val="superscript"/>
              </w:rPr>
              <w:t>​ ​</w:t>
            </w:r>
            <w:r>
              <w:rPr>
                <w:rFonts w:ascii="Arial" w:cs="Arial" w:eastAsia="Arial" w:hAnsi="Arial"/>
                <w:sz w:val="11"/>
                <w:szCs w:val="11"/>
                <w:b w:val="1"/>
                <w:bCs w:val="1"/>
                <w:color w:val="BF5B5A"/>
              </w:rPr>
              <w:t xml:space="preserve"> PROPOSAL 4</w:t>
            </w:r>
            <w:r>
              <w:rPr>
                <w:rFonts w:ascii="Arial" w:cs="Arial" w:eastAsia="Arial" w:hAnsi="Arial"/>
                <w:sz w:val="11"/>
                <w:szCs w:val="11"/>
                <w:color w:val="0000EE"/>
              </w:rPr>
              <w:t>―RATIFICATION OF INDEPENDENT</w:t>
            </w:r>
          </w:p>
        </w:tc>
        <w:tc>
          <w:tcPr>
            <w:tcW w:w="20" w:type="dxa"/>
            <w:vAlign w:val="bottom"/>
            <w:tcBorders>
              <w:top w:val="single" w:sz="8" w:color="BF5B5A"/>
              <w:bottom w:val="single" w:sz="8" w:color="BF5B5A"/>
            </w:tcBorders>
            <w:vMerge w:val="restart"/>
          </w:tcPr>
          <w:p>
            <w:pPr>
              <w:spacing w:after="0"/>
              <w:rPr>
                <w:sz w:val="10"/>
                <w:szCs w:val="10"/>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14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vMerge w:val="continue"/>
          </w:tcPr>
          <w:p>
            <w:pPr>
              <w:spacing w:after="0" w:line="20" w:lineRule="exact"/>
              <w:rPr>
                <w:sz w:val="1"/>
                <w:szCs w:val="1"/>
                <w:color w:val="auto"/>
              </w:rPr>
            </w:pPr>
          </w:p>
        </w:tc>
        <w:tc>
          <w:tcPr>
            <w:tcW w:w="50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540" w:type="dxa"/>
            <w:vAlign w:val="bottom"/>
            <w:tcBorders>
              <w:bottom w:val="single" w:sz="8" w:color="D8D8D8"/>
            </w:tcBorders>
            <w:gridSpan w:val="4"/>
            <w:vMerge w:val="continue"/>
          </w:tcPr>
          <w:p>
            <w:pPr>
              <w:spacing w:after="0" w:line="20" w:lineRule="exact"/>
              <w:rPr>
                <w:sz w:val="1"/>
                <w:szCs w:val="1"/>
                <w:color w:val="auto"/>
              </w:rPr>
            </w:pPr>
          </w:p>
        </w:tc>
        <w:tc>
          <w:tcPr>
            <w:tcW w:w="240" w:type="dxa"/>
            <w:vAlign w:val="bottom"/>
            <w:tcBorders>
              <w:bottom w:val="single" w:sz="8" w:color="D8D8D8"/>
            </w:tcBorders>
            <w:gridSpan w:val="3"/>
            <w:vMerge w:val="continue"/>
          </w:tcPr>
          <w:p>
            <w:pPr>
              <w:spacing w:after="0" w:line="20" w:lineRule="exact"/>
              <w:rPr>
                <w:sz w:val="1"/>
                <w:szCs w:val="1"/>
                <w:color w:val="auto"/>
              </w:rPr>
            </w:pPr>
          </w:p>
        </w:tc>
        <w:tc>
          <w:tcPr>
            <w:tcW w:w="280" w:type="dxa"/>
            <w:vAlign w:val="bottom"/>
            <w:tcBorders>
              <w:bottom w:val="single" w:sz="8" w:color="D8D8D8"/>
            </w:tcBorders>
            <w:gridSpan w:val="2"/>
            <w:vMerge w:val="continue"/>
          </w:tcPr>
          <w:p>
            <w:pPr>
              <w:spacing w:after="0" w:line="20" w:lineRule="exact"/>
              <w:rPr>
                <w:sz w:val="1"/>
                <w:szCs w:val="1"/>
                <w:color w:val="auto"/>
              </w:rPr>
            </w:pPr>
          </w:p>
        </w:tc>
        <w:tc>
          <w:tcPr>
            <w:tcW w:w="20" w:type="dxa"/>
            <w:vAlign w:val="bottom"/>
            <w:tcBorders>
              <w:bottom w:val="single" w:sz="8" w:color="D8D8D8"/>
            </w:tcBorders>
            <w:vMerge w:val="continue"/>
          </w:tcPr>
          <w:p>
            <w:pPr>
              <w:spacing w:after="0" w:line="20" w:lineRule="exact"/>
              <w:rPr>
                <w:sz w:val="1"/>
                <w:szCs w:val="1"/>
                <w:color w:val="auto"/>
              </w:rPr>
            </w:pPr>
          </w:p>
        </w:tc>
        <w:tc>
          <w:tcPr>
            <w:tcW w:w="100" w:type="dxa"/>
            <w:vAlign w:val="bottom"/>
            <w:tcBorders>
              <w:bottom w:val="single" w:sz="8" w:color="D8D8D8"/>
            </w:tcBorders>
            <w:vMerge w:val="continue"/>
          </w:tcPr>
          <w:p>
            <w:pPr>
              <w:spacing w:after="0" w:line="20" w:lineRule="exact"/>
              <w:rPr>
                <w:sz w:val="1"/>
                <w:szCs w:val="1"/>
                <w:color w:val="auto"/>
              </w:rPr>
            </w:pPr>
          </w:p>
        </w:tc>
        <w:tc>
          <w:tcPr>
            <w:tcW w:w="40" w:type="dxa"/>
            <w:vAlign w:val="bottom"/>
            <w:tcBorders>
              <w:bottom w:val="single" w:sz="8" w:color="D8D8D8"/>
            </w:tcBorders>
            <w:vMerge w:val="continue"/>
          </w:tcPr>
          <w:p>
            <w:pPr>
              <w:spacing w:after="0" w:line="20" w:lineRule="exact"/>
              <w:rPr>
                <w:sz w:val="1"/>
                <w:szCs w:val="1"/>
                <w:color w:val="auto"/>
              </w:rPr>
            </w:pPr>
          </w:p>
        </w:tc>
        <w:tc>
          <w:tcPr>
            <w:tcW w:w="40" w:type="dxa"/>
            <w:vAlign w:val="bottom"/>
            <w:tcBorders>
              <w:bottom w:val="single" w:sz="8" w:color="D8D8D8"/>
            </w:tcBorders>
            <w:vMerge w:val="continue"/>
          </w:tcPr>
          <w:p>
            <w:pPr>
              <w:spacing w:after="0" w:line="20" w:lineRule="exact"/>
              <w:rPr>
                <w:sz w:val="1"/>
                <w:szCs w:val="1"/>
                <w:color w:val="auto"/>
              </w:rPr>
            </w:pPr>
          </w:p>
        </w:tc>
        <w:tc>
          <w:tcPr>
            <w:tcW w:w="40" w:type="dxa"/>
            <w:vAlign w:val="bottom"/>
            <w:tcBorders>
              <w:bottom w:val="single" w:sz="8" w:color="D8D8D8"/>
            </w:tcBorders>
            <w:vMerge w:val="continue"/>
          </w:tcPr>
          <w:p>
            <w:pPr>
              <w:spacing w:after="0" w:line="20" w:lineRule="exact"/>
              <w:rPr>
                <w:sz w:val="1"/>
                <w:szCs w:val="1"/>
                <w:color w:val="auto"/>
              </w:rPr>
            </w:pPr>
          </w:p>
        </w:tc>
        <w:tc>
          <w:tcPr>
            <w:tcW w:w="60" w:type="dxa"/>
            <w:vAlign w:val="bottom"/>
            <w:tcBorders>
              <w:bottom w:val="single" w:sz="8" w:color="D8D8D8"/>
            </w:tcBorders>
            <w:gridSpan w:val="2"/>
            <w:vMerge w:val="continue"/>
          </w:tcPr>
          <w:p>
            <w:pPr>
              <w:spacing w:after="0" w:line="20" w:lineRule="exact"/>
              <w:rPr>
                <w:sz w:val="1"/>
                <w:szCs w:val="1"/>
                <w:color w:val="auto"/>
              </w:rPr>
            </w:pPr>
          </w:p>
        </w:tc>
        <w:tc>
          <w:tcPr>
            <w:tcW w:w="20" w:type="dxa"/>
            <w:vAlign w:val="bottom"/>
            <w:tcBorders>
              <w:bottom w:val="single" w:sz="8" w:color="D8D8D8"/>
            </w:tcBorders>
            <w:vMerge w:val="continue"/>
          </w:tcPr>
          <w:p>
            <w:pPr>
              <w:spacing w:after="0" w:line="20" w:lineRule="exact"/>
              <w:rPr>
                <w:sz w:val="1"/>
                <w:szCs w:val="1"/>
                <w:color w:val="auto"/>
              </w:rPr>
            </w:pPr>
          </w:p>
        </w:tc>
        <w:tc>
          <w:tcPr>
            <w:tcW w:w="80" w:type="dxa"/>
            <w:vAlign w:val="bottom"/>
            <w:tcBorders>
              <w:bottom w:val="single" w:sz="8" w:color="D8D8D8"/>
            </w:tcBorders>
            <w:vMerge w:val="continue"/>
          </w:tcPr>
          <w:p>
            <w:pPr>
              <w:spacing w:after="0" w:line="20" w:lineRule="exact"/>
              <w:rPr>
                <w:sz w:val="1"/>
                <w:szCs w:val="1"/>
                <w:color w:val="auto"/>
              </w:rPr>
            </w:pPr>
          </w:p>
        </w:tc>
        <w:tc>
          <w:tcPr>
            <w:tcW w:w="200" w:type="dxa"/>
            <w:vAlign w:val="bottom"/>
            <w:tcBorders>
              <w:bottom w:val="single" w:sz="8" w:color="D8D8D8"/>
            </w:tcBorders>
            <w:vMerge w:val="continue"/>
          </w:tcPr>
          <w:p>
            <w:pPr>
              <w:spacing w:after="0" w:line="20" w:lineRule="exact"/>
              <w:rPr>
                <w:sz w:val="1"/>
                <w:szCs w:val="1"/>
                <w:color w:val="auto"/>
              </w:rPr>
            </w:pPr>
          </w:p>
        </w:tc>
        <w:tc>
          <w:tcPr>
            <w:tcW w:w="80" w:type="dxa"/>
            <w:vAlign w:val="bottom"/>
            <w:tcBorders>
              <w:bottom w:val="single" w:sz="8" w:color="D8D8D8"/>
            </w:tcBorders>
            <w:vMerge w:val="continue"/>
          </w:tcPr>
          <w:p>
            <w:pPr>
              <w:spacing w:after="0" w:line="20" w:lineRule="exact"/>
              <w:rPr>
                <w:sz w:val="1"/>
                <w:szCs w:val="1"/>
                <w:color w:val="auto"/>
              </w:rPr>
            </w:pPr>
          </w:p>
        </w:tc>
        <w:tc>
          <w:tcPr>
            <w:tcW w:w="20" w:type="dxa"/>
            <w:vAlign w:val="bottom"/>
            <w:tcBorders>
              <w:bottom w:val="single" w:sz="8" w:color="D8D8D8"/>
            </w:tcBorders>
            <w:vMerge w:val="continue"/>
          </w:tcPr>
          <w:p>
            <w:pPr>
              <w:spacing w:after="0" w:line="20" w:lineRule="exact"/>
              <w:rPr>
                <w:sz w:val="1"/>
                <w:szCs w:val="1"/>
                <w:color w:val="auto"/>
              </w:rPr>
            </w:pPr>
          </w:p>
        </w:tc>
        <w:tc>
          <w:tcPr>
            <w:tcW w:w="40" w:type="dxa"/>
            <w:vAlign w:val="bottom"/>
            <w:tcBorders>
              <w:bottom w:val="single" w:sz="8" w:color="D8D8D8"/>
            </w:tcBorders>
            <w:vMerge w:val="continue"/>
          </w:tcPr>
          <w:p>
            <w:pPr>
              <w:spacing w:after="0" w:line="20" w:lineRule="exact"/>
              <w:rPr>
                <w:sz w:val="1"/>
                <w:szCs w:val="1"/>
                <w:color w:val="auto"/>
              </w:rPr>
            </w:pPr>
          </w:p>
        </w:tc>
        <w:tc>
          <w:tcPr>
            <w:tcW w:w="180" w:type="dxa"/>
            <w:vAlign w:val="bottom"/>
            <w:tcBorders>
              <w:bottom w:val="single" w:sz="8" w:color="D8D8D8"/>
            </w:tcBorders>
            <w:gridSpan w:val="2"/>
            <w:vMerge w:val="continue"/>
          </w:tcPr>
          <w:p>
            <w:pPr>
              <w:spacing w:after="0" w:line="20" w:lineRule="exact"/>
              <w:rPr>
                <w:sz w:val="1"/>
                <w:szCs w:val="1"/>
                <w:color w:val="auto"/>
              </w:rPr>
            </w:pPr>
          </w:p>
        </w:tc>
        <w:tc>
          <w:tcPr>
            <w:tcW w:w="220" w:type="dxa"/>
            <w:vAlign w:val="bottom"/>
            <w:tcBorders>
              <w:bottom w:val="single" w:sz="8" w:color="D8D8D8"/>
            </w:tcBorders>
            <w:gridSpan w:val="3"/>
            <w:vMerge w:val="continue"/>
          </w:tcPr>
          <w:p>
            <w:pPr>
              <w:spacing w:after="0" w:line="20" w:lineRule="exact"/>
              <w:rPr>
                <w:sz w:val="1"/>
                <w:szCs w:val="1"/>
                <w:color w:val="auto"/>
              </w:rPr>
            </w:pPr>
          </w:p>
        </w:tc>
        <w:tc>
          <w:tcPr>
            <w:tcW w:w="120" w:type="dxa"/>
            <w:vAlign w:val="bottom"/>
            <w:tcBorders>
              <w:bottom w:val="single" w:sz="8" w:color="D8D8D8"/>
            </w:tcBorders>
            <w:vMerge w:val="continue"/>
          </w:tcPr>
          <w:p>
            <w:pPr>
              <w:spacing w:after="0" w:line="20" w:lineRule="exact"/>
              <w:rPr>
                <w:sz w:val="1"/>
                <w:szCs w:val="1"/>
                <w:color w:val="auto"/>
              </w:rPr>
            </w:pPr>
          </w:p>
        </w:tc>
        <w:tc>
          <w:tcPr>
            <w:tcW w:w="120" w:type="dxa"/>
            <w:vAlign w:val="bottom"/>
            <w:tcBorders>
              <w:bottom w:val="single" w:sz="8" w:color="D8D8D8"/>
            </w:tcBorders>
            <w:gridSpan w:val="3"/>
            <w:vMerge w:val="continue"/>
          </w:tcPr>
          <w:p>
            <w:pPr>
              <w:spacing w:after="0" w:line="20" w:lineRule="exact"/>
              <w:rPr>
                <w:sz w:val="1"/>
                <w:szCs w:val="1"/>
                <w:color w:val="auto"/>
              </w:rPr>
            </w:pPr>
          </w:p>
        </w:tc>
        <w:tc>
          <w:tcPr>
            <w:tcW w:w="200" w:type="dxa"/>
            <w:vAlign w:val="bottom"/>
            <w:tcBorders>
              <w:bottom w:val="single" w:sz="8" w:color="D8D8D8"/>
            </w:tcBorders>
            <w:gridSpan w:val="2"/>
            <w:vMerge w:val="continue"/>
          </w:tcPr>
          <w:p>
            <w:pPr>
              <w:spacing w:after="0" w:line="20" w:lineRule="exact"/>
              <w:rPr>
                <w:sz w:val="1"/>
                <w:szCs w:val="1"/>
                <w:color w:val="auto"/>
              </w:rPr>
            </w:pPr>
          </w:p>
        </w:tc>
        <w:tc>
          <w:tcPr>
            <w:tcW w:w="260" w:type="dxa"/>
            <w:vAlign w:val="bottom"/>
            <w:tcBorders>
              <w:bottom w:val="single" w:sz="8" w:color="D8D8D8"/>
            </w:tcBorders>
            <w:gridSpan w:val="2"/>
            <w:vMerge w:val="continue"/>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BF5B5A"/>
            </w:tcBorders>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Borders>
              <w:bottom w:val="single" w:sz="8" w:color="BF5B5A"/>
            </w:tcBorders>
            <w:gridSpan w:val="3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55" w:lineRule="exact"/>
              <w:rPr>
                <w:sz w:val="20"/>
                <w:szCs w:val="20"/>
                <w:color w:val="auto"/>
              </w:rPr>
            </w:pPr>
            <w:r>
              <w:rPr>
                <w:rFonts w:ascii="Arial" w:cs="Arial" w:eastAsia="Arial" w:hAnsi="Arial"/>
                <w:sz w:val="14"/>
                <w:szCs w:val="14"/>
                <w:i w:val="1"/>
                <w:iCs w:val="1"/>
                <w:color w:val="0000EE"/>
                <w:w w:val="89"/>
              </w:rPr>
              <w:t>36</w:t>
            </w: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2023 Director Compensation</w:t>
            </w:r>
          </w:p>
        </w:tc>
        <w:tc>
          <w:tcPr>
            <w:tcW w:w="480" w:type="dxa"/>
            <w:vAlign w:val="bottom"/>
            <w:gridSpan w:val="2"/>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BF5B5A"/>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0000EE"/>
            </w:tcBorders>
            <w:gridSpan w:val="3"/>
          </w:tcPr>
          <w:p>
            <w:pPr>
              <w:spacing w:after="0" w:line="20" w:lineRule="exact"/>
              <w:rPr>
                <w:sz w:val="1"/>
                <w:szCs w:val="1"/>
                <w:color w:val="auto"/>
              </w:rPr>
            </w:pPr>
          </w:p>
        </w:tc>
        <w:tc>
          <w:tcPr>
            <w:tcW w:w="580" w:type="dxa"/>
            <w:vAlign w:val="bottom"/>
            <w:tcBorders>
              <w:bottom w:val="single" w:sz="8" w:color="0000EE"/>
            </w:tcBorders>
            <w:gridSpan w:val="2"/>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260" w:type="dxa"/>
            <w:vAlign w:val="bottom"/>
            <w:tcBorders>
              <w:bottom w:val="single" w:sz="8" w:color="0000EE"/>
            </w:tcBorders>
            <w:gridSpan w:val="2"/>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5"/>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39"/>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40" w:type="dxa"/>
            <w:vAlign w:val="bottom"/>
            <w:gridSpan w:val="38"/>
          </w:tcPr>
          <w:p>
            <w:pPr>
              <w:ind w:left="20"/>
              <w:spacing w:after="0" w:line="129" w:lineRule="exact"/>
              <w:rPr>
                <w:sz w:val="20"/>
                <w:szCs w:val="20"/>
                <w:color w:val="auto"/>
              </w:rPr>
            </w:pPr>
            <w:r>
              <w:rPr>
                <w:rFonts w:ascii="Arial" w:cs="Arial" w:eastAsia="Arial" w:hAnsi="Arial"/>
                <w:sz w:val="14"/>
                <w:szCs w:val="14"/>
                <w:color w:val="0000EE"/>
              </w:rPr>
              <w:t>REGISTERED PUBLIC ACCOUNTING FIRM</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360" w:type="dxa"/>
            <w:vAlign w:val="bottom"/>
            <w:tcBorders>
              <w:bottom w:val="single" w:sz="8" w:color="D8D8D8"/>
            </w:tcBorders>
            <w:gridSpan w:val="4"/>
          </w:tcPr>
          <w:p>
            <w:pPr>
              <w:spacing w:after="0"/>
              <w:rPr>
                <w:sz w:val="3"/>
                <w:szCs w:val="3"/>
                <w:color w:val="auto"/>
              </w:rPr>
            </w:pPr>
          </w:p>
        </w:tc>
        <w:tc>
          <w:tcPr>
            <w:tcW w:w="160" w:type="dxa"/>
            <w:vAlign w:val="bottom"/>
            <w:tcBorders>
              <w:top w:val="single" w:sz="8" w:color="0000EE"/>
              <w:bottom w:val="single" w:sz="8" w:color="D8D8D8"/>
            </w:tcBorders>
          </w:tcPr>
          <w:p>
            <w:pPr>
              <w:spacing w:after="0"/>
              <w:rPr>
                <w:sz w:val="3"/>
                <w:szCs w:val="3"/>
                <w:color w:val="auto"/>
              </w:rPr>
            </w:pPr>
          </w:p>
        </w:tc>
        <w:tc>
          <w:tcPr>
            <w:tcW w:w="340" w:type="dxa"/>
            <w:vAlign w:val="bottom"/>
            <w:tcBorders>
              <w:bottom w:val="single" w:sz="8" w:color="D8D8D8"/>
            </w:tcBorders>
            <w:gridSpan w:val="4"/>
          </w:tcPr>
          <w:p>
            <w:pPr>
              <w:spacing w:after="0"/>
              <w:rPr>
                <w:sz w:val="3"/>
                <w:szCs w:val="3"/>
                <w:color w:val="auto"/>
              </w:rPr>
            </w:pPr>
          </w:p>
        </w:tc>
        <w:tc>
          <w:tcPr>
            <w:tcW w:w="1840" w:type="dxa"/>
            <w:vAlign w:val="bottom"/>
            <w:tcBorders>
              <w:top w:val="single" w:sz="8" w:color="0000EE"/>
              <w:bottom w:val="single" w:sz="8" w:color="D8D8D8"/>
            </w:tcBorders>
            <w:gridSpan w:val="16"/>
          </w:tcPr>
          <w:p>
            <w:pPr>
              <w:spacing w:after="0"/>
              <w:rPr>
                <w:sz w:val="3"/>
                <w:szCs w:val="3"/>
                <w:color w:val="auto"/>
              </w:rPr>
            </w:pPr>
          </w:p>
        </w:tc>
        <w:tc>
          <w:tcPr>
            <w:tcW w:w="1640" w:type="dxa"/>
            <w:vAlign w:val="bottom"/>
            <w:tcBorders>
              <w:bottom w:val="single" w:sz="8" w:color="D8D8D8"/>
            </w:tcBorders>
            <w:gridSpan w:val="22"/>
          </w:tcPr>
          <w:p>
            <w:pPr>
              <w:spacing w:after="0"/>
              <w:rPr>
                <w:sz w:val="3"/>
                <w:szCs w:val="3"/>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720" w:type="dxa"/>
            <w:vAlign w:val="bottom"/>
            <w:tcBorders>
              <w:bottom w:val="single" w:sz="8" w:color="A5A5A5"/>
            </w:tcBorders>
            <w:gridSpan w:val="9"/>
          </w:tcPr>
          <w:p>
            <w:pPr>
              <w:spacing w:after="0"/>
              <w:rPr>
                <w:sz w:val="3"/>
                <w:szCs w:val="3"/>
                <w:color w:val="auto"/>
              </w:rPr>
            </w:pPr>
          </w:p>
        </w:tc>
        <w:tc>
          <w:tcPr>
            <w:tcW w:w="2780" w:type="dxa"/>
            <w:vAlign w:val="bottom"/>
            <w:tcBorders>
              <w:top w:val="single" w:sz="8" w:color="0000EE"/>
              <w:bottom w:val="single" w:sz="8" w:color="A5A5A5"/>
            </w:tcBorders>
            <w:gridSpan w:val="23"/>
          </w:tcPr>
          <w:p>
            <w:pPr>
              <w:spacing w:after="0"/>
              <w:rPr>
                <w:sz w:val="3"/>
                <w:szCs w:val="3"/>
                <w:color w:val="auto"/>
              </w:rPr>
            </w:pPr>
          </w:p>
        </w:tc>
        <w:tc>
          <w:tcPr>
            <w:tcW w:w="860" w:type="dxa"/>
            <w:vAlign w:val="bottom"/>
            <w:tcBorders>
              <w:bottom w:val="single" w:sz="8" w:color="A5A5A5"/>
            </w:tcBorders>
            <w:gridSpan w:val="15"/>
          </w:tcPr>
          <w:p>
            <w:pPr>
              <w:spacing w:after="0"/>
              <w:rPr>
                <w:sz w:val="3"/>
                <w:szCs w:val="3"/>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360" w:type="dxa"/>
            <w:vAlign w:val="bottom"/>
            <w:gridSpan w:val="4"/>
          </w:tcPr>
          <w:p>
            <w:pPr>
              <w:spacing w:after="0" w:line="130" w:lineRule="exact"/>
              <w:rPr>
                <w:sz w:val="20"/>
                <w:szCs w:val="20"/>
                <w:color w:val="auto"/>
              </w:rPr>
            </w:pPr>
            <w:r>
              <w:rPr>
                <w:rFonts w:ascii="Arial" w:cs="Arial" w:eastAsia="Arial" w:hAnsi="Arial"/>
                <w:sz w:val="14"/>
                <w:szCs w:val="14"/>
                <w:i w:val="1"/>
                <w:iCs w:val="1"/>
                <w:color w:val="auto"/>
              </w:rPr>
              <w:t>​</w:t>
            </w:r>
          </w:p>
        </w:tc>
        <w:tc>
          <w:tcPr>
            <w:tcW w:w="160" w:type="dxa"/>
            <w:vAlign w:val="bottom"/>
          </w:tcPr>
          <w:p>
            <w:pPr>
              <w:jc w:val="right"/>
              <w:spacing w:after="0" w:line="130" w:lineRule="exact"/>
              <w:rPr>
                <w:sz w:val="20"/>
                <w:szCs w:val="20"/>
                <w:color w:val="auto"/>
              </w:rPr>
            </w:pPr>
            <w:r>
              <w:rPr>
                <w:rFonts w:ascii="Arial" w:cs="Arial" w:eastAsia="Arial" w:hAnsi="Arial"/>
                <w:sz w:val="14"/>
                <w:szCs w:val="14"/>
                <w:i w:val="1"/>
                <w:iCs w:val="1"/>
                <w:color w:val="0000EE"/>
                <w:w w:val="89"/>
              </w:rPr>
              <w:t>37</w:t>
            </w:r>
          </w:p>
        </w:tc>
        <w:tc>
          <w:tcPr>
            <w:tcW w:w="20" w:type="dxa"/>
            <w:vAlign w:val="bottom"/>
          </w:tcPr>
          <w:p>
            <w:pPr>
              <w:spacing w:after="0"/>
              <w:rPr>
                <w:sz w:val="11"/>
                <w:szCs w:val="11"/>
                <w:color w:val="auto"/>
              </w:rPr>
            </w:pPr>
          </w:p>
        </w:tc>
        <w:tc>
          <w:tcPr>
            <w:tcW w:w="18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1"/>
                <w:szCs w:val="11"/>
                <w:color w:val="auto"/>
              </w:rPr>
            </w:pPr>
          </w:p>
        </w:tc>
        <w:tc>
          <w:tcPr>
            <w:tcW w:w="3600" w:type="dxa"/>
            <w:vAlign w:val="bottom"/>
            <w:gridSpan w:val="39"/>
          </w:tcPr>
          <w:p>
            <w:pPr>
              <w:ind w:left="120"/>
              <w:spacing w:after="0" w:line="130" w:lineRule="exact"/>
              <w:rPr>
                <w:sz w:val="20"/>
                <w:szCs w:val="20"/>
                <w:color w:val="auto"/>
              </w:rPr>
            </w:pPr>
            <w:r>
              <w:rPr>
                <w:rFonts w:ascii="Arial" w:cs="Arial" w:eastAsia="Arial" w:hAnsi="Arial"/>
                <w:sz w:val="14"/>
                <w:szCs w:val="14"/>
                <w:i w:val="1"/>
                <w:iCs w:val="1"/>
                <w:color w:val="0000EE"/>
              </w:rPr>
              <w:t>Stock Ownership Guidelines for Non-Employee</w:t>
            </w:r>
          </w:p>
        </w:tc>
        <w:tc>
          <w:tcPr>
            <w:tcW w:w="480" w:type="dxa"/>
            <w:vAlign w:val="bottom"/>
            <w:gridSpan w:val="2"/>
            <w:vMerge w:val="continue"/>
          </w:tcPr>
          <w:p>
            <w:pPr>
              <w:spacing w:after="0"/>
              <w:rPr>
                <w:sz w:val="11"/>
                <w:szCs w:val="11"/>
                <w:color w:val="auto"/>
              </w:rPr>
            </w:pPr>
          </w:p>
        </w:tc>
        <w:tc>
          <w:tcPr>
            <w:tcW w:w="6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tcPr>
          <w:p>
            <w:pPr>
              <w:spacing w:after="0" w:line="130" w:lineRule="exact"/>
              <w:rPr>
                <w:sz w:val="20"/>
                <w:szCs w:val="20"/>
                <w:color w:val="auto"/>
              </w:rPr>
            </w:pPr>
            <w:r>
              <w:rPr>
                <w:rFonts w:ascii="Arial" w:cs="Arial" w:eastAsia="Arial" w:hAnsi="Arial"/>
                <w:sz w:val="14"/>
                <w:szCs w:val="14"/>
                <w:i w:val="1"/>
                <w:iCs w:val="1"/>
                <w:color w:val="0000EE"/>
              </w:rPr>
              <w:t>81</w:t>
            </w:r>
          </w:p>
        </w:tc>
        <w:tc>
          <w:tcPr>
            <w:tcW w:w="16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1"/>
                <w:szCs w:val="11"/>
                <w:color w:val="auto"/>
              </w:rPr>
            </w:pPr>
          </w:p>
        </w:tc>
        <w:tc>
          <w:tcPr>
            <w:tcW w:w="3620" w:type="dxa"/>
            <w:vAlign w:val="bottom"/>
            <w:gridSpan w:val="37"/>
          </w:tcPr>
          <w:p>
            <w:pPr>
              <w:ind w:left="160"/>
              <w:spacing w:after="0" w:line="130" w:lineRule="exact"/>
              <w:rPr>
                <w:sz w:val="20"/>
                <w:szCs w:val="20"/>
                <w:color w:val="auto"/>
              </w:rPr>
            </w:pPr>
            <w:r>
              <w:rPr>
                <w:rFonts w:ascii="Arial" w:cs="Arial" w:eastAsia="Arial" w:hAnsi="Arial"/>
                <w:sz w:val="14"/>
                <w:szCs w:val="14"/>
                <w:i w:val="1"/>
                <w:iCs w:val="1"/>
                <w:color w:val="0000EE"/>
              </w:rPr>
              <w:t>AUDIT COMMITTEE REPORT</w:t>
            </w: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140" w:type="dxa"/>
            <w:vAlign w:val="bottom"/>
            <w:gridSpan w:val="5"/>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80" w:type="dxa"/>
            <w:vAlign w:val="bottom"/>
            <w:tcBorders>
              <w:top w:val="single" w:sz="8" w:color="0000EE"/>
              <w:bottom w:val="single" w:sz="8" w:color="0000EE"/>
            </w:tcBorders>
            <w:gridSpan w:val="3"/>
            <w:vMerge w:val="restart"/>
          </w:tcPr>
          <w:p>
            <w:pPr>
              <w:spacing w:after="0" w:line="142" w:lineRule="exact"/>
              <w:rPr>
                <w:sz w:val="20"/>
                <w:szCs w:val="20"/>
                <w:color w:val="auto"/>
              </w:rPr>
            </w:pPr>
            <w:r>
              <w:rPr>
                <w:rFonts w:ascii="Arial" w:cs="Arial" w:eastAsia="Arial" w:hAnsi="Arial"/>
                <w:sz w:val="14"/>
                <w:szCs w:val="14"/>
                <w:i w:val="1"/>
                <w:iCs w:val="1"/>
                <w:color w:val="0000EE"/>
                <w:w w:val="99"/>
              </w:rPr>
              <w:t>Directors</w:t>
            </w:r>
          </w:p>
        </w:tc>
        <w:tc>
          <w:tcPr>
            <w:tcW w:w="2440" w:type="dxa"/>
            <w:vAlign w:val="bottom"/>
            <w:tcBorders>
              <w:top w:val="single" w:sz="8" w:color="0000EE"/>
            </w:tcBorders>
            <w:gridSpan w:val="31"/>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960" w:type="dxa"/>
            <w:vAlign w:val="bottom"/>
            <w:tcBorders>
              <w:top w:val="single" w:sz="8" w:color="0000EE"/>
              <w:bottom w:val="single" w:sz="8" w:color="D8D8D8"/>
            </w:tcBorders>
            <w:gridSpan w:val="12"/>
          </w:tcPr>
          <w:p>
            <w:pPr>
              <w:spacing w:after="0" w:line="20" w:lineRule="exact"/>
              <w:rPr>
                <w:sz w:val="1"/>
                <w:szCs w:val="1"/>
                <w:color w:val="auto"/>
              </w:rPr>
            </w:pPr>
          </w:p>
        </w:tc>
        <w:tc>
          <w:tcPr>
            <w:tcW w:w="1520" w:type="dxa"/>
            <w:vAlign w:val="bottom"/>
            <w:tcBorders>
              <w:bottom w:val="single" w:sz="8" w:color="D8D8D8"/>
            </w:tcBorders>
            <w:gridSpan w:val="25"/>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580" w:type="dxa"/>
            <w:vAlign w:val="bottom"/>
            <w:tcBorders>
              <w:bottom w:val="single" w:sz="8" w:color="0000EE"/>
            </w:tcBorders>
            <w:gridSpan w:val="3"/>
            <w:vMerge w:val="continue"/>
          </w:tcPr>
          <w:p>
            <w:pPr>
              <w:spacing w:after="0"/>
              <w:rPr>
                <w:sz w:val="10"/>
                <w:szCs w:val="10"/>
                <w:color w:val="auto"/>
              </w:rPr>
            </w:pPr>
          </w:p>
        </w:tc>
        <w:tc>
          <w:tcPr>
            <w:tcW w:w="540" w:type="dxa"/>
            <w:vAlign w:val="bottom"/>
            <w:gridSpan w:val="4"/>
            <w:vMerge w:val="restart"/>
          </w:tcPr>
          <w:p>
            <w:pPr>
              <w:spacing w:after="0"/>
              <w:rPr>
                <w:sz w:val="10"/>
                <w:szCs w:val="10"/>
                <w:color w:val="auto"/>
              </w:rPr>
            </w:pPr>
          </w:p>
        </w:tc>
        <w:tc>
          <w:tcPr>
            <w:tcW w:w="240" w:type="dxa"/>
            <w:vAlign w:val="bottom"/>
            <w:gridSpan w:val="3"/>
            <w:vMerge w:val="restart"/>
          </w:tcPr>
          <w:p>
            <w:pPr>
              <w:spacing w:after="0"/>
              <w:rPr>
                <w:sz w:val="10"/>
                <w:szCs w:val="10"/>
                <w:color w:val="auto"/>
              </w:rPr>
            </w:pPr>
          </w:p>
        </w:tc>
        <w:tc>
          <w:tcPr>
            <w:tcW w:w="28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220" w:type="dxa"/>
            <w:vAlign w:val="bottom"/>
            <w:gridSpan w:val="3"/>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320" w:type="dxa"/>
            <w:vAlign w:val="bottom"/>
            <w:gridSpan w:val="5"/>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ind w:left="20"/>
              <w:spacing w:after="0" w:line="142" w:lineRule="exact"/>
              <w:rPr>
                <w:sz w:val="20"/>
                <w:szCs w:val="20"/>
                <w:color w:val="auto"/>
              </w:rPr>
            </w:pPr>
            <w:r>
              <w:rPr>
                <w:rFonts w:ascii="Arial" w:cs="Arial" w:eastAsia="Arial" w:hAnsi="Arial"/>
                <w:sz w:val="14"/>
                <w:szCs w:val="14"/>
                <w:i w:val="1"/>
                <w:iCs w:val="1"/>
                <w:color w:val="auto"/>
              </w:rPr>
              <w:t>​</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gridSpan w:val="2"/>
            <w:vMerge w:val="restart"/>
          </w:tcPr>
          <w:p>
            <w:pPr>
              <w:spacing w:after="0" w:line="142" w:lineRule="exact"/>
              <w:rPr>
                <w:sz w:val="20"/>
                <w:szCs w:val="20"/>
                <w:color w:val="auto"/>
              </w:rPr>
            </w:pPr>
            <w:r>
              <w:rPr>
                <w:rFonts w:ascii="Arial" w:cs="Arial" w:eastAsia="Arial" w:hAnsi="Arial"/>
                <w:sz w:val="14"/>
                <w:szCs w:val="14"/>
                <w:i w:val="1"/>
                <w:iCs w:val="1"/>
                <w:color w:val="0000EE"/>
              </w:rPr>
              <w:t>82</w:t>
            </w:r>
          </w:p>
        </w:tc>
        <w:tc>
          <w:tcPr>
            <w:tcW w:w="160" w:type="dxa"/>
            <w:vAlign w:val="bottom"/>
            <w:vMerge w:val="restart"/>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vMerge w:val="restart"/>
          </w:tcPr>
          <w:p>
            <w:pPr>
              <w:spacing w:after="0"/>
              <w:rPr>
                <w:sz w:val="10"/>
                <w:szCs w:val="10"/>
                <w:color w:val="auto"/>
              </w:rPr>
            </w:pPr>
          </w:p>
        </w:tc>
        <w:tc>
          <w:tcPr>
            <w:tcW w:w="3620" w:type="dxa"/>
            <w:vAlign w:val="bottom"/>
            <w:gridSpan w:val="37"/>
            <w:vMerge w:val="restart"/>
          </w:tcPr>
          <w:p>
            <w:pPr>
              <w:ind w:left="160"/>
              <w:spacing w:after="0" w:line="142" w:lineRule="exact"/>
              <w:rPr>
                <w:sz w:val="20"/>
                <w:szCs w:val="20"/>
                <w:color w:val="auto"/>
              </w:rPr>
            </w:pPr>
            <w:r>
              <w:rPr>
                <w:rFonts w:ascii="Arial" w:cs="Arial" w:eastAsia="Arial" w:hAnsi="Arial"/>
                <w:sz w:val="14"/>
                <w:szCs w:val="14"/>
                <w:i w:val="1"/>
                <w:iCs w:val="1"/>
                <w:color w:val="0000EE"/>
              </w:rPr>
              <w:t>PRINCIPAL ACCOUNTANT FEES</w:t>
            </w:r>
          </w:p>
        </w:tc>
        <w:tc>
          <w:tcPr>
            <w:tcW w:w="2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780" w:type="dxa"/>
            <w:vAlign w:val="bottom"/>
          </w:tcPr>
          <w:p>
            <w:pPr>
              <w:spacing w:after="0"/>
              <w:rPr>
                <w:sz w:val="3"/>
                <w:szCs w:val="3"/>
                <w:color w:val="auto"/>
              </w:rPr>
            </w:pPr>
          </w:p>
        </w:tc>
        <w:tc>
          <w:tcPr>
            <w:tcW w:w="60" w:type="dxa"/>
            <w:vAlign w:val="bottom"/>
            <w:tcBorders>
              <w:bottom w:val="single" w:sz="8" w:color="D8D8D8"/>
            </w:tcBorders>
          </w:tcPr>
          <w:p>
            <w:pPr>
              <w:spacing w:after="0"/>
              <w:rPr>
                <w:sz w:val="3"/>
                <w:szCs w:val="3"/>
                <w:color w:val="auto"/>
              </w:rPr>
            </w:pPr>
          </w:p>
        </w:tc>
        <w:tc>
          <w:tcPr>
            <w:tcW w:w="80" w:type="dxa"/>
            <w:vAlign w:val="bottom"/>
            <w:tcBorders>
              <w:bottom w:val="single" w:sz="8" w:color="D8D8D8"/>
            </w:tcBorders>
          </w:tcPr>
          <w:p>
            <w:pPr>
              <w:spacing w:after="0"/>
              <w:rPr>
                <w:sz w:val="3"/>
                <w:szCs w:val="3"/>
                <w:color w:val="auto"/>
              </w:rPr>
            </w:pPr>
          </w:p>
        </w:tc>
        <w:tc>
          <w:tcPr>
            <w:tcW w:w="80" w:type="dxa"/>
            <w:vAlign w:val="bottom"/>
            <w:tcBorders>
              <w:bottom w:val="single" w:sz="8" w:color="D8D8D8"/>
            </w:tcBorders>
          </w:tcPr>
          <w:p>
            <w:pPr>
              <w:spacing w:after="0"/>
              <w:rPr>
                <w:sz w:val="3"/>
                <w:szCs w:val="3"/>
                <w:color w:val="auto"/>
              </w:rPr>
            </w:pPr>
          </w:p>
        </w:tc>
        <w:tc>
          <w:tcPr>
            <w:tcW w:w="140" w:type="dxa"/>
            <w:vAlign w:val="bottom"/>
            <w:tcBorders>
              <w:bottom w:val="single" w:sz="8" w:color="D8D8D8"/>
            </w:tcBorders>
          </w:tcPr>
          <w:p>
            <w:pPr>
              <w:spacing w:after="0"/>
              <w:rPr>
                <w:sz w:val="3"/>
                <w:szCs w:val="3"/>
                <w:color w:val="auto"/>
              </w:rPr>
            </w:pPr>
          </w:p>
        </w:tc>
        <w:tc>
          <w:tcPr>
            <w:tcW w:w="16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18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120" w:type="dxa"/>
            <w:vAlign w:val="bottom"/>
            <w:tcBorders>
              <w:bottom w:val="single" w:sz="8" w:color="D8D8D8"/>
            </w:tcBorders>
            <w:vMerge w:val="continue"/>
          </w:tcPr>
          <w:p>
            <w:pPr>
              <w:spacing w:after="0"/>
              <w:rPr>
                <w:sz w:val="3"/>
                <w:szCs w:val="3"/>
                <w:color w:val="auto"/>
              </w:rPr>
            </w:pPr>
          </w:p>
        </w:tc>
        <w:tc>
          <w:tcPr>
            <w:tcW w:w="500" w:type="dxa"/>
            <w:vAlign w:val="bottom"/>
            <w:tcBorders>
              <w:bottom w:val="single" w:sz="8" w:color="D8D8D8"/>
            </w:tcBorders>
          </w:tcPr>
          <w:p>
            <w:pPr>
              <w:spacing w:after="0"/>
              <w:rPr>
                <w:sz w:val="3"/>
                <w:szCs w:val="3"/>
                <w:color w:val="auto"/>
              </w:rPr>
            </w:pPr>
          </w:p>
        </w:tc>
        <w:tc>
          <w:tcPr>
            <w:tcW w:w="6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540" w:type="dxa"/>
            <w:vAlign w:val="bottom"/>
            <w:tcBorders>
              <w:bottom w:val="single" w:sz="8" w:color="D8D8D8"/>
            </w:tcBorders>
            <w:gridSpan w:val="4"/>
            <w:vMerge w:val="continue"/>
          </w:tcPr>
          <w:p>
            <w:pPr>
              <w:spacing w:after="0"/>
              <w:rPr>
                <w:sz w:val="3"/>
                <w:szCs w:val="3"/>
                <w:color w:val="auto"/>
              </w:rPr>
            </w:pPr>
          </w:p>
        </w:tc>
        <w:tc>
          <w:tcPr>
            <w:tcW w:w="240" w:type="dxa"/>
            <w:vAlign w:val="bottom"/>
            <w:tcBorders>
              <w:bottom w:val="single" w:sz="8" w:color="D8D8D8"/>
            </w:tcBorders>
            <w:gridSpan w:val="3"/>
            <w:vMerge w:val="continue"/>
          </w:tcPr>
          <w:p>
            <w:pPr>
              <w:spacing w:after="0"/>
              <w:rPr>
                <w:sz w:val="3"/>
                <w:szCs w:val="3"/>
                <w:color w:val="auto"/>
              </w:rPr>
            </w:pPr>
          </w:p>
        </w:tc>
        <w:tc>
          <w:tcPr>
            <w:tcW w:w="280" w:type="dxa"/>
            <w:vAlign w:val="bottom"/>
            <w:tcBorders>
              <w:bottom w:val="single" w:sz="8" w:color="D8D8D8"/>
            </w:tcBorders>
            <w:gridSpan w:val="2"/>
            <w:vMerge w:val="continue"/>
          </w:tcPr>
          <w:p>
            <w:pPr>
              <w:spacing w:after="0"/>
              <w:rPr>
                <w:sz w:val="3"/>
                <w:szCs w:val="3"/>
                <w:color w:val="auto"/>
              </w:rPr>
            </w:pPr>
          </w:p>
        </w:tc>
        <w:tc>
          <w:tcPr>
            <w:tcW w:w="20" w:type="dxa"/>
            <w:vAlign w:val="bottom"/>
            <w:tcBorders>
              <w:bottom w:val="single" w:sz="8" w:color="D8D8D8"/>
            </w:tcBorders>
            <w:vMerge w:val="continue"/>
          </w:tcPr>
          <w:p>
            <w:pPr>
              <w:spacing w:after="0"/>
              <w:rPr>
                <w:sz w:val="3"/>
                <w:szCs w:val="3"/>
                <w:color w:val="auto"/>
              </w:rPr>
            </w:pPr>
          </w:p>
        </w:tc>
        <w:tc>
          <w:tcPr>
            <w:tcW w:w="100" w:type="dxa"/>
            <w:vAlign w:val="bottom"/>
            <w:tcBorders>
              <w:bottom w:val="single" w:sz="8" w:color="D8D8D8"/>
            </w:tcBorders>
            <w:vMerge w:val="continue"/>
          </w:tcPr>
          <w:p>
            <w:pPr>
              <w:spacing w:after="0"/>
              <w:rPr>
                <w:sz w:val="3"/>
                <w:szCs w:val="3"/>
                <w:color w:val="auto"/>
              </w:rPr>
            </w:pPr>
          </w:p>
        </w:tc>
        <w:tc>
          <w:tcPr>
            <w:tcW w:w="40" w:type="dxa"/>
            <w:vAlign w:val="bottom"/>
            <w:tcBorders>
              <w:bottom w:val="single" w:sz="8" w:color="D8D8D8"/>
            </w:tcBorders>
            <w:vMerge w:val="continue"/>
          </w:tcPr>
          <w:p>
            <w:pPr>
              <w:spacing w:after="0"/>
              <w:rPr>
                <w:sz w:val="3"/>
                <w:szCs w:val="3"/>
                <w:color w:val="auto"/>
              </w:rPr>
            </w:pPr>
          </w:p>
        </w:tc>
        <w:tc>
          <w:tcPr>
            <w:tcW w:w="80" w:type="dxa"/>
            <w:vAlign w:val="bottom"/>
            <w:tcBorders>
              <w:bottom w:val="single" w:sz="8" w:color="D8D8D8"/>
            </w:tcBorders>
            <w:gridSpan w:val="2"/>
            <w:vMerge w:val="continue"/>
          </w:tcPr>
          <w:p>
            <w:pPr>
              <w:spacing w:after="0"/>
              <w:rPr>
                <w:sz w:val="3"/>
                <w:szCs w:val="3"/>
                <w:color w:val="auto"/>
              </w:rPr>
            </w:pPr>
          </w:p>
        </w:tc>
        <w:tc>
          <w:tcPr>
            <w:tcW w:w="60" w:type="dxa"/>
            <w:vAlign w:val="bottom"/>
            <w:tcBorders>
              <w:bottom w:val="single" w:sz="8" w:color="D8D8D8"/>
            </w:tcBorders>
            <w:gridSpan w:val="2"/>
            <w:vMerge w:val="continue"/>
          </w:tcPr>
          <w:p>
            <w:pPr>
              <w:spacing w:after="0"/>
              <w:rPr>
                <w:sz w:val="3"/>
                <w:szCs w:val="3"/>
                <w:color w:val="auto"/>
              </w:rPr>
            </w:pPr>
          </w:p>
        </w:tc>
        <w:tc>
          <w:tcPr>
            <w:tcW w:w="20" w:type="dxa"/>
            <w:vAlign w:val="bottom"/>
            <w:tcBorders>
              <w:bottom w:val="single" w:sz="8" w:color="D8D8D8"/>
            </w:tcBorders>
            <w:vMerge w:val="continue"/>
          </w:tcPr>
          <w:p>
            <w:pPr>
              <w:spacing w:after="0"/>
              <w:rPr>
                <w:sz w:val="3"/>
                <w:szCs w:val="3"/>
                <w:color w:val="auto"/>
              </w:rPr>
            </w:pPr>
          </w:p>
        </w:tc>
        <w:tc>
          <w:tcPr>
            <w:tcW w:w="80" w:type="dxa"/>
            <w:vAlign w:val="bottom"/>
            <w:tcBorders>
              <w:bottom w:val="single" w:sz="8" w:color="D8D8D8"/>
            </w:tcBorders>
            <w:vMerge w:val="continue"/>
          </w:tcPr>
          <w:p>
            <w:pPr>
              <w:spacing w:after="0"/>
              <w:rPr>
                <w:sz w:val="3"/>
                <w:szCs w:val="3"/>
                <w:color w:val="auto"/>
              </w:rPr>
            </w:pPr>
          </w:p>
        </w:tc>
        <w:tc>
          <w:tcPr>
            <w:tcW w:w="200" w:type="dxa"/>
            <w:vAlign w:val="bottom"/>
            <w:tcBorders>
              <w:bottom w:val="single" w:sz="8" w:color="D8D8D8"/>
            </w:tcBorders>
            <w:vMerge w:val="continue"/>
          </w:tcPr>
          <w:p>
            <w:pPr>
              <w:spacing w:after="0"/>
              <w:rPr>
                <w:sz w:val="3"/>
                <w:szCs w:val="3"/>
                <w:color w:val="auto"/>
              </w:rPr>
            </w:pPr>
          </w:p>
        </w:tc>
        <w:tc>
          <w:tcPr>
            <w:tcW w:w="80" w:type="dxa"/>
            <w:vAlign w:val="bottom"/>
            <w:tcBorders>
              <w:bottom w:val="single" w:sz="8" w:color="D8D8D8"/>
            </w:tcBorders>
            <w:vMerge w:val="continue"/>
          </w:tcPr>
          <w:p>
            <w:pPr>
              <w:spacing w:after="0"/>
              <w:rPr>
                <w:sz w:val="3"/>
                <w:szCs w:val="3"/>
                <w:color w:val="auto"/>
              </w:rPr>
            </w:pPr>
          </w:p>
        </w:tc>
        <w:tc>
          <w:tcPr>
            <w:tcW w:w="20" w:type="dxa"/>
            <w:vAlign w:val="bottom"/>
            <w:tcBorders>
              <w:bottom w:val="single" w:sz="8" w:color="D8D8D8"/>
            </w:tcBorders>
            <w:vMerge w:val="continue"/>
          </w:tcPr>
          <w:p>
            <w:pPr>
              <w:spacing w:after="0"/>
              <w:rPr>
                <w:sz w:val="3"/>
                <w:szCs w:val="3"/>
                <w:color w:val="auto"/>
              </w:rPr>
            </w:pPr>
          </w:p>
        </w:tc>
        <w:tc>
          <w:tcPr>
            <w:tcW w:w="40" w:type="dxa"/>
            <w:vAlign w:val="bottom"/>
            <w:tcBorders>
              <w:bottom w:val="single" w:sz="8" w:color="D8D8D8"/>
            </w:tcBorders>
            <w:vMerge w:val="continue"/>
          </w:tcPr>
          <w:p>
            <w:pPr>
              <w:spacing w:after="0"/>
              <w:rPr>
                <w:sz w:val="3"/>
                <w:szCs w:val="3"/>
                <w:color w:val="auto"/>
              </w:rPr>
            </w:pPr>
          </w:p>
        </w:tc>
        <w:tc>
          <w:tcPr>
            <w:tcW w:w="180" w:type="dxa"/>
            <w:vAlign w:val="bottom"/>
            <w:tcBorders>
              <w:bottom w:val="single" w:sz="8" w:color="D8D8D8"/>
            </w:tcBorders>
            <w:gridSpan w:val="2"/>
            <w:vMerge w:val="continue"/>
          </w:tcPr>
          <w:p>
            <w:pPr>
              <w:spacing w:after="0"/>
              <w:rPr>
                <w:sz w:val="3"/>
                <w:szCs w:val="3"/>
                <w:color w:val="auto"/>
              </w:rPr>
            </w:pPr>
          </w:p>
        </w:tc>
        <w:tc>
          <w:tcPr>
            <w:tcW w:w="220" w:type="dxa"/>
            <w:vAlign w:val="bottom"/>
            <w:tcBorders>
              <w:bottom w:val="single" w:sz="8" w:color="D8D8D8"/>
            </w:tcBorders>
            <w:gridSpan w:val="3"/>
            <w:vMerge w:val="continue"/>
          </w:tcPr>
          <w:p>
            <w:pPr>
              <w:spacing w:after="0"/>
              <w:rPr>
                <w:sz w:val="3"/>
                <w:szCs w:val="3"/>
                <w:color w:val="auto"/>
              </w:rPr>
            </w:pPr>
          </w:p>
        </w:tc>
        <w:tc>
          <w:tcPr>
            <w:tcW w:w="120" w:type="dxa"/>
            <w:vAlign w:val="bottom"/>
            <w:tcBorders>
              <w:bottom w:val="single" w:sz="8" w:color="D8D8D8"/>
            </w:tcBorders>
            <w:vMerge w:val="continue"/>
          </w:tcPr>
          <w:p>
            <w:pPr>
              <w:spacing w:after="0"/>
              <w:rPr>
                <w:sz w:val="3"/>
                <w:szCs w:val="3"/>
                <w:color w:val="auto"/>
              </w:rPr>
            </w:pPr>
          </w:p>
        </w:tc>
        <w:tc>
          <w:tcPr>
            <w:tcW w:w="320" w:type="dxa"/>
            <w:vAlign w:val="bottom"/>
            <w:tcBorders>
              <w:bottom w:val="single" w:sz="8" w:color="D8D8D8"/>
            </w:tcBorders>
            <w:gridSpan w:val="5"/>
            <w:vMerge w:val="continue"/>
          </w:tcPr>
          <w:p>
            <w:pPr>
              <w:spacing w:after="0"/>
              <w:rPr>
                <w:sz w:val="3"/>
                <w:szCs w:val="3"/>
                <w:color w:val="auto"/>
              </w:rPr>
            </w:pPr>
          </w:p>
        </w:tc>
        <w:tc>
          <w:tcPr>
            <w:tcW w:w="260" w:type="dxa"/>
            <w:vAlign w:val="bottom"/>
            <w:tcBorders>
              <w:bottom w:val="single" w:sz="8" w:color="D8D8D8"/>
            </w:tcBorders>
            <w:gridSpan w:val="2"/>
            <w:vMerge w:val="continue"/>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620" w:type="dxa"/>
            <w:vAlign w:val="bottom"/>
            <w:gridSpan w:val="37"/>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95" w:lineRule="exact"/>
              <w:rPr>
                <w:sz w:val="20"/>
                <w:szCs w:val="20"/>
                <w:color w:val="auto"/>
              </w:rPr>
            </w:pPr>
            <w:r>
              <w:rPr>
                <w:rFonts w:ascii="Arial" w:cs="Arial" w:eastAsia="Arial" w:hAnsi="Arial"/>
                <w:sz w:val="11"/>
                <w:szCs w:val="11"/>
                <w:b w:val="1"/>
                <w:bCs w:val="1"/>
                <w:color w:val="auto"/>
              </w:rPr>
              <w:t>​</w:t>
            </w:r>
          </w:p>
        </w:tc>
        <w:tc>
          <w:tcPr>
            <w:tcW w:w="180" w:type="dxa"/>
            <w:vAlign w:val="bottom"/>
            <w:gridSpan w:val="2"/>
          </w:tcPr>
          <w:p>
            <w:pPr>
              <w:spacing w:after="0" w:line="20" w:lineRule="exact"/>
              <w:rPr>
                <w:sz w:val="1"/>
                <w:szCs w:val="1"/>
                <w:color w:val="auto"/>
              </w:rPr>
            </w:pPr>
          </w:p>
        </w:tc>
        <w:tc>
          <w:tcPr>
            <w:tcW w:w="180" w:type="dxa"/>
            <w:vAlign w:val="bottom"/>
            <w:vMerge w:val="restart"/>
          </w:tcPr>
          <w:p>
            <w:pPr>
              <w:ind w:left="20"/>
              <w:spacing w:after="0" w:line="95" w:lineRule="exact"/>
              <w:rPr>
                <w:sz w:val="20"/>
                <w:szCs w:val="20"/>
                <w:color w:val="auto"/>
              </w:rPr>
            </w:pPr>
            <w:r>
              <w:rPr>
                <w:rFonts w:ascii="Arial" w:cs="Arial" w:eastAsia="Arial" w:hAnsi="Arial"/>
                <w:sz w:val="11"/>
                <w:szCs w:val="11"/>
                <w:b w:val="1"/>
                <w:bCs w:val="1"/>
                <w:color w:val="auto"/>
              </w:rPr>
              <w:t>​ ​</w:t>
            </w:r>
          </w:p>
        </w:tc>
        <w:tc>
          <w:tcPr>
            <w:tcW w:w="3640" w:type="dxa"/>
            <w:vAlign w:val="bottom"/>
            <w:gridSpan w:val="41"/>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60" w:type="dxa"/>
            <w:vAlign w:val="bottom"/>
            <w:tcBorders>
              <w:bottom w:val="single" w:sz="8" w:color="D8D8D8"/>
            </w:tcBorders>
            <w:gridSpan w:val="5"/>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2180" w:type="dxa"/>
            <w:vAlign w:val="bottom"/>
            <w:tcBorders>
              <w:top w:val="single" w:sz="8" w:color="0000EE"/>
              <w:bottom w:val="single" w:sz="8" w:color="D8D8D8"/>
            </w:tcBorders>
            <w:gridSpan w:val="14"/>
          </w:tcPr>
          <w:p>
            <w:pPr>
              <w:spacing w:after="0" w:line="20" w:lineRule="exact"/>
              <w:rPr>
                <w:sz w:val="1"/>
                <w:szCs w:val="1"/>
                <w:color w:val="auto"/>
              </w:rPr>
            </w:pPr>
          </w:p>
        </w:tc>
        <w:tc>
          <w:tcPr>
            <w:tcW w:w="1300" w:type="dxa"/>
            <w:vAlign w:val="bottom"/>
            <w:tcBorders>
              <w:bottom w:val="single" w:sz="8" w:color="D8D8D8"/>
            </w:tcBorders>
            <w:gridSpan w:val="2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80" w:type="dxa"/>
            <w:vAlign w:val="bottom"/>
          </w:tcPr>
          <w:p>
            <w:pPr>
              <w:spacing w:after="0"/>
              <w:rPr>
                <w:sz w:val="4"/>
                <w:szCs w:val="4"/>
                <w:color w:val="auto"/>
              </w:rPr>
            </w:pPr>
          </w:p>
        </w:tc>
        <w:tc>
          <w:tcPr>
            <w:tcW w:w="360" w:type="dxa"/>
            <w:vAlign w:val="bottom"/>
            <w:gridSpan w:val="4"/>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3640" w:type="dxa"/>
            <w:vAlign w:val="bottom"/>
            <w:gridSpan w:val="41"/>
          </w:tcPr>
          <w:p>
            <w:pPr>
              <w:spacing w:after="0"/>
              <w:rPr>
                <w:sz w:val="4"/>
                <w:szCs w:val="4"/>
                <w:color w:val="auto"/>
              </w:rPr>
            </w:pPr>
          </w:p>
        </w:tc>
        <w:tc>
          <w:tcPr>
            <w:tcW w:w="460" w:type="dxa"/>
            <w:vAlign w:val="bottom"/>
            <w:vMerge w:val="continue"/>
          </w:tcPr>
          <w:p>
            <w:pPr>
              <w:spacing w:after="0"/>
              <w:rPr>
                <w:sz w:val="4"/>
                <w:szCs w:val="4"/>
                <w:color w:val="auto"/>
              </w:rPr>
            </w:pPr>
          </w:p>
        </w:tc>
        <w:tc>
          <w:tcPr>
            <w:tcW w:w="6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w:t>
            </w:r>
          </w:p>
        </w:tc>
        <w:tc>
          <w:tcPr>
            <w:tcW w:w="300" w:type="dxa"/>
            <w:vAlign w:val="bottom"/>
            <w:gridSpan w:val="4"/>
          </w:tcPr>
          <w:p>
            <w:pPr>
              <w:spacing w:after="0"/>
              <w:rPr>
                <w:sz w:val="4"/>
                <w:szCs w:val="4"/>
                <w:color w:val="auto"/>
              </w:rPr>
            </w:pPr>
          </w:p>
        </w:tc>
        <w:tc>
          <w:tcPr>
            <w:tcW w:w="160" w:type="dxa"/>
            <w:vAlign w:val="bottom"/>
            <w:vMerge w:val="restart"/>
          </w:tcPr>
          <w:p>
            <w:pPr>
              <w:spacing w:after="0" w:line="155" w:lineRule="exact"/>
              <w:rPr>
                <w:sz w:val="20"/>
                <w:szCs w:val="20"/>
                <w:color w:val="auto"/>
              </w:rPr>
            </w:pPr>
            <w:r>
              <w:rPr>
                <w:rFonts w:ascii="Arial" w:cs="Arial" w:eastAsia="Arial" w:hAnsi="Arial"/>
                <w:sz w:val="14"/>
                <w:szCs w:val="14"/>
                <w:i w:val="1"/>
                <w:iCs w:val="1"/>
                <w:color w:val="0000EE"/>
                <w:w w:val="89"/>
              </w:rPr>
              <w:t>82</w:t>
            </w:r>
          </w:p>
        </w:tc>
        <w:tc>
          <w:tcPr>
            <w:tcW w:w="20" w:type="dxa"/>
            <w:vAlign w:val="bottom"/>
          </w:tcPr>
          <w:p>
            <w:pPr>
              <w:spacing w:after="0"/>
              <w:rPr>
                <w:sz w:val="4"/>
                <w:szCs w:val="4"/>
                <w:color w:val="auto"/>
              </w:rPr>
            </w:pPr>
          </w:p>
        </w:tc>
        <w:tc>
          <w:tcPr>
            <w:tcW w:w="16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180" w:type="dxa"/>
            <w:vAlign w:val="bottom"/>
            <w:gridSpan w:val="2"/>
          </w:tcPr>
          <w:p>
            <w:pPr>
              <w:spacing w:after="0"/>
              <w:rPr>
                <w:sz w:val="4"/>
                <w:szCs w:val="4"/>
                <w:color w:val="auto"/>
              </w:rPr>
            </w:pPr>
          </w:p>
        </w:tc>
        <w:tc>
          <w:tcPr>
            <w:tcW w:w="3160" w:type="dxa"/>
            <w:vAlign w:val="bottom"/>
            <w:gridSpan w:val="30"/>
            <w:vMerge w:val="restart"/>
          </w:tcPr>
          <w:p>
            <w:pPr>
              <w:spacing w:after="0" w:line="155" w:lineRule="exact"/>
              <w:rPr>
                <w:sz w:val="20"/>
                <w:szCs w:val="20"/>
                <w:color w:val="auto"/>
              </w:rPr>
            </w:pPr>
            <w:r>
              <w:rPr>
                <w:rFonts w:ascii="Arial" w:cs="Arial" w:eastAsia="Arial" w:hAnsi="Arial"/>
                <w:sz w:val="14"/>
                <w:szCs w:val="14"/>
                <w:i w:val="1"/>
                <w:iCs w:val="1"/>
                <w:color w:val="0000EE"/>
              </w:rPr>
              <w:t>PREAPPROVAL POLICIES AND PROCEDURES</w:t>
            </w:r>
          </w:p>
        </w:tc>
        <w:tc>
          <w:tcPr>
            <w:tcW w:w="300" w:type="dxa"/>
            <w:vAlign w:val="bottom"/>
            <w:gridSpan w:val="6"/>
          </w:tcPr>
          <w:p>
            <w:pPr>
              <w:spacing w:after="0"/>
              <w:rPr>
                <w:sz w:val="4"/>
                <w:szCs w:val="4"/>
                <w:color w:val="auto"/>
              </w:rPr>
            </w:pPr>
          </w:p>
        </w:tc>
        <w:tc>
          <w:tcPr>
            <w:tcW w:w="780" w:type="dxa"/>
            <w:vAlign w:val="bottom"/>
            <w:gridSpan w:val="2"/>
            <w:vMerge w:val="restart"/>
          </w:tcPr>
          <w:p>
            <w:pPr>
              <w:jc w:val="right"/>
              <w:ind w:right="735"/>
              <w:spacing w:after="0" w:line="155" w:lineRule="exact"/>
              <w:rPr>
                <w:sz w:val="20"/>
                <w:szCs w:val="20"/>
                <w:color w:val="auto"/>
              </w:rPr>
            </w:pPr>
            <w:r>
              <w:rPr>
                <w:rFonts w:ascii="Arial" w:cs="Arial" w:eastAsia="Arial" w:hAnsi="Arial"/>
                <w:sz w:val="14"/>
                <w:szCs w:val="14"/>
                <w:i w:val="1"/>
                <w:iCs w:val="1"/>
                <w:color w:val="auto"/>
              </w:rPr>
              <w:t>​</w:t>
            </w:r>
          </w:p>
        </w:tc>
        <w:tc>
          <w:tcPr>
            <w:tcW w:w="0" w:type="dxa"/>
            <w:vAlign w:val="bottom"/>
          </w:tcPr>
          <w:p>
            <w:pPr>
              <w:spacing w:after="0"/>
              <w:rPr>
                <w:sz w:val="1"/>
                <w:szCs w:val="1"/>
                <w:color w:val="auto"/>
              </w:rPr>
            </w:pPr>
          </w:p>
        </w:tc>
      </w:tr>
      <w:tr>
        <w:trPr>
          <w:trHeight w:val="113"/>
        </w:trPr>
        <w:tc>
          <w:tcPr>
            <w:tcW w:w="780" w:type="dxa"/>
            <w:vAlign w:val="bottom"/>
          </w:tcPr>
          <w:p>
            <w:pPr>
              <w:spacing w:after="0"/>
              <w:rPr>
                <w:sz w:val="9"/>
                <w:szCs w:val="9"/>
                <w:color w:val="auto"/>
              </w:rPr>
            </w:pPr>
          </w:p>
        </w:tc>
        <w:tc>
          <w:tcPr>
            <w:tcW w:w="3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0000EE"/>
              </w:rPr>
              <w:t>38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20" w:type="dxa"/>
            <w:vAlign w:val="bottom"/>
            <w:gridSpan w:val="40"/>
            <w:vMerge w:val="restart"/>
          </w:tcPr>
          <w:p>
            <w:pPr>
              <w:spacing w:after="0" w:line="149" w:lineRule="exact"/>
              <w:rPr>
                <w:sz w:val="20"/>
                <w:szCs w:val="20"/>
                <w:color w:val="auto"/>
              </w:rPr>
            </w:pPr>
            <w:r>
              <w:rPr>
                <w:rFonts w:ascii="Arial" w:cs="Arial" w:eastAsia="Arial" w:hAnsi="Arial"/>
                <w:sz w:val="14"/>
                <w:szCs w:val="14"/>
                <w:b w:val="1"/>
                <w:bCs w:val="1"/>
                <w:color w:val="0000EE"/>
              </w:rPr>
              <w:t>EXECUTIVE COMPENSATION</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0000EE"/>
            </w:tcBorders>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3160" w:type="dxa"/>
            <w:vAlign w:val="bottom"/>
            <w:tcBorders>
              <w:bottom w:val="single" w:sz="8" w:color="0000EE"/>
            </w:tcBorders>
            <w:gridSpan w:val="30"/>
            <w:vMerge w:val="continue"/>
          </w:tcPr>
          <w:p>
            <w:pPr>
              <w:spacing w:after="0"/>
              <w:rPr>
                <w:sz w:val="9"/>
                <w:szCs w:val="9"/>
                <w:color w:val="auto"/>
              </w:rPr>
            </w:pPr>
          </w:p>
        </w:tc>
        <w:tc>
          <w:tcPr>
            <w:tcW w:w="160" w:type="dxa"/>
            <w:vAlign w:val="bottom"/>
            <w:gridSpan w:val="3"/>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80" w:type="dxa"/>
            <w:vAlign w:val="bottom"/>
            <w:gridSpan w:val="2"/>
            <w:vMerge w:val="restart"/>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4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bottom w:val="single" w:sz="8" w:color="BF5B5A"/>
            </w:tcBorders>
          </w:tcPr>
          <w:p>
            <w:pPr>
              <w:spacing w:after="0" w:line="20" w:lineRule="exact"/>
              <w:rPr>
                <w:sz w:val="1"/>
                <w:szCs w:val="1"/>
                <w:color w:val="auto"/>
              </w:rPr>
            </w:pPr>
          </w:p>
        </w:tc>
        <w:tc>
          <w:tcPr>
            <w:tcW w:w="160" w:type="dxa"/>
            <w:vAlign w:val="bottom"/>
            <w:tcBorders>
              <w:top w:val="single" w:sz="8" w:color="0000EE"/>
              <w:bottom w:val="single" w:sz="8" w:color="BF5B5A"/>
            </w:tcBorders>
            <w:gridSpan w:val="2"/>
          </w:tcPr>
          <w:p>
            <w:pPr>
              <w:spacing w:after="0" w:line="20" w:lineRule="exact"/>
              <w:rPr>
                <w:sz w:val="1"/>
                <w:szCs w:val="1"/>
                <w:color w:val="auto"/>
              </w:rPr>
            </w:pPr>
          </w:p>
        </w:tc>
        <w:tc>
          <w:tcPr>
            <w:tcW w:w="520" w:type="dxa"/>
            <w:vAlign w:val="bottom"/>
            <w:tcBorders>
              <w:bottom w:val="single" w:sz="8" w:color="BF5B5A"/>
            </w:tcBorders>
            <w:gridSpan w:val="5"/>
          </w:tcPr>
          <w:p>
            <w:pPr>
              <w:spacing w:after="0" w:line="20" w:lineRule="exact"/>
              <w:rPr>
                <w:sz w:val="1"/>
                <w:szCs w:val="1"/>
                <w:color w:val="auto"/>
              </w:rPr>
            </w:pPr>
          </w:p>
        </w:tc>
        <w:tc>
          <w:tcPr>
            <w:tcW w:w="1880" w:type="dxa"/>
            <w:vAlign w:val="bottom"/>
            <w:tcBorders>
              <w:top w:val="single" w:sz="8" w:color="0000EE"/>
              <w:bottom w:val="single" w:sz="8" w:color="BF5B5A"/>
            </w:tcBorders>
            <w:gridSpan w:val="15"/>
          </w:tcPr>
          <w:p>
            <w:pPr>
              <w:spacing w:after="0" w:line="20" w:lineRule="exact"/>
              <w:rPr>
                <w:sz w:val="1"/>
                <w:szCs w:val="1"/>
                <w:color w:val="auto"/>
              </w:rPr>
            </w:pPr>
          </w:p>
        </w:tc>
        <w:tc>
          <w:tcPr>
            <w:tcW w:w="1740" w:type="dxa"/>
            <w:vAlign w:val="bottom"/>
            <w:tcBorders>
              <w:bottom w:val="single" w:sz="8" w:color="BF5B5A"/>
            </w:tcBorders>
            <w:gridSpan w:val="2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D8D8D8"/>
              <w:bottom w:val="single" w:sz="8" w:color="D8D8D8"/>
            </w:tcBorders>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D8D8D8"/>
            </w:tcBorders>
            <w:gridSpan w:val="6"/>
          </w:tcPr>
          <w:p>
            <w:pPr>
              <w:spacing w:after="0" w:line="20" w:lineRule="exact"/>
              <w:rPr>
                <w:sz w:val="1"/>
                <w:szCs w:val="1"/>
                <w:color w:val="auto"/>
              </w:rPr>
            </w:pPr>
          </w:p>
        </w:tc>
        <w:tc>
          <w:tcPr>
            <w:tcW w:w="160" w:type="dxa"/>
            <w:vAlign w:val="bottom"/>
            <w:tcBorders>
              <w:top w:val="single" w:sz="8" w:color="D8D8D8"/>
              <w:bottom w:val="single" w:sz="8" w:color="D8D8D8"/>
            </w:tcBorders>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3640" w:type="dxa"/>
            <w:vAlign w:val="bottom"/>
            <w:tcBorders>
              <w:top w:val="single" w:sz="8" w:color="D8D8D8"/>
            </w:tcBorders>
            <w:gridSpan w:val="38"/>
          </w:tcPr>
          <w:p>
            <w:pPr>
              <w:spacing w:after="0" w:line="20" w:lineRule="exact"/>
              <w:rPr>
                <w:sz w:val="1"/>
                <w:szCs w:val="1"/>
                <w:color w:val="auto"/>
              </w:rPr>
            </w:pPr>
          </w:p>
        </w:tc>
        <w:tc>
          <w:tcPr>
            <w:tcW w:w="20" w:type="dxa"/>
            <w:vAlign w:val="bottom"/>
            <w:tcBorders>
              <w:top w:val="single" w:sz="8" w:color="D8D8D8"/>
              <w:bottom w:val="single" w:sz="8" w:color="D8D8D8"/>
            </w:tcBorders>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60" w:type="dxa"/>
            <w:vAlign w:val="bottom"/>
            <w:gridSpan w:val="4"/>
            <w:vMerge w:val="restart"/>
          </w:tcPr>
          <w:p>
            <w:pPr>
              <w:spacing w:after="0" w:line="195" w:lineRule="exact"/>
              <w:rPr>
                <w:sz w:val="20"/>
                <w:szCs w:val="20"/>
                <w:color w:val="auto"/>
              </w:rPr>
            </w:pPr>
            <w:r>
              <w:rPr>
                <w:rFonts w:ascii="Arial" w:cs="Arial" w:eastAsia="Arial" w:hAnsi="Arial"/>
                <w:sz w:val="22"/>
                <w:szCs w:val="22"/>
                <w:b w:val="1"/>
                <w:bCs w:val="1"/>
                <w:color w:val="000000"/>
                <w:vertAlign w:val="superscript"/>
              </w:rPr>
              <w:t>​</w:t>
            </w:r>
            <w:r>
              <w:rPr>
                <w:rFonts w:ascii="Arial" w:cs="Arial" w:eastAsia="Arial" w:hAnsi="Arial"/>
                <w:sz w:val="12"/>
                <w:szCs w:val="12"/>
                <w:b w:val="1"/>
                <w:bCs w:val="1"/>
                <w:color w:val="BF5B5A"/>
              </w:rPr>
              <w:t xml:space="preserve"> 38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41"/>
            <w:vMerge w:val="restart"/>
          </w:tcPr>
          <w:p>
            <w:pPr>
              <w:ind w:left="20"/>
              <w:spacing w:after="0" w:line="195" w:lineRule="exact"/>
              <w:rPr>
                <w:sz w:val="20"/>
                <w:szCs w:val="20"/>
                <w:color w:val="auto"/>
              </w:rPr>
            </w:pPr>
            <w:r>
              <w:rPr>
                <w:rFonts w:ascii="Arial" w:cs="Arial" w:eastAsia="Arial" w:hAnsi="Arial"/>
                <w:sz w:val="22"/>
                <w:szCs w:val="22"/>
                <w:b w:val="1"/>
                <w:bCs w:val="1"/>
                <w:color w:val="000000"/>
                <w:vertAlign w:val="superscript"/>
              </w:rPr>
              <w:t>​ ​</w:t>
            </w:r>
            <w:r>
              <w:rPr>
                <w:rFonts w:ascii="Arial" w:cs="Arial" w:eastAsia="Arial" w:hAnsi="Arial"/>
                <w:sz w:val="12"/>
                <w:szCs w:val="12"/>
                <w:b w:val="1"/>
                <w:bCs w:val="1"/>
                <w:color w:val="BF5B5A"/>
              </w:rPr>
              <w:t xml:space="preserve"> PROPOSAL 2</w:t>
            </w:r>
            <w:r>
              <w:rPr>
                <w:rFonts w:ascii="Arial" w:cs="Arial" w:eastAsia="Arial" w:hAnsi="Arial"/>
                <w:sz w:val="12"/>
                <w:szCs w:val="12"/>
                <w:color w:val="0000EE"/>
              </w:rPr>
              <w:t>—ADVISORY VOTE ON THE</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vMerge w:val="continue"/>
          </w:tcPr>
          <w:p>
            <w:pPr>
              <w:spacing w:after="0"/>
              <w:rPr>
                <w:sz w:val="12"/>
                <w:szCs w:val="12"/>
                <w:color w:val="auto"/>
              </w:rPr>
            </w:pPr>
          </w:p>
        </w:tc>
        <w:tc>
          <w:tcPr>
            <w:tcW w:w="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0000EE"/>
              </w:rPr>
              <w:t>83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b w:val="1"/>
                <w:bCs w:val="1"/>
                <w:color w:val="0000EE"/>
              </w:rPr>
              <w:t>BIOGRAPHIES OF EXECUTIVE OFFICERS</w:t>
            </w:r>
          </w:p>
        </w:tc>
        <w:tc>
          <w:tcPr>
            <w:tcW w:w="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78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gridSpan w:val="41"/>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40" w:type="dxa"/>
            <w:vAlign w:val="bottom"/>
            <w:gridSpan w:val="38"/>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80" w:type="dxa"/>
            <w:vAlign w:val="bottom"/>
            <w:gridSpan w:val="52"/>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720" w:type="dxa"/>
            <w:vAlign w:val="bottom"/>
            <w:tcBorders>
              <w:bottom w:val="single" w:sz="8" w:color="0000EE"/>
            </w:tcBorders>
            <w:gridSpan w:val="21"/>
          </w:tcPr>
          <w:p>
            <w:pPr>
              <w:spacing w:after="0" w:line="20" w:lineRule="exact"/>
              <w:rPr>
                <w:sz w:val="1"/>
                <w:szCs w:val="1"/>
                <w:color w:val="auto"/>
              </w:rPr>
            </w:pPr>
          </w:p>
        </w:tc>
        <w:tc>
          <w:tcPr>
            <w:tcW w:w="16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00" w:type="dxa"/>
            <w:vAlign w:val="bottom"/>
            <w:gridSpan w:val="8"/>
          </w:tcPr>
          <w:p>
            <w:pPr>
              <w:spacing w:after="0" w:line="20" w:lineRule="exact"/>
              <w:rPr>
                <w:sz w:val="1"/>
                <w:szCs w:val="1"/>
                <w:color w:val="auto"/>
              </w:rPr>
            </w:pPr>
          </w:p>
        </w:tc>
        <w:tc>
          <w:tcPr>
            <w:tcW w:w="3040" w:type="dxa"/>
            <w:vAlign w:val="bottom"/>
            <w:gridSpan w:val="33"/>
            <w:vMerge w:val="restart"/>
          </w:tcPr>
          <w:p>
            <w:pPr>
              <w:spacing w:after="0" w:line="122" w:lineRule="exact"/>
              <w:rPr>
                <w:sz w:val="20"/>
                <w:szCs w:val="20"/>
                <w:color w:val="auto"/>
              </w:rPr>
            </w:pPr>
            <w:r>
              <w:rPr>
                <w:rFonts w:ascii="Arial" w:cs="Arial" w:eastAsia="Arial" w:hAnsi="Arial"/>
                <w:sz w:val="14"/>
                <w:szCs w:val="14"/>
                <w:color w:val="0000EE"/>
                <w:w w:val="97"/>
              </w:rPr>
              <w:t>COMPENSATION OF OUR NAMED EXECUTIVE</w:t>
            </w:r>
          </w:p>
        </w:tc>
        <w:tc>
          <w:tcPr>
            <w:tcW w:w="1060" w:type="dxa"/>
            <w:vAlign w:val="bottom"/>
            <w:gridSpan w:val="9"/>
          </w:tcPr>
          <w:p>
            <w:pPr>
              <w:spacing w:after="0" w:line="20" w:lineRule="exact"/>
              <w:rPr>
                <w:sz w:val="1"/>
                <w:szCs w:val="1"/>
                <w:color w:val="auto"/>
              </w:rPr>
            </w:pPr>
          </w:p>
        </w:tc>
        <w:tc>
          <w:tcPr>
            <w:tcW w:w="4360" w:type="dxa"/>
            <w:vAlign w:val="bottom"/>
            <w:tcBorders>
              <w:bottom w:val="single" w:sz="8" w:color="BF5B5A"/>
            </w:tcBorders>
            <w:gridSpan w:val="47"/>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00"/>
        </w:trPr>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tcBorders>
              <w:bottom w:val="single" w:sz="8" w:color="0000EE"/>
            </w:tcBorders>
            <w:gridSpan w:val="33"/>
            <w:vMerge w:val="continue"/>
          </w:tcPr>
          <w:p>
            <w:pPr>
              <w:spacing w:after="0"/>
              <w:rPr>
                <w:sz w:val="8"/>
                <w:szCs w:val="8"/>
                <w:color w:val="auto"/>
              </w:rPr>
            </w:pPr>
          </w:p>
        </w:tc>
        <w:tc>
          <w:tcPr>
            <w:tcW w:w="320" w:type="dxa"/>
            <w:vAlign w:val="bottom"/>
            <w:gridSpan w:val="5"/>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ind w:left="20"/>
              <w:spacing w:after="0" w:line="96" w:lineRule="exact"/>
              <w:rPr>
                <w:sz w:val="20"/>
                <w:szCs w:val="20"/>
                <w:color w:val="auto"/>
              </w:rPr>
            </w:pPr>
            <w:r>
              <w:rPr>
                <w:rFonts w:ascii="Arial" w:cs="Arial" w:eastAsia="Arial" w:hAnsi="Arial"/>
                <w:sz w:val="11"/>
                <w:szCs w:val="11"/>
                <w:b w:val="1"/>
                <w:bCs w:val="1"/>
                <w:color w:val="auto"/>
              </w:rPr>
              <w:t>​</w:t>
            </w:r>
          </w:p>
        </w:tc>
        <w:tc>
          <w:tcPr>
            <w:tcW w:w="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0000EE"/>
              </w:rPr>
              <w:t>87</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ind w:left="20"/>
              <w:spacing w:after="0" w:line="96" w:lineRule="exact"/>
              <w:rPr>
                <w:sz w:val="20"/>
                <w:szCs w:val="20"/>
                <w:color w:val="auto"/>
              </w:rPr>
            </w:pPr>
            <w:r>
              <w:rPr>
                <w:rFonts w:ascii="Arial" w:cs="Arial" w:eastAsia="Arial" w:hAnsi="Arial"/>
                <w:sz w:val="11"/>
                <w:szCs w:val="11"/>
                <w:b w:val="1"/>
                <w:bCs w:val="1"/>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b w:val="1"/>
                <w:bCs w:val="1"/>
                <w:color w:val="0000EE"/>
              </w:rPr>
              <w:t>STOCK OWNERSHIP</w:t>
            </w: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40"/>
          </w:tcPr>
          <w:p>
            <w:pPr>
              <w:spacing w:after="0" w:line="129" w:lineRule="exact"/>
              <w:rPr>
                <w:sz w:val="20"/>
                <w:szCs w:val="20"/>
                <w:color w:val="auto"/>
              </w:rPr>
            </w:pPr>
            <w:r>
              <w:rPr>
                <w:rFonts w:ascii="Arial" w:cs="Arial" w:eastAsia="Arial" w:hAnsi="Arial"/>
                <w:sz w:val="14"/>
                <w:szCs w:val="14"/>
                <w:color w:val="0000EE"/>
              </w:rPr>
              <w:t>OFFICERS</w:t>
            </w:r>
          </w:p>
        </w:tc>
        <w:tc>
          <w:tcPr>
            <w:tcW w:w="20" w:type="dxa"/>
            <w:vAlign w:val="bottom"/>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38"/>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0" w:type="dxa"/>
            <w:vAlign w:val="bottom"/>
            <w:tcBorders>
              <w:bottom w:val="single" w:sz="8" w:color="A5A5A5"/>
            </w:tcBorders>
            <w:gridSpan w:val="8"/>
          </w:tcPr>
          <w:p>
            <w:pPr>
              <w:spacing w:after="0" w:line="20" w:lineRule="exact"/>
              <w:rPr>
                <w:sz w:val="1"/>
                <w:szCs w:val="1"/>
                <w:color w:val="auto"/>
              </w:rPr>
            </w:pPr>
          </w:p>
        </w:tc>
        <w:tc>
          <w:tcPr>
            <w:tcW w:w="680" w:type="dxa"/>
            <w:vAlign w:val="bottom"/>
            <w:tcBorders>
              <w:top w:val="single" w:sz="8" w:color="0000EE"/>
              <w:bottom w:val="single" w:sz="8" w:color="A5A5A5"/>
            </w:tcBorders>
            <w:gridSpan w:val="3"/>
          </w:tcPr>
          <w:p>
            <w:pPr>
              <w:spacing w:after="0" w:line="20" w:lineRule="exact"/>
              <w:rPr>
                <w:sz w:val="1"/>
                <w:szCs w:val="1"/>
                <w:color w:val="auto"/>
              </w:rPr>
            </w:pPr>
          </w:p>
        </w:tc>
        <w:tc>
          <w:tcPr>
            <w:tcW w:w="2940" w:type="dxa"/>
            <w:vAlign w:val="bottom"/>
            <w:tcBorders>
              <w:bottom w:val="single" w:sz="8" w:color="A5A5A5"/>
            </w:tcBorders>
            <w:gridSpan w:val="37"/>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tcBorders>
              <w:bottom w:val="single" w:sz="8" w:color="BF5B5A"/>
            </w:tcBorders>
            <w:gridSpan w:val="2"/>
          </w:tcPr>
          <w:p>
            <w:pPr>
              <w:spacing w:after="0" w:line="20" w:lineRule="exact"/>
              <w:rPr>
                <w:sz w:val="1"/>
                <w:szCs w:val="1"/>
                <w:color w:val="auto"/>
              </w:rPr>
            </w:pPr>
          </w:p>
        </w:tc>
        <w:tc>
          <w:tcPr>
            <w:tcW w:w="180" w:type="dxa"/>
            <w:vAlign w:val="bottom"/>
            <w:tcBorders>
              <w:top w:val="single" w:sz="8" w:color="0000EE"/>
              <w:bottom w:val="single" w:sz="8" w:color="BF5B5A"/>
            </w:tcBorders>
          </w:tcPr>
          <w:p>
            <w:pPr>
              <w:spacing w:after="0" w:line="20" w:lineRule="exact"/>
              <w:rPr>
                <w:sz w:val="1"/>
                <w:szCs w:val="1"/>
                <w:color w:val="auto"/>
              </w:rPr>
            </w:pPr>
          </w:p>
        </w:tc>
        <w:tc>
          <w:tcPr>
            <w:tcW w:w="460" w:type="dxa"/>
            <w:vAlign w:val="bottom"/>
            <w:tcBorders>
              <w:bottom w:val="single" w:sz="8" w:color="BF5B5A"/>
            </w:tcBorders>
            <w:gridSpan w:val="6"/>
          </w:tcPr>
          <w:p>
            <w:pPr>
              <w:spacing w:after="0" w:line="20" w:lineRule="exact"/>
              <w:rPr>
                <w:sz w:val="1"/>
                <w:szCs w:val="1"/>
                <w:color w:val="auto"/>
              </w:rPr>
            </w:pPr>
          </w:p>
        </w:tc>
        <w:tc>
          <w:tcPr>
            <w:tcW w:w="1360" w:type="dxa"/>
            <w:vAlign w:val="bottom"/>
            <w:tcBorders>
              <w:top w:val="single" w:sz="8" w:color="0000EE"/>
              <w:bottom w:val="single" w:sz="8" w:color="BF5B5A"/>
            </w:tcBorders>
            <w:gridSpan w:val="6"/>
          </w:tcPr>
          <w:p>
            <w:pPr>
              <w:spacing w:after="0" w:line="20" w:lineRule="exact"/>
              <w:rPr>
                <w:sz w:val="1"/>
                <w:szCs w:val="1"/>
                <w:color w:val="auto"/>
              </w:rPr>
            </w:pPr>
          </w:p>
        </w:tc>
        <w:tc>
          <w:tcPr>
            <w:tcW w:w="2280" w:type="dxa"/>
            <w:vAlign w:val="bottom"/>
            <w:tcBorders>
              <w:bottom w:val="single" w:sz="8" w:color="BF5B5A"/>
            </w:tcBorders>
            <w:gridSpan w:val="32"/>
          </w:tcPr>
          <w:p>
            <w:pPr>
              <w:spacing w:after="0" w:line="20" w:lineRule="exact"/>
              <w:rPr>
                <w:sz w:val="1"/>
                <w:szCs w:val="1"/>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90"/>
        </w:trPr>
        <w:tc>
          <w:tcPr>
            <w:tcW w:w="780" w:type="dxa"/>
            <w:vAlign w:val="bottom"/>
          </w:tcPr>
          <w:p>
            <w:pPr>
              <w:spacing w:after="0"/>
              <w:rPr>
                <w:sz w:val="16"/>
                <w:szCs w:val="16"/>
                <w:color w:val="auto"/>
              </w:rPr>
            </w:pPr>
          </w:p>
        </w:tc>
        <w:tc>
          <w:tcPr>
            <w:tcW w:w="360" w:type="dxa"/>
            <w:vAlign w:val="bottom"/>
            <w:gridSpan w:val="4"/>
          </w:tcPr>
          <w:p>
            <w:pPr>
              <w:spacing w:after="0" w:line="190" w:lineRule="exact"/>
              <w:rPr>
                <w:sz w:val="20"/>
                <w:szCs w:val="20"/>
                <w:color w:val="auto"/>
              </w:rPr>
            </w:pPr>
            <w:r>
              <w:rPr>
                <w:rFonts w:ascii="Arial" w:cs="Arial" w:eastAsia="Arial" w:hAnsi="Arial"/>
                <w:sz w:val="22"/>
                <w:szCs w:val="22"/>
                <w:color w:val="000000"/>
                <w:vertAlign w:val="superscript"/>
              </w:rPr>
              <w:t>​</w:t>
            </w:r>
            <w:r>
              <w:rPr>
                <w:rFonts w:ascii="Arial" w:cs="Arial" w:eastAsia="Arial" w:hAnsi="Arial"/>
                <w:sz w:val="12"/>
                <w:szCs w:val="12"/>
                <w:color w:val="0000EE"/>
              </w:rPr>
              <w:t xml:space="preserve"> 40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c>
          <w:tcPr>
            <w:tcW w:w="3620" w:type="dxa"/>
            <w:vAlign w:val="bottom"/>
            <w:gridSpan w:val="40"/>
          </w:tcPr>
          <w:p>
            <w:pPr>
              <w:spacing w:after="0"/>
              <w:rPr>
                <w:sz w:val="20"/>
                <w:szCs w:val="20"/>
                <w:color w:val="auto"/>
              </w:rPr>
            </w:pPr>
            <w:r>
              <w:rPr>
                <w:rFonts w:ascii="Arial" w:cs="Arial" w:eastAsia="Arial" w:hAnsi="Arial"/>
                <w:sz w:val="14"/>
                <w:szCs w:val="14"/>
                <w:color w:val="0000EE"/>
              </w:rPr>
              <w:t>COMPENSATION DISCUSSION AND ANALYSIS</w:t>
            </w:r>
          </w:p>
        </w:tc>
        <w:tc>
          <w:tcPr>
            <w:tcW w:w="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360" w:type="dxa"/>
            <w:vAlign w:val="bottom"/>
            <w:gridSpan w:val="5"/>
          </w:tcPr>
          <w:p>
            <w:pPr>
              <w:ind w:left="20"/>
              <w:spacing w:after="0" w:line="190" w:lineRule="exact"/>
              <w:rPr>
                <w:sz w:val="20"/>
                <w:szCs w:val="20"/>
                <w:color w:val="auto"/>
              </w:rPr>
            </w:pPr>
            <w:r>
              <w:rPr>
                <w:rFonts w:ascii="Arial" w:cs="Arial" w:eastAsia="Arial" w:hAnsi="Arial"/>
                <w:sz w:val="22"/>
                <w:szCs w:val="22"/>
                <w:color w:val="000000"/>
                <w:vertAlign w:val="superscript"/>
              </w:rPr>
              <w:t>​</w:t>
            </w:r>
            <w:r>
              <w:rPr>
                <w:rFonts w:ascii="Arial" w:cs="Arial" w:eastAsia="Arial" w:hAnsi="Arial"/>
                <w:sz w:val="12"/>
                <w:szCs w:val="12"/>
                <w:color w:val="0000EE"/>
              </w:rPr>
              <w:t xml:space="preserve"> 87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3640" w:type="dxa"/>
            <w:vAlign w:val="bottom"/>
            <w:gridSpan w:val="38"/>
          </w:tcPr>
          <w:p>
            <w:pPr>
              <w:ind w:left="20"/>
              <w:spacing w:after="0"/>
              <w:rPr>
                <w:sz w:val="20"/>
                <w:szCs w:val="20"/>
                <w:color w:val="auto"/>
              </w:rPr>
            </w:pPr>
            <w:r>
              <w:rPr>
                <w:rFonts w:ascii="Arial" w:cs="Arial" w:eastAsia="Arial" w:hAnsi="Arial"/>
                <w:sz w:val="14"/>
                <w:szCs w:val="14"/>
                <w:color w:val="0000EE"/>
              </w:rPr>
              <w:t>SECURITY OWNERSHIP OF CERTAIN BENEFICIAL</w:t>
            </w:r>
          </w:p>
        </w:tc>
        <w:tc>
          <w:tcPr>
            <w:tcW w:w="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gridSpan w:val="2"/>
          </w:tcPr>
          <w:p>
            <w:pPr>
              <w:spacing w:after="0" w:line="20" w:lineRule="exact"/>
              <w:rPr>
                <w:sz w:val="1"/>
                <w:szCs w:val="1"/>
                <w:color w:val="auto"/>
              </w:rPr>
            </w:pPr>
          </w:p>
        </w:tc>
        <w:tc>
          <w:tcPr>
            <w:tcW w:w="520" w:type="dxa"/>
            <w:vAlign w:val="bottom"/>
            <w:tcBorders>
              <w:bottom w:val="single" w:sz="8" w:color="A5A5A5"/>
            </w:tcBorders>
            <w:gridSpan w:val="5"/>
          </w:tcPr>
          <w:p>
            <w:pPr>
              <w:spacing w:after="0" w:line="20" w:lineRule="exact"/>
              <w:rPr>
                <w:sz w:val="1"/>
                <w:szCs w:val="1"/>
                <w:color w:val="auto"/>
              </w:rPr>
            </w:pPr>
          </w:p>
        </w:tc>
        <w:tc>
          <w:tcPr>
            <w:tcW w:w="3020" w:type="dxa"/>
            <w:vAlign w:val="bottom"/>
            <w:tcBorders>
              <w:top w:val="single" w:sz="8" w:color="0000EE"/>
              <w:bottom w:val="single" w:sz="8" w:color="A5A5A5"/>
            </w:tcBorders>
            <w:gridSpan w:val="32"/>
          </w:tcPr>
          <w:p>
            <w:pPr>
              <w:spacing w:after="0" w:line="20" w:lineRule="exact"/>
              <w:rPr>
                <w:sz w:val="1"/>
                <w:szCs w:val="1"/>
                <w:color w:val="auto"/>
              </w:rPr>
            </w:pPr>
          </w:p>
        </w:tc>
        <w:tc>
          <w:tcPr>
            <w:tcW w:w="580" w:type="dxa"/>
            <w:vAlign w:val="bottom"/>
            <w:tcBorders>
              <w:bottom w:val="single" w:sz="8" w:color="A5A5A5"/>
            </w:tcBorders>
            <w:gridSpan w:val="7"/>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gridSpan w:val="2"/>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80" w:type="dxa"/>
            <w:vAlign w:val="bottom"/>
            <w:tcBorders>
              <w:top w:val="single" w:sz="8" w:color="0000EE"/>
              <w:bottom w:val="single" w:sz="8" w:color="0000EE"/>
            </w:tcBorders>
            <w:gridSpan w:val="25"/>
            <w:vMerge w:val="restart"/>
          </w:tcPr>
          <w:p>
            <w:pPr>
              <w:spacing w:after="0" w:line="142" w:lineRule="exact"/>
              <w:rPr>
                <w:sz w:val="20"/>
                <w:szCs w:val="20"/>
                <w:color w:val="auto"/>
              </w:rPr>
            </w:pPr>
            <w:r>
              <w:rPr>
                <w:rFonts w:ascii="Arial" w:cs="Arial" w:eastAsia="Arial" w:hAnsi="Arial"/>
                <w:sz w:val="14"/>
                <w:szCs w:val="14"/>
                <w:color w:val="0000EE"/>
                <w:w w:val="98"/>
              </w:rPr>
              <w:t>OWNERS, DIRECTORS AND MANAGEMENT</w:t>
            </w:r>
          </w:p>
        </w:tc>
        <w:tc>
          <w:tcPr>
            <w:tcW w:w="200" w:type="dxa"/>
            <w:vAlign w:val="bottom"/>
            <w:tcBorders>
              <w:top w:val="single" w:sz="8" w:color="0000EE"/>
              <w:bottom w:val="single" w:sz="8" w:color="0000EE"/>
            </w:tcBorders>
            <w:vMerge w:val="restart"/>
          </w:tcPr>
          <w:p>
            <w:pPr>
              <w:spacing w:after="0" w:line="20" w:lineRule="exact"/>
              <w:rPr>
                <w:sz w:val="1"/>
                <w:szCs w:val="1"/>
                <w:color w:val="auto"/>
              </w:rPr>
            </w:pPr>
          </w:p>
        </w:tc>
        <w:tc>
          <w:tcPr>
            <w:tcW w:w="80" w:type="dxa"/>
            <w:vAlign w:val="bottom"/>
            <w:tcBorders>
              <w:top w:val="single" w:sz="8" w:color="0000EE"/>
              <w:bottom w:val="single" w:sz="8" w:color="0000EE"/>
            </w:tcBorders>
            <w:vMerge w:val="restart"/>
          </w:tcPr>
          <w:p>
            <w:pPr>
              <w:spacing w:after="0" w:line="20" w:lineRule="exact"/>
              <w:rPr>
                <w:sz w:val="1"/>
                <w:szCs w:val="1"/>
                <w:color w:val="auto"/>
              </w:rPr>
            </w:pPr>
          </w:p>
        </w:tc>
        <w:tc>
          <w:tcPr>
            <w:tcW w:w="140" w:type="dxa"/>
            <w:vAlign w:val="bottom"/>
            <w:tcBorders>
              <w:top w:val="single" w:sz="8" w:color="0000EE"/>
              <w:bottom w:val="single" w:sz="8" w:color="0000EE"/>
            </w:tcBorders>
            <w:gridSpan w:val="3"/>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55" w:lineRule="exact"/>
              <w:rPr>
                <w:sz w:val="20"/>
                <w:szCs w:val="20"/>
                <w:color w:val="auto"/>
              </w:rPr>
            </w:pPr>
            <w:r>
              <w:rPr>
                <w:rFonts w:ascii="Arial" w:cs="Arial" w:eastAsia="Arial" w:hAnsi="Arial"/>
                <w:sz w:val="14"/>
                <w:szCs w:val="14"/>
                <w:i w:val="1"/>
                <w:iCs w:val="1"/>
                <w:color w:val="0000EE"/>
                <w:w w:val="89"/>
              </w:rPr>
              <w:t>40</w:t>
            </w: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0"/>
                <w:szCs w:val="10"/>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Named Executive Officers</w:t>
            </w: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880" w:type="dxa"/>
            <w:vAlign w:val="bottom"/>
            <w:tcBorders>
              <w:bottom w:val="single" w:sz="8" w:color="0000EE"/>
            </w:tcBorders>
            <w:gridSpan w:val="25"/>
            <w:vMerge w:val="continue"/>
          </w:tcPr>
          <w:p>
            <w:pPr>
              <w:spacing w:after="0"/>
              <w:rPr>
                <w:sz w:val="10"/>
                <w:szCs w:val="10"/>
                <w:color w:val="auto"/>
              </w:rPr>
            </w:pPr>
          </w:p>
        </w:tc>
        <w:tc>
          <w:tcPr>
            <w:tcW w:w="200" w:type="dxa"/>
            <w:vAlign w:val="bottom"/>
            <w:tcBorders>
              <w:bottom w:val="single" w:sz="8" w:color="0000EE"/>
            </w:tcBorders>
            <w:vMerge w:val="continue"/>
          </w:tcPr>
          <w:p>
            <w:pPr>
              <w:spacing w:after="0"/>
              <w:rPr>
                <w:sz w:val="10"/>
                <w:szCs w:val="10"/>
                <w:color w:val="auto"/>
              </w:rPr>
            </w:pPr>
          </w:p>
        </w:tc>
        <w:tc>
          <w:tcPr>
            <w:tcW w:w="80" w:type="dxa"/>
            <w:vAlign w:val="bottom"/>
            <w:tcBorders>
              <w:bottom w:val="single" w:sz="8" w:color="0000EE"/>
            </w:tcBorders>
            <w:vMerge w:val="continue"/>
          </w:tcPr>
          <w:p>
            <w:pPr>
              <w:spacing w:after="0"/>
              <w:rPr>
                <w:sz w:val="10"/>
                <w:szCs w:val="10"/>
                <w:color w:val="auto"/>
              </w:rPr>
            </w:pPr>
          </w:p>
        </w:tc>
        <w:tc>
          <w:tcPr>
            <w:tcW w:w="140" w:type="dxa"/>
            <w:vAlign w:val="bottom"/>
            <w:tcBorders>
              <w:bottom w:val="single" w:sz="8" w:color="0000EE"/>
            </w:tcBorders>
            <w:gridSpan w:val="3"/>
            <w:vMerge w:val="continue"/>
          </w:tcPr>
          <w:p>
            <w:pPr>
              <w:spacing w:after="0"/>
              <w:rPr>
                <w:sz w:val="10"/>
                <w:szCs w:val="10"/>
                <w:color w:val="auto"/>
              </w:rPr>
            </w:pPr>
          </w:p>
        </w:tc>
        <w:tc>
          <w:tcPr>
            <w:tcW w:w="180" w:type="dxa"/>
            <w:vAlign w:val="bottom"/>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vMerge w:val="continue"/>
          </w:tcPr>
          <w:p>
            <w:pPr>
              <w:spacing w:after="0" w:line="20" w:lineRule="exact"/>
              <w:rPr>
                <w:sz w:val="1"/>
                <w:szCs w:val="1"/>
                <w:color w:val="auto"/>
              </w:rPr>
            </w:pPr>
          </w:p>
        </w:tc>
        <w:tc>
          <w:tcPr>
            <w:tcW w:w="640" w:type="dxa"/>
            <w:vAlign w:val="bottom"/>
            <w:tcBorders>
              <w:bottom w:val="single" w:sz="8" w:color="A5A5A5"/>
            </w:tcBorders>
            <w:gridSpan w:val="3"/>
          </w:tcPr>
          <w:p>
            <w:pPr>
              <w:spacing w:after="0" w:line="20" w:lineRule="exact"/>
              <w:rPr>
                <w:sz w:val="1"/>
                <w:szCs w:val="1"/>
                <w:color w:val="auto"/>
              </w:rPr>
            </w:pPr>
          </w:p>
        </w:tc>
        <w:tc>
          <w:tcPr>
            <w:tcW w:w="580" w:type="dxa"/>
            <w:vAlign w:val="bottom"/>
            <w:tcBorders>
              <w:bottom w:val="single" w:sz="8" w:color="A5A5A5"/>
            </w:tcBorders>
            <w:gridSpan w:val="2"/>
          </w:tcPr>
          <w:p>
            <w:pPr>
              <w:spacing w:after="0" w:line="20" w:lineRule="exact"/>
              <w:rPr>
                <w:sz w:val="1"/>
                <w:szCs w:val="1"/>
                <w:color w:val="auto"/>
              </w:rPr>
            </w:pPr>
          </w:p>
        </w:tc>
        <w:tc>
          <w:tcPr>
            <w:tcW w:w="160" w:type="dxa"/>
            <w:vAlign w:val="bottom"/>
            <w:tcBorders>
              <w:bottom w:val="single" w:sz="8" w:color="A5A5A5"/>
            </w:tcBorders>
            <w:gridSpan w:val="2"/>
          </w:tcPr>
          <w:p>
            <w:pPr>
              <w:spacing w:after="0" w:line="20" w:lineRule="exact"/>
              <w:rPr>
                <w:sz w:val="1"/>
                <w:szCs w:val="1"/>
                <w:color w:val="auto"/>
              </w:rPr>
            </w:pPr>
          </w:p>
        </w:tc>
        <w:tc>
          <w:tcPr>
            <w:tcW w:w="480" w:type="dxa"/>
            <w:vAlign w:val="bottom"/>
            <w:tcBorders>
              <w:bottom w:val="single" w:sz="8" w:color="A5A5A5"/>
            </w:tcBorders>
            <w:gridSpan w:val="4"/>
          </w:tcPr>
          <w:p>
            <w:pPr>
              <w:spacing w:after="0" w:line="20" w:lineRule="exact"/>
              <w:rPr>
                <w:sz w:val="1"/>
                <w:szCs w:val="1"/>
                <w:color w:val="auto"/>
              </w:rPr>
            </w:pPr>
          </w:p>
        </w:tc>
        <w:tc>
          <w:tcPr>
            <w:tcW w:w="260" w:type="dxa"/>
            <w:vAlign w:val="bottom"/>
            <w:tcBorders>
              <w:bottom w:val="single" w:sz="8" w:color="A5A5A5"/>
            </w:tcBorders>
            <w:gridSpan w:val="2"/>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360" w:type="dxa"/>
            <w:vAlign w:val="bottom"/>
            <w:tcBorders>
              <w:bottom w:val="single" w:sz="8" w:color="A5A5A5"/>
            </w:tcBorders>
            <w:gridSpan w:val="5"/>
          </w:tcPr>
          <w:p>
            <w:pPr>
              <w:spacing w:after="0" w:line="20" w:lineRule="exact"/>
              <w:rPr>
                <w:sz w:val="1"/>
                <w:szCs w:val="1"/>
                <w:color w:val="auto"/>
              </w:rPr>
            </w:pPr>
          </w:p>
        </w:tc>
        <w:tc>
          <w:tcPr>
            <w:tcW w:w="60" w:type="dxa"/>
            <w:vAlign w:val="bottom"/>
            <w:tcBorders>
              <w:bottom w:val="single" w:sz="8" w:color="A5A5A5"/>
            </w:tcBorders>
            <w:gridSpan w:val="2"/>
          </w:tcPr>
          <w:p>
            <w:pPr>
              <w:spacing w:after="0" w:line="20" w:lineRule="exact"/>
              <w:rPr>
                <w:sz w:val="1"/>
                <w:szCs w:val="1"/>
                <w:color w:val="auto"/>
              </w:rPr>
            </w:pPr>
          </w:p>
        </w:tc>
        <w:tc>
          <w:tcPr>
            <w:tcW w:w="80" w:type="dxa"/>
            <w:vAlign w:val="bottom"/>
            <w:tcBorders>
              <w:bottom w:val="single" w:sz="8" w:color="A5A5A5"/>
            </w:tcBorders>
            <w:gridSpan w:val="2"/>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vMerge w:val="continue"/>
          </w:tcPr>
          <w:p>
            <w:pPr>
              <w:spacing w:after="0" w:line="20" w:lineRule="exact"/>
              <w:rPr>
                <w:sz w:val="1"/>
                <w:szCs w:val="1"/>
                <w:color w:val="auto"/>
              </w:rPr>
            </w:pPr>
          </w:p>
        </w:tc>
        <w:tc>
          <w:tcPr>
            <w:tcW w:w="80" w:type="dxa"/>
            <w:vAlign w:val="bottom"/>
            <w:tcBorders>
              <w:bottom w:val="single" w:sz="8" w:color="A5A5A5"/>
            </w:tcBorders>
            <w:vMerge w:val="continue"/>
          </w:tcPr>
          <w:p>
            <w:pPr>
              <w:spacing w:after="0" w:line="20" w:lineRule="exact"/>
              <w:rPr>
                <w:sz w:val="1"/>
                <w:szCs w:val="1"/>
                <w:color w:val="auto"/>
              </w:rPr>
            </w:pPr>
          </w:p>
        </w:tc>
        <w:tc>
          <w:tcPr>
            <w:tcW w:w="140" w:type="dxa"/>
            <w:vAlign w:val="bottom"/>
            <w:tcBorders>
              <w:bottom w:val="single" w:sz="8" w:color="A5A5A5"/>
            </w:tcBorders>
            <w:gridSpan w:val="3"/>
            <w:vMerge w:val="continue"/>
          </w:tcPr>
          <w:p>
            <w:pPr>
              <w:spacing w:after="0" w:line="20" w:lineRule="exact"/>
              <w:rPr>
                <w:sz w:val="1"/>
                <w:szCs w:val="1"/>
                <w:color w:val="auto"/>
              </w:rPr>
            </w:pPr>
          </w:p>
        </w:tc>
        <w:tc>
          <w:tcPr>
            <w:tcW w:w="180" w:type="dxa"/>
            <w:vAlign w:val="bottom"/>
            <w:tcBorders>
              <w:bottom w:val="single" w:sz="8" w:color="A5A5A5"/>
            </w:tcBorders>
            <w:gridSpan w:val="4"/>
            <w:vMerge w:val="continue"/>
          </w:tcPr>
          <w:p>
            <w:pPr>
              <w:spacing w:after="0" w:line="20" w:lineRule="exact"/>
              <w:rPr>
                <w:sz w:val="1"/>
                <w:szCs w:val="1"/>
                <w:color w:val="auto"/>
              </w:rPr>
            </w:pPr>
          </w:p>
        </w:tc>
        <w:tc>
          <w:tcPr>
            <w:tcW w:w="60" w:type="dxa"/>
            <w:vAlign w:val="bottom"/>
            <w:tcBorders>
              <w:bottom w:val="single" w:sz="8" w:color="A5A5A5"/>
            </w:tcBorders>
            <w:vMerge w:val="continue"/>
          </w:tcPr>
          <w:p>
            <w:pPr>
              <w:spacing w:after="0" w:line="20" w:lineRule="exact"/>
              <w:rPr>
                <w:sz w:val="1"/>
                <w:szCs w:val="1"/>
                <w:color w:val="auto"/>
              </w:rPr>
            </w:pPr>
          </w:p>
        </w:tc>
        <w:tc>
          <w:tcPr>
            <w:tcW w:w="80" w:type="dxa"/>
            <w:vAlign w:val="bottom"/>
            <w:tcBorders>
              <w:bottom w:val="single" w:sz="8" w:color="A5A5A5"/>
            </w:tcBorders>
            <w:gridSpan w:val="2"/>
            <w:vMerge w:val="continue"/>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gridSpan w:val="5"/>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60" w:type="dxa"/>
            <w:vAlign w:val="bottom"/>
            <w:tcBorders>
              <w:bottom w:val="single" w:sz="8" w:color="0000EE"/>
            </w:tcBorders>
            <w:gridSpan w:val="13"/>
          </w:tcPr>
          <w:p>
            <w:pPr>
              <w:spacing w:after="0" w:line="20" w:lineRule="exact"/>
              <w:rPr>
                <w:sz w:val="1"/>
                <w:szCs w:val="1"/>
                <w:color w:val="auto"/>
              </w:rPr>
            </w:pPr>
          </w:p>
        </w:tc>
        <w:tc>
          <w:tcPr>
            <w:tcW w:w="1820" w:type="dxa"/>
            <w:vAlign w:val="bottom"/>
            <w:gridSpan w:val="25"/>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w:t>
            </w:r>
          </w:p>
        </w:tc>
        <w:tc>
          <w:tcPr>
            <w:tcW w:w="300" w:type="dxa"/>
            <w:vAlign w:val="bottom"/>
            <w:gridSpan w:val="4"/>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4"/>
                <w:szCs w:val="14"/>
                <w:i w:val="1"/>
                <w:iCs w:val="1"/>
                <w:color w:val="0000EE"/>
                <w:w w:val="89"/>
              </w:rPr>
              <w:t>89</w:t>
            </w:r>
          </w:p>
        </w:tc>
        <w:tc>
          <w:tcPr>
            <w:tcW w:w="2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180" w:type="dxa"/>
            <w:vAlign w:val="bottom"/>
            <w:gridSpan w:val="2"/>
          </w:tcPr>
          <w:p>
            <w:pPr>
              <w:spacing w:after="0" w:line="20" w:lineRule="exact"/>
              <w:rPr>
                <w:sz w:val="1"/>
                <w:szCs w:val="1"/>
                <w:color w:val="auto"/>
              </w:rPr>
            </w:pPr>
          </w:p>
        </w:tc>
        <w:tc>
          <w:tcPr>
            <w:tcW w:w="2120" w:type="dxa"/>
            <w:vAlign w:val="bottom"/>
            <w:gridSpan w:val="13"/>
            <w:vMerge w:val="restart"/>
          </w:tcPr>
          <w:p>
            <w:pPr>
              <w:spacing w:after="0"/>
              <w:rPr>
                <w:sz w:val="20"/>
                <w:szCs w:val="20"/>
                <w:color w:val="auto"/>
              </w:rPr>
            </w:pPr>
            <w:r>
              <w:rPr>
                <w:rFonts w:ascii="Arial" w:cs="Arial" w:eastAsia="Arial" w:hAnsi="Arial"/>
                <w:sz w:val="14"/>
                <w:szCs w:val="14"/>
                <w:i w:val="1"/>
                <w:iCs w:val="1"/>
                <w:color w:val="0000EE"/>
              </w:rPr>
              <w:t>Delinquent Section 16(a) Reports</w:t>
            </w:r>
          </w:p>
        </w:tc>
        <w:tc>
          <w:tcPr>
            <w:tcW w:w="1340" w:type="dxa"/>
            <w:vAlign w:val="bottom"/>
            <w:gridSpan w:val="23"/>
          </w:tcPr>
          <w:p>
            <w:pPr>
              <w:spacing w:after="0" w:line="20" w:lineRule="exact"/>
              <w:rPr>
                <w:sz w:val="1"/>
                <w:szCs w:val="1"/>
                <w:color w:val="auto"/>
              </w:rPr>
            </w:pP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i w:val="1"/>
                <w:iCs w:val="1"/>
                <w:color w:val="auto"/>
              </w:rPr>
              <w:t>​</w:t>
            </w: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0" w:lineRule="exact"/>
              <w:rPr>
                <w:sz w:val="1"/>
                <w:szCs w:val="1"/>
                <w:color w:val="auto"/>
              </w:rPr>
            </w:pPr>
          </w:p>
        </w:tc>
        <w:tc>
          <w:tcPr>
            <w:tcW w:w="4340" w:type="dxa"/>
            <w:vAlign w:val="bottom"/>
            <w:tcBorders>
              <w:bottom w:val="single" w:sz="8" w:color="D8D8D8"/>
            </w:tcBorders>
            <w:gridSpan w:val="47"/>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120" w:type="dxa"/>
            <w:vAlign w:val="bottom"/>
            <w:gridSpan w:val="1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gridSpan w:val="5"/>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gridSpan w:val="7"/>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80" w:type="dxa"/>
            <w:vAlign w:val="bottom"/>
          </w:tcPr>
          <w:p>
            <w:pPr>
              <w:spacing w:after="0"/>
              <w:rPr>
                <w:sz w:val="8"/>
                <w:szCs w:val="8"/>
                <w:color w:val="auto"/>
              </w:rPr>
            </w:pPr>
          </w:p>
        </w:tc>
        <w:tc>
          <w:tcPr>
            <w:tcW w:w="360" w:type="dxa"/>
            <w:vAlign w:val="bottom"/>
            <w:gridSpan w:val="4"/>
            <w:vMerge w:val="restart"/>
          </w:tcPr>
          <w:p>
            <w:pPr>
              <w:spacing w:after="0" w:line="142"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42" w:lineRule="exact"/>
              <w:rPr>
                <w:sz w:val="20"/>
                <w:szCs w:val="20"/>
                <w:color w:val="auto"/>
              </w:rPr>
            </w:pPr>
            <w:r>
              <w:rPr>
                <w:rFonts w:ascii="Arial" w:cs="Arial" w:eastAsia="Arial" w:hAnsi="Arial"/>
                <w:sz w:val="14"/>
                <w:szCs w:val="14"/>
                <w:i w:val="1"/>
                <w:iCs w:val="1"/>
                <w:color w:val="0000EE"/>
                <w:w w:val="89"/>
              </w:rPr>
              <w:t>41</w:t>
            </w:r>
          </w:p>
        </w:tc>
        <w:tc>
          <w:tcPr>
            <w:tcW w:w="180" w:type="dxa"/>
            <w:vAlign w:val="bottom"/>
            <w:vMerge w:val="restart"/>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8"/>
                <w:szCs w:val="8"/>
                <w:color w:val="auto"/>
              </w:rPr>
            </w:pPr>
          </w:p>
        </w:tc>
        <w:tc>
          <w:tcPr>
            <w:tcW w:w="3600" w:type="dxa"/>
            <w:vAlign w:val="bottom"/>
            <w:gridSpan w:val="39"/>
            <w:vMerge w:val="restart"/>
          </w:tcPr>
          <w:p>
            <w:pPr>
              <w:ind w:left="120"/>
              <w:spacing w:after="0" w:line="142" w:lineRule="exact"/>
              <w:rPr>
                <w:sz w:val="20"/>
                <w:szCs w:val="20"/>
                <w:color w:val="auto"/>
              </w:rPr>
            </w:pPr>
            <w:r>
              <w:rPr>
                <w:rFonts w:ascii="Arial" w:cs="Arial" w:eastAsia="Arial" w:hAnsi="Arial"/>
                <w:sz w:val="14"/>
                <w:szCs w:val="14"/>
                <w:i w:val="1"/>
                <w:iCs w:val="1"/>
                <w:color w:val="0000EE"/>
              </w:rPr>
              <w:t>2023 Business Performance</w:t>
            </w:r>
          </w:p>
        </w:tc>
        <w:tc>
          <w:tcPr>
            <w:tcW w:w="48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0000EE"/>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120" w:type="dxa"/>
            <w:vAlign w:val="bottom"/>
            <w:tcBorders>
              <w:bottom w:val="single" w:sz="8" w:color="0000EE"/>
            </w:tcBorders>
            <w:gridSpan w:val="1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60" w:type="dxa"/>
            <w:vAlign w:val="bottom"/>
            <w:gridSpan w:val="5"/>
            <w:vMerge w:val="continue"/>
          </w:tcPr>
          <w:p>
            <w:pPr>
              <w:spacing w:after="0"/>
              <w:rPr>
                <w:sz w:val="8"/>
                <w:szCs w:val="8"/>
                <w:color w:val="auto"/>
              </w:rPr>
            </w:pPr>
          </w:p>
        </w:tc>
        <w:tc>
          <w:tcPr>
            <w:tcW w:w="60" w:type="dxa"/>
            <w:vAlign w:val="bottom"/>
            <w:gridSpan w:val="2"/>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20" w:type="dxa"/>
            <w:vAlign w:val="bottom"/>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360" w:type="dxa"/>
            <w:vAlign w:val="bottom"/>
            <w:gridSpan w:val="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3600" w:type="dxa"/>
            <w:vAlign w:val="bottom"/>
            <w:gridSpan w:val="39"/>
            <w:vMerge w:val="continue"/>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6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180" w:type="dxa"/>
            <w:vAlign w:val="bottom"/>
            <w:tcBorders>
              <w:bottom w:val="single" w:sz="8" w:color="D8D8D8"/>
            </w:tcBorders>
          </w:tcPr>
          <w:p>
            <w:pPr>
              <w:spacing w:after="0"/>
              <w:rPr>
                <w:sz w:val="3"/>
                <w:szCs w:val="3"/>
                <w:color w:val="auto"/>
              </w:rPr>
            </w:pPr>
          </w:p>
        </w:tc>
        <w:tc>
          <w:tcPr>
            <w:tcW w:w="40" w:type="dxa"/>
            <w:vAlign w:val="bottom"/>
            <w:tcBorders>
              <w:bottom w:val="single" w:sz="8" w:color="D8D8D8"/>
            </w:tcBorders>
          </w:tcPr>
          <w:p>
            <w:pPr>
              <w:spacing w:after="0"/>
              <w:rPr>
                <w:sz w:val="3"/>
                <w:szCs w:val="3"/>
                <w:color w:val="auto"/>
              </w:rPr>
            </w:pPr>
          </w:p>
        </w:tc>
        <w:tc>
          <w:tcPr>
            <w:tcW w:w="60" w:type="dxa"/>
            <w:vAlign w:val="bottom"/>
            <w:tcBorders>
              <w:bottom w:val="single" w:sz="8" w:color="D8D8D8"/>
            </w:tcBorders>
          </w:tcPr>
          <w:p>
            <w:pPr>
              <w:spacing w:after="0"/>
              <w:rPr>
                <w:sz w:val="3"/>
                <w:szCs w:val="3"/>
                <w:color w:val="auto"/>
              </w:rPr>
            </w:pPr>
          </w:p>
        </w:tc>
        <w:tc>
          <w:tcPr>
            <w:tcW w:w="16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vMerge w:val="continue"/>
          </w:tcPr>
          <w:p>
            <w:pPr>
              <w:spacing w:after="0"/>
              <w:rPr>
                <w:sz w:val="3"/>
                <w:szCs w:val="3"/>
                <w:color w:val="auto"/>
              </w:rPr>
            </w:pPr>
          </w:p>
        </w:tc>
        <w:tc>
          <w:tcPr>
            <w:tcW w:w="160" w:type="dxa"/>
            <w:vAlign w:val="bottom"/>
            <w:tcBorders>
              <w:bottom w:val="single" w:sz="8" w:color="D8D8D8"/>
            </w:tcBorders>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160" w:type="dxa"/>
            <w:vAlign w:val="bottom"/>
            <w:tcBorders>
              <w:bottom w:val="single" w:sz="8" w:color="D8D8D8"/>
            </w:tcBorders>
            <w:vMerge w:val="continue"/>
          </w:tcPr>
          <w:p>
            <w:pPr>
              <w:spacing w:after="0"/>
              <w:rPr>
                <w:sz w:val="3"/>
                <w:szCs w:val="3"/>
                <w:color w:val="auto"/>
              </w:rPr>
            </w:pPr>
          </w:p>
        </w:tc>
        <w:tc>
          <w:tcPr>
            <w:tcW w:w="480" w:type="dxa"/>
            <w:vAlign w:val="bottom"/>
            <w:tcBorders>
              <w:bottom w:val="single" w:sz="8" w:color="D8D8D8"/>
            </w:tcBorders>
            <w:gridSpan w:val="2"/>
          </w:tcPr>
          <w:p>
            <w:pPr>
              <w:spacing w:after="0"/>
              <w:rPr>
                <w:sz w:val="3"/>
                <w:szCs w:val="3"/>
                <w:color w:val="auto"/>
              </w:rPr>
            </w:pPr>
          </w:p>
        </w:tc>
        <w:tc>
          <w:tcPr>
            <w:tcW w:w="580" w:type="dxa"/>
            <w:vAlign w:val="bottom"/>
            <w:tcBorders>
              <w:bottom w:val="single" w:sz="8" w:color="D8D8D8"/>
            </w:tcBorders>
            <w:gridSpan w:val="2"/>
          </w:tcPr>
          <w:p>
            <w:pPr>
              <w:spacing w:after="0"/>
              <w:rPr>
                <w:sz w:val="3"/>
                <w:szCs w:val="3"/>
                <w:color w:val="auto"/>
              </w:rPr>
            </w:pPr>
          </w:p>
        </w:tc>
        <w:tc>
          <w:tcPr>
            <w:tcW w:w="160" w:type="dxa"/>
            <w:vAlign w:val="bottom"/>
            <w:tcBorders>
              <w:bottom w:val="single" w:sz="8" w:color="D8D8D8"/>
            </w:tcBorders>
            <w:gridSpan w:val="2"/>
          </w:tcPr>
          <w:p>
            <w:pPr>
              <w:spacing w:after="0"/>
              <w:rPr>
                <w:sz w:val="3"/>
                <w:szCs w:val="3"/>
                <w:color w:val="auto"/>
              </w:rPr>
            </w:pPr>
          </w:p>
        </w:tc>
        <w:tc>
          <w:tcPr>
            <w:tcW w:w="480" w:type="dxa"/>
            <w:vAlign w:val="bottom"/>
            <w:tcBorders>
              <w:bottom w:val="single" w:sz="8" w:color="D8D8D8"/>
            </w:tcBorders>
            <w:gridSpan w:val="4"/>
          </w:tcPr>
          <w:p>
            <w:pPr>
              <w:spacing w:after="0"/>
              <w:rPr>
                <w:sz w:val="3"/>
                <w:szCs w:val="3"/>
                <w:color w:val="auto"/>
              </w:rPr>
            </w:pPr>
          </w:p>
        </w:tc>
        <w:tc>
          <w:tcPr>
            <w:tcW w:w="260" w:type="dxa"/>
            <w:vAlign w:val="bottom"/>
            <w:tcBorders>
              <w:bottom w:val="single" w:sz="8" w:color="D8D8D8"/>
            </w:tcBorders>
            <w:gridSpan w:val="2"/>
          </w:tcPr>
          <w:p>
            <w:pPr>
              <w:spacing w:after="0"/>
              <w:rPr>
                <w:sz w:val="3"/>
                <w:szCs w:val="3"/>
                <w:color w:val="auto"/>
              </w:rPr>
            </w:pPr>
          </w:p>
        </w:tc>
        <w:tc>
          <w:tcPr>
            <w:tcW w:w="160" w:type="dxa"/>
            <w:vAlign w:val="bottom"/>
            <w:tcBorders>
              <w:bottom w:val="single" w:sz="8" w:color="D8D8D8"/>
            </w:tcBorders>
          </w:tcPr>
          <w:p>
            <w:pPr>
              <w:spacing w:after="0"/>
              <w:rPr>
                <w:sz w:val="3"/>
                <w:szCs w:val="3"/>
                <w:color w:val="auto"/>
              </w:rPr>
            </w:pPr>
          </w:p>
        </w:tc>
        <w:tc>
          <w:tcPr>
            <w:tcW w:w="60" w:type="dxa"/>
            <w:vAlign w:val="bottom"/>
            <w:tcBorders>
              <w:bottom w:val="single" w:sz="8" w:color="D8D8D8"/>
            </w:tcBorders>
            <w:vMerge w:val="continue"/>
          </w:tcPr>
          <w:p>
            <w:pPr>
              <w:spacing w:after="0"/>
              <w:rPr>
                <w:sz w:val="3"/>
                <w:szCs w:val="3"/>
                <w:color w:val="auto"/>
              </w:rPr>
            </w:pPr>
          </w:p>
        </w:tc>
        <w:tc>
          <w:tcPr>
            <w:tcW w:w="360" w:type="dxa"/>
            <w:vAlign w:val="bottom"/>
            <w:tcBorders>
              <w:bottom w:val="single" w:sz="8" w:color="D8D8D8"/>
            </w:tcBorders>
            <w:gridSpan w:val="5"/>
            <w:vMerge w:val="continue"/>
          </w:tcPr>
          <w:p>
            <w:pPr>
              <w:spacing w:after="0"/>
              <w:rPr>
                <w:sz w:val="3"/>
                <w:szCs w:val="3"/>
                <w:color w:val="auto"/>
              </w:rPr>
            </w:pPr>
          </w:p>
        </w:tc>
        <w:tc>
          <w:tcPr>
            <w:tcW w:w="60" w:type="dxa"/>
            <w:vAlign w:val="bottom"/>
            <w:tcBorders>
              <w:bottom w:val="single" w:sz="8" w:color="D8D8D8"/>
            </w:tcBorders>
            <w:gridSpan w:val="2"/>
            <w:vMerge w:val="continue"/>
          </w:tcPr>
          <w:p>
            <w:pPr>
              <w:spacing w:after="0"/>
              <w:rPr>
                <w:sz w:val="3"/>
                <w:szCs w:val="3"/>
                <w:color w:val="auto"/>
              </w:rPr>
            </w:pPr>
          </w:p>
        </w:tc>
        <w:tc>
          <w:tcPr>
            <w:tcW w:w="80" w:type="dxa"/>
            <w:vAlign w:val="bottom"/>
            <w:tcBorders>
              <w:bottom w:val="single" w:sz="8" w:color="D8D8D8"/>
            </w:tcBorders>
            <w:gridSpan w:val="2"/>
            <w:vMerge w:val="continue"/>
          </w:tcPr>
          <w:p>
            <w:pPr>
              <w:spacing w:after="0"/>
              <w:rPr>
                <w:sz w:val="3"/>
                <w:szCs w:val="3"/>
                <w:color w:val="auto"/>
              </w:rPr>
            </w:pPr>
          </w:p>
        </w:tc>
        <w:tc>
          <w:tcPr>
            <w:tcW w:w="240" w:type="dxa"/>
            <w:vAlign w:val="bottom"/>
            <w:tcBorders>
              <w:bottom w:val="single" w:sz="8" w:color="D8D8D8"/>
            </w:tcBorders>
            <w:gridSpan w:val="2"/>
            <w:vMerge w:val="continue"/>
          </w:tcPr>
          <w:p>
            <w:pPr>
              <w:spacing w:after="0"/>
              <w:rPr>
                <w:sz w:val="3"/>
                <w:szCs w:val="3"/>
                <w:color w:val="auto"/>
              </w:rPr>
            </w:pPr>
          </w:p>
        </w:tc>
        <w:tc>
          <w:tcPr>
            <w:tcW w:w="80" w:type="dxa"/>
            <w:vAlign w:val="bottom"/>
            <w:tcBorders>
              <w:bottom w:val="single" w:sz="8" w:color="D8D8D8"/>
            </w:tcBorders>
            <w:vMerge w:val="continue"/>
          </w:tcPr>
          <w:p>
            <w:pPr>
              <w:spacing w:after="0"/>
              <w:rPr>
                <w:sz w:val="3"/>
                <w:szCs w:val="3"/>
                <w:color w:val="auto"/>
              </w:rPr>
            </w:pPr>
          </w:p>
        </w:tc>
        <w:tc>
          <w:tcPr>
            <w:tcW w:w="320" w:type="dxa"/>
            <w:vAlign w:val="bottom"/>
            <w:tcBorders>
              <w:bottom w:val="single" w:sz="8" w:color="D8D8D8"/>
            </w:tcBorders>
            <w:gridSpan w:val="7"/>
            <w:vMerge w:val="continue"/>
          </w:tcPr>
          <w:p>
            <w:pPr>
              <w:spacing w:after="0"/>
              <w:rPr>
                <w:sz w:val="3"/>
                <w:szCs w:val="3"/>
                <w:color w:val="auto"/>
              </w:rPr>
            </w:pPr>
          </w:p>
        </w:tc>
        <w:tc>
          <w:tcPr>
            <w:tcW w:w="60" w:type="dxa"/>
            <w:vAlign w:val="bottom"/>
            <w:tcBorders>
              <w:bottom w:val="single" w:sz="8" w:color="D8D8D8"/>
            </w:tcBorders>
            <w:vMerge w:val="continue"/>
          </w:tcPr>
          <w:p>
            <w:pPr>
              <w:spacing w:after="0"/>
              <w:rPr>
                <w:sz w:val="3"/>
                <w:szCs w:val="3"/>
                <w:color w:val="auto"/>
              </w:rPr>
            </w:pPr>
          </w:p>
        </w:tc>
        <w:tc>
          <w:tcPr>
            <w:tcW w:w="80" w:type="dxa"/>
            <w:vAlign w:val="bottom"/>
            <w:tcBorders>
              <w:bottom w:val="single" w:sz="8" w:color="D8D8D8"/>
            </w:tcBorders>
            <w:gridSpan w:val="2"/>
            <w:vMerge w:val="continue"/>
          </w:tcPr>
          <w:p>
            <w:pPr>
              <w:spacing w:after="0"/>
              <w:rPr>
                <w:sz w:val="3"/>
                <w:szCs w:val="3"/>
                <w:color w:val="auto"/>
              </w:rPr>
            </w:pPr>
          </w:p>
        </w:tc>
        <w:tc>
          <w:tcPr>
            <w:tcW w:w="20" w:type="dxa"/>
            <w:vAlign w:val="bottom"/>
            <w:tcBorders>
              <w:bottom w:val="single" w:sz="8" w:color="D8D8D8"/>
            </w:tcBorders>
          </w:tcPr>
          <w:p>
            <w:pPr>
              <w:spacing w:after="0"/>
              <w:rPr>
                <w:sz w:val="3"/>
                <w:szCs w:val="3"/>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i w:val="1"/>
                <w:iCs w:val="1"/>
                <w:color w:val="auto"/>
                <w:w w:val="4294942296"/>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800" w:type="dxa"/>
            <w:vAlign w:val="bottom"/>
            <w:tcBorders>
              <w:top w:val="single" w:sz="8" w:color="0000EE"/>
              <w:bottom w:val="single" w:sz="8" w:color="D8D8D8"/>
            </w:tcBorders>
            <w:gridSpan w:val="15"/>
          </w:tcPr>
          <w:p>
            <w:pPr>
              <w:spacing w:after="0" w:line="20" w:lineRule="exact"/>
              <w:rPr>
                <w:sz w:val="1"/>
                <w:szCs w:val="1"/>
                <w:color w:val="auto"/>
              </w:rPr>
            </w:pPr>
          </w:p>
        </w:tc>
        <w:tc>
          <w:tcPr>
            <w:tcW w:w="1680" w:type="dxa"/>
            <w:vAlign w:val="bottom"/>
            <w:tcBorders>
              <w:bottom w:val="single" w:sz="8" w:color="D8D8D8"/>
            </w:tcBorders>
            <w:gridSpan w:val="23"/>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vMerge w:val="restart"/>
          </w:tcPr>
          <w:p>
            <w:pPr>
              <w:ind w:left="20"/>
              <w:spacing w:after="0" w:line="149" w:lineRule="exact"/>
              <w:rPr>
                <w:sz w:val="20"/>
                <w:szCs w:val="20"/>
                <w:color w:val="auto"/>
              </w:rPr>
            </w:pPr>
            <w:r>
              <w:rPr>
                <w:rFonts w:ascii="Arial" w:cs="Arial" w:eastAsia="Arial" w:hAnsi="Arial"/>
                <w:sz w:val="14"/>
                <w:szCs w:val="14"/>
                <w:i w:val="1"/>
                <w:iCs w:val="1"/>
                <w:color w:val="auto"/>
              </w:rPr>
              <w:t>​</w:t>
            </w:r>
          </w:p>
        </w:tc>
        <w:tc>
          <w:tcPr>
            <w:tcW w:w="300" w:type="dxa"/>
            <w:vAlign w:val="bottom"/>
            <w:gridSpan w:val="4"/>
          </w:tcPr>
          <w:p>
            <w:pPr>
              <w:spacing w:after="0" w:line="20" w:lineRule="exact"/>
              <w:rPr>
                <w:sz w:val="1"/>
                <w:szCs w:val="1"/>
                <w:color w:val="auto"/>
              </w:rPr>
            </w:pPr>
          </w:p>
        </w:tc>
        <w:tc>
          <w:tcPr>
            <w:tcW w:w="160" w:type="dxa"/>
            <w:vAlign w:val="bottom"/>
            <w:vMerge w:val="restart"/>
          </w:tcPr>
          <w:p>
            <w:pPr>
              <w:spacing w:after="0" w:line="135" w:lineRule="exact"/>
              <w:rPr>
                <w:sz w:val="20"/>
                <w:szCs w:val="20"/>
                <w:color w:val="auto"/>
              </w:rPr>
            </w:pPr>
            <w:r>
              <w:rPr>
                <w:rFonts w:ascii="Arial" w:cs="Arial" w:eastAsia="Arial" w:hAnsi="Arial"/>
                <w:sz w:val="14"/>
                <w:szCs w:val="14"/>
                <w:i w:val="1"/>
                <w:iCs w:val="1"/>
                <w:color w:val="0000EE"/>
                <w:w w:val="89"/>
              </w:rPr>
              <w:t>89</w:t>
            </w:r>
          </w:p>
        </w:tc>
        <w:tc>
          <w:tcPr>
            <w:tcW w:w="20" w:type="dxa"/>
            <w:vAlign w:val="bottom"/>
            <w:vMerge w:val="restart"/>
          </w:tcPr>
          <w:p>
            <w:pPr>
              <w:spacing w:after="0" w:line="20" w:lineRule="exact"/>
              <w:rPr>
                <w:sz w:val="1"/>
                <w:szCs w:val="1"/>
                <w:color w:val="auto"/>
              </w:rPr>
            </w:pPr>
          </w:p>
        </w:tc>
        <w:tc>
          <w:tcPr>
            <w:tcW w:w="160" w:type="dxa"/>
            <w:vAlign w:val="bottom"/>
            <w:vMerge w:val="restart"/>
          </w:tcPr>
          <w:p>
            <w:pPr>
              <w:ind w:left="20"/>
              <w:spacing w:after="0" w:line="149" w:lineRule="exact"/>
              <w:rPr>
                <w:sz w:val="20"/>
                <w:szCs w:val="20"/>
                <w:color w:val="auto"/>
              </w:rPr>
            </w:pPr>
            <w:r>
              <w:rPr>
                <w:rFonts w:ascii="Arial" w:cs="Arial" w:eastAsia="Arial" w:hAnsi="Arial"/>
                <w:sz w:val="14"/>
                <w:szCs w:val="14"/>
                <w:i w:val="1"/>
                <w:iCs w:val="1"/>
                <w:color w:val="auto"/>
              </w:rPr>
              <w:t>​ ​</w:t>
            </w: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80" w:type="dxa"/>
            <w:vAlign w:val="bottom"/>
            <w:gridSpan w:val="23"/>
            <w:vMerge w:val="restart"/>
          </w:tcPr>
          <w:p>
            <w:pPr>
              <w:spacing w:after="0" w:line="135" w:lineRule="exact"/>
              <w:rPr>
                <w:sz w:val="20"/>
                <w:szCs w:val="20"/>
                <w:color w:val="auto"/>
              </w:rPr>
            </w:pPr>
            <w:r>
              <w:rPr>
                <w:rFonts w:ascii="Arial" w:cs="Arial" w:eastAsia="Arial" w:hAnsi="Arial"/>
                <w:sz w:val="14"/>
                <w:szCs w:val="14"/>
                <w:i w:val="1"/>
                <w:iCs w:val="1"/>
                <w:color w:val="0000EE"/>
              </w:rPr>
              <w:t>Business Relationships and Related Party</w:t>
            </w:r>
          </w:p>
        </w:tc>
        <w:tc>
          <w:tcPr>
            <w:tcW w:w="24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gridSpan w:val="7"/>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80" w:type="dxa"/>
            <w:vAlign w:val="bottom"/>
          </w:tcPr>
          <w:p>
            <w:pPr>
              <w:spacing w:after="0"/>
              <w:rPr>
                <w:sz w:val="9"/>
                <w:szCs w:val="9"/>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42</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9"/>
                <w:szCs w:val="9"/>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Capital Highlights</w:t>
            </w:r>
          </w:p>
        </w:tc>
        <w:tc>
          <w:tcPr>
            <w:tcW w:w="48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0000EE"/>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2680" w:type="dxa"/>
            <w:vAlign w:val="bottom"/>
            <w:tcBorders>
              <w:bottom w:val="single" w:sz="8" w:color="0000EE"/>
            </w:tcBorders>
            <w:gridSpan w:val="23"/>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20" w:type="dxa"/>
            <w:vAlign w:val="bottom"/>
            <w:gridSpan w:val="7"/>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continue"/>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gridSpan w:val="39"/>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gridSpan w:val="37"/>
            <w:vMerge w:val="restart"/>
          </w:tcPr>
          <w:p>
            <w:pPr>
              <w:ind w:left="160"/>
              <w:spacing w:after="0" w:line="155" w:lineRule="exact"/>
              <w:rPr>
                <w:sz w:val="20"/>
                <w:szCs w:val="20"/>
                <w:color w:val="auto"/>
              </w:rPr>
            </w:pPr>
            <w:r>
              <w:rPr>
                <w:rFonts w:ascii="Arial" w:cs="Arial" w:eastAsia="Arial" w:hAnsi="Arial"/>
                <w:sz w:val="14"/>
                <w:szCs w:val="14"/>
                <w:i w:val="1"/>
                <w:iCs w:val="1"/>
                <w:color w:val="0000EE"/>
              </w:rPr>
              <w:t>Transactions Policy</w:t>
            </w: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120" w:type="dxa"/>
            <w:vAlign w:val="bottom"/>
            <w:tcBorders>
              <w:top w:val="single" w:sz="8" w:color="0000EE"/>
              <w:bottom w:val="single" w:sz="8" w:color="D8D8D8"/>
            </w:tcBorders>
            <w:gridSpan w:val="7"/>
          </w:tcPr>
          <w:p>
            <w:pPr>
              <w:spacing w:after="0" w:line="20" w:lineRule="exact"/>
              <w:rPr>
                <w:sz w:val="1"/>
                <w:szCs w:val="1"/>
                <w:color w:val="auto"/>
              </w:rPr>
            </w:pPr>
          </w:p>
        </w:tc>
        <w:tc>
          <w:tcPr>
            <w:tcW w:w="2380" w:type="dxa"/>
            <w:vAlign w:val="bottom"/>
            <w:tcBorders>
              <w:bottom w:val="single" w:sz="8" w:color="D8D8D8"/>
            </w:tcBorders>
            <w:gridSpan w:val="32"/>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42</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5"/>
                <w:szCs w:val="5"/>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2023 Compensation Summary</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620" w:type="dxa"/>
            <w:vAlign w:val="bottom"/>
            <w:gridSpan w:val="37"/>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460" w:type="dxa"/>
            <w:vAlign w:val="bottom"/>
            <w:tcBorders>
              <w:top w:val="single" w:sz="8" w:color="0000EE"/>
              <w:bottom w:val="single" w:sz="8" w:color="D8D8D8"/>
            </w:tcBorders>
          </w:tcPr>
          <w:p>
            <w:pPr>
              <w:spacing w:after="0" w:line="20" w:lineRule="exact"/>
              <w:rPr>
                <w:sz w:val="1"/>
                <w:szCs w:val="1"/>
                <w:color w:val="auto"/>
              </w:rPr>
            </w:pPr>
          </w:p>
        </w:tc>
        <w:tc>
          <w:tcPr>
            <w:tcW w:w="120" w:type="dxa"/>
            <w:vAlign w:val="bottom"/>
            <w:tcBorders>
              <w:top w:val="single" w:sz="8" w:color="0000EE"/>
              <w:bottom w:val="single" w:sz="8" w:color="D8D8D8"/>
            </w:tcBorders>
          </w:tcPr>
          <w:p>
            <w:pPr>
              <w:spacing w:after="0" w:line="20" w:lineRule="exact"/>
              <w:rPr>
                <w:sz w:val="1"/>
                <w:szCs w:val="1"/>
                <w:color w:val="auto"/>
              </w:rPr>
            </w:pPr>
          </w:p>
        </w:tc>
        <w:tc>
          <w:tcPr>
            <w:tcW w:w="140" w:type="dxa"/>
            <w:vAlign w:val="bottom"/>
            <w:tcBorders>
              <w:top w:val="single" w:sz="8" w:color="0000EE"/>
              <w:bottom w:val="single" w:sz="8" w:color="D8D8D8"/>
            </w:tcBorders>
          </w:tcPr>
          <w:p>
            <w:pPr>
              <w:spacing w:after="0" w:line="20" w:lineRule="exact"/>
              <w:rPr>
                <w:sz w:val="1"/>
                <w:szCs w:val="1"/>
                <w:color w:val="auto"/>
              </w:rPr>
            </w:pPr>
          </w:p>
        </w:tc>
        <w:tc>
          <w:tcPr>
            <w:tcW w:w="20" w:type="dxa"/>
            <w:vAlign w:val="bottom"/>
            <w:tcBorders>
              <w:top w:val="single" w:sz="8" w:color="0000EE"/>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tcPr>
          <w:p>
            <w:pPr>
              <w:spacing w:after="0" w:line="20" w:lineRule="exact"/>
              <w:rPr>
                <w:sz w:val="1"/>
                <w:szCs w:val="1"/>
                <w:color w:val="auto"/>
              </w:rPr>
            </w:pPr>
          </w:p>
        </w:tc>
        <w:tc>
          <w:tcPr>
            <w:tcW w:w="26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10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4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360" w:type="dxa"/>
            <w:vAlign w:val="bottom"/>
            <w:gridSpan w:val="4"/>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3600" w:type="dxa"/>
            <w:vAlign w:val="bottom"/>
            <w:gridSpan w:val="39"/>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360" w:type="dxa"/>
            <w:vAlign w:val="bottom"/>
            <w:gridSpan w:val="5"/>
            <w:vMerge w:val="restart"/>
          </w:tcPr>
          <w:p>
            <w:pPr>
              <w:ind w:left="20"/>
              <w:spacing w:after="0" w:line="250" w:lineRule="exact"/>
              <w:rPr>
                <w:sz w:val="20"/>
                <w:szCs w:val="20"/>
                <w:color w:val="auto"/>
              </w:rPr>
            </w:pPr>
            <w:r>
              <w:rPr>
                <w:rFonts w:ascii="Arial" w:cs="Arial" w:eastAsia="Arial" w:hAnsi="Arial"/>
                <w:sz w:val="28"/>
                <w:szCs w:val="28"/>
                <w:b w:val="1"/>
                <w:bCs w:val="1"/>
                <w:color w:val="000000"/>
                <w:vertAlign w:val="superscript"/>
              </w:rPr>
              <w:t>​</w:t>
            </w:r>
            <w:r>
              <w:rPr>
                <w:rFonts w:ascii="Arial" w:cs="Arial" w:eastAsia="Arial" w:hAnsi="Arial"/>
                <w:sz w:val="14"/>
                <w:szCs w:val="14"/>
                <w:b w:val="1"/>
                <w:bCs w:val="1"/>
                <w:color w:val="0000EE"/>
              </w:rPr>
              <w:t xml:space="preserve"> 90</w:t>
            </w: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940" w:type="dxa"/>
            <w:vAlign w:val="bottom"/>
            <w:tcBorders>
              <w:top w:val="single" w:sz="8" w:color="0000EE"/>
              <w:bottom w:val="single" w:sz="8" w:color="D8D8D8"/>
            </w:tcBorders>
            <w:gridSpan w:val="19"/>
          </w:tcPr>
          <w:p>
            <w:pPr>
              <w:spacing w:after="0" w:line="20" w:lineRule="exact"/>
              <w:rPr>
                <w:sz w:val="1"/>
                <w:szCs w:val="1"/>
                <w:color w:val="auto"/>
              </w:rPr>
            </w:pPr>
          </w:p>
        </w:tc>
        <w:tc>
          <w:tcPr>
            <w:tcW w:w="1540" w:type="dxa"/>
            <w:vAlign w:val="bottom"/>
            <w:tcBorders>
              <w:bottom w:val="single" w:sz="8" w:color="D8D8D8"/>
            </w:tcBorders>
            <w:gridSpan w:val="19"/>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360" w:type="dxa"/>
            <w:vAlign w:val="bottom"/>
            <w:gridSpan w:val="5"/>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360" w:type="dxa"/>
            <w:vAlign w:val="bottom"/>
            <w:gridSpan w:val="4"/>
          </w:tcPr>
          <w:p>
            <w:pPr>
              <w:spacing w:after="0" w:line="142"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i w:val="1"/>
                <w:iCs w:val="1"/>
                <w:color w:val="0000EE"/>
                <w:w w:val="89"/>
              </w:rPr>
              <w:t>43</w:t>
            </w:r>
          </w:p>
        </w:tc>
        <w:tc>
          <w:tcPr>
            <w:tcW w:w="180" w:type="dxa"/>
            <w:vAlign w:val="bottom"/>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5"/>
                <w:szCs w:val="15"/>
                <w:color w:val="auto"/>
              </w:rPr>
            </w:pPr>
          </w:p>
        </w:tc>
        <w:tc>
          <w:tcPr>
            <w:tcW w:w="3600" w:type="dxa"/>
            <w:vAlign w:val="bottom"/>
            <w:gridSpan w:val="39"/>
          </w:tcPr>
          <w:p>
            <w:pPr>
              <w:ind w:left="120"/>
              <w:spacing w:after="0" w:line="142" w:lineRule="exact"/>
              <w:rPr>
                <w:sz w:val="20"/>
                <w:szCs w:val="20"/>
                <w:color w:val="auto"/>
              </w:rPr>
            </w:pPr>
            <w:r>
              <w:rPr>
                <w:rFonts w:ascii="Arial" w:cs="Arial" w:eastAsia="Arial" w:hAnsi="Arial"/>
                <w:sz w:val="14"/>
                <w:szCs w:val="14"/>
                <w:i w:val="1"/>
                <w:iCs w:val="1"/>
                <w:color w:val="0000EE"/>
              </w:rPr>
              <w:t>Our Compensation Philosophy</w:t>
            </w:r>
          </w:p>
        </w:tc>
        <w:tc>
          <w:tcPr>
            <w:tcW w:w="480" w:type="dxa"/>
            <w:vAlign w:val="bottom"/>
            <w:gridSpan w:val="2"/>
            <w:vMerge w:val="continue"/>
          </w:tcPr>
          <w:p>
            <w:pPr>
              <w:spacing w:after="0"/>
              <w:rPr>
                <w:sz w:val="15"/>
                <w:szCs w:val="15"/>
                <w:color w:val="auto"/>
              </w:rPr>
            </w:pPr>
          </w:p>
        </w:tc>
        <w:tc>
          <w:tcPr>
            <w:tcW w:w="3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3640" w:type="dxa"/>
            <w:vAlign w:val="bottom"/>
            <w:gridSpan w:val="38"/>
          </w:tcPr>
          <w:p>
            <w:pPr>
              <w:ind w:left="20"/>
              <w:spacing w:after="0" w:line="142" w:lineRule="exact"/>
              <w:rPr>
                <w:sz w:val="20"/>
                <w:szCs w:val="20"/>
                <w:color w:val="auto"/>
              </w:rPr>
            </w:pPr>
            <w:r>
              <w:rPr>
                <w:rFonts w:ascii="Arial" w:cs="Arial" w:eastAsia="Arial" w:hAnsi="Arial"/>
                <w:sz w:val="14"/>
                <w:szCs w:val="14"/>
                <w:b w:val="1"/>
                <w:bCs w:val="1"/>
                <w:color w:val="0000EE"/>
              </w:rPr>
              <w:t>FREQUENTLY ASKED QUESTIONS ABOUT THE</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960" w:type="dxa"/>
            <w:vAlign w:val="bottom"/>
            <w:tcBorders>
              <w:top w:val="single" w:sz="8" w:color="0000EE"/>
              <w:bottom w:val="single" w:sz="8" w:color="D8D8D8"/>
            </w:tcBorders>
            <w:gridSpan w:val="20"/>
          </w:tcPr>
          <w:p>
            <w:pPr>
              <w:spacing w:after="0" w:line="20" w:lineRule="exact"/>
              <w:rPr>
                <w:sz w:val="1"/>
                <w:szCs w:val="1"/>
                <w:color w:val="auto"/>
              </w:rPr>
            </w:pPr>
          </w:p>
        </w:tc>
        <w:tc>
          <w:tcPr>
            <w:tcW w:w="1520" w:type="dxa"/>
            <w:vAlign w:val="bottom"/>
            <w:tcBorders>
              <w:bottom w:val="single" w:sz="8" w:color="D8D8D8"/>
            </w:tcBorders>
            <w:gridSpan w:val="18"/>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gridSpan w:val="2"/>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20" w:type="dxa"/>
            <w:vAlign w:val="bottom"/>
            <w:tcBorders>
              <w:top w:val="single" w:sz="8" w:color="0000EE"/>
              <w:bottom w:val="single" w:sz="8" w:color="0000EE"/>
            </w:tcBorders>
            <w:gridSpan w:val="13"/>
            <w:vMerge w:val="restart"/>
          </w:tcPr>
          <w:p>
            <w:pPr>
              <w:spacing w:after="0" w:line="122" w:lineRule="exact"/>
              <w:rPr>
                <w:sz w:val="20"/>
                <w:szCs w:val="20"/>
                <w:color w:val="auto"/>
              </w:rPr>
            </w:pPr>
            <w:r>
              <w:rPr>
                <w:rFonts w:ascii="Arial" w:cs="Arial" w:eastAsia="Arial" w:hAnsi="Arial"/>
                <w:sz w:val="14"/>
                <w:szCs w:val="14"/>
                <w:b w:val="1"/>
                <w:bCs w:val="1"/>
                <w:color w:val="0000EE"/>
                <w:w w:val="96"/>
              </w:rPr>
              <w:t>ANNUAL MEETING AND VOTING</w:t>
            </w:r>
          </w:p>
        </w:tc>
        <w:tc>
          <w:tcPr>
            <w:tcW w:w="220" w:type="dxa"/>
            <w:vAlign w:val="bottom"/>
            <w:tcBorders>
              <w:top w:val="single" w:sz="8" w:color="0000EE"/>
              <w:bottom w:val="single" w:sz="8" w:color="0000EE"/>
            </w:tcBorders>
            <w:gridSpan w:val="2"/>
            <w:vMerge w:val="restart"/>
          </w:tcPr>
          <w:p>
            <w:pPr>
              <w:spacing w:after="0" w:line="20" w:lineRule="exact"/>
              <w:rPr>
                <w:sz w:val="1"/>
                <w:szCs w:val="1"/>
                <w:color w:val="auto"/>
              </w:rPr>
            </w:pPr>
          </w:p>
        </w:tc>
        <w:tc>
          <w:tcPr>
            <w:tcW w:w="360" w:type="dxa"/>
            <w:vAlign w:val="bottom"/>
            <w:tcBorders>
              <w:top w:val="single" w:sz="8" w:color="0000EE"/>
              <w:bottom w:val="single" w:sz="8" w:color="0000EE"/>
            </w:tcBorders>
            <w:gridSpan w:val="5"/>
            <w:vMerge w:val="restart"/>
          </w:tcPr>
          <w:p>
            <w:pPr>
              <w:spacing w:after="0" w:line="20" w:lineRule="exact"/>
              <w:rPr>
                <w:sz w:val="1"/>
                <w:szCs w:val="1"/>
                <w:color w:val="auto"/>
              </w:rPr>
            </w:pPr>
          </w:p>
        </w:tc>
        <w:tc>
          <w:tcPr>
            <w:tcW w:w="60" w:type="dxa"/>
            <w:vAlign w:val="bottom"/>
            <w:tcBorders>
              <w:top w:val="single" w:sz="8" w:color="0000EE"/>
              <w:bottom w:val="single" w:sz="8" w:color="0000EE"/>
            </w:tcBorders>
            <w:gridSpan w:val="2"/>
            <w:vMerge w:val="restart"/>
          </w:tcPr>
          <w:p>
            <w:pPr>
              <w:spacing w:after="0" w:line="20" w:lineRule="exact"/>
              <w:rPr>
                <w:sz w:val="1"/>
                <w:szCs w:val="1"/>
                <w:color w:val="auto"/>
              </w:rPr>
            </w:pPr>
          </w:p>
        </w:tc>
        <w:tc>
          <w:tcPr>
            <w:tcW w:w="320" w:type="dxa"/>
            <w:vAlign w:val="bottom"/>
            <w:tcBorders>
              <w:top w:val="single" w:sz="8" w:color="0000EE"/>
              <w:bottom w:val="single" w:sz="8" w:color="0000EE"/>
            </w:tcBorders>
            <w:gridSpan w:val="4"/>
            <w:vMerge w:val="restart"/>
          </w:tcPr>
          <w:p>
            <w:pPr>
              <w:spacing w:after="0" w:line="20" w:lineRule="exact"/>
              <w:rPr>
                <w:sz w:val="1"/>
                <w:szCs w:val="1"/>
                <w:color w:val="auto"/>
              </w:rPr>
            </w:pPr>
          </w:p>
        </w:tc>
        <w:tc>
          <w:tcPr>
            <w:tcW w:w="80" w:type="dxa"/>
            <w:vAlign w:val="bottom"/>
            <w:tcBorders>
              <w:top w:val="single" w:sz="8" w:color="0000EE"/>
              <w:bottom w:val="single" w:sz="8" w:color="0000EE"/>
            </w:tcBorders>
            <w:vMerge w:val="restart"/>
          </w:tcPr>
          <w:p>
            <w:pPr>
              <w:spacing w:after="0" w:line="20" w:lineRule="exact"/>
              <w:rPr>
                <w:sz w:val="1"/>
                <w:szCs w:val="1"/>
                <w:color w:val="auto"/>
              </w:rPr>
            </w:pPr>
          </w:p>
        </w:tc>
        <w:tc>
          <w:tcPr>
            <w:tcW w:w="320" w:type="dxa"/>
            <w:vAlign w:val="bottom"/>
            <w:gridSpan w:val="7"/>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80" w:type="dxa"/>
            <w:vAlign w:val="bottom"/>
          </w:tcPr>
          <w:p>
            <w:pPr>
              <w:spacing w:after="0"/>
              <w:rPr>
                <w:sz w:val="8"/>
                <w:szCs w:val="8"/>
                <w:color w:val="auto"/>
              </w:rPr>
            </w:pPr>
          </w:p>
        </w:tc>
        <w:tc>
          <w:tcPr>
            <w:tcW w:w="360" w:type="dxa"/>
            <w:vAlign w:val="bottom"/>
            <w:gridSpan w:val="4"/>
            <w:vMerge w:val="restart"/>
          </w:tcPr>
          <w:p>
            <w:pPr>
              <w:spacing w:after="0" w:line="136"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36" w:lineRule="exact"/>
              <w:rPr>
                <w:sz w:val="20"/>
                <w:szCs w:val="20"/>
                <w:color w:val="auto"/>
              </w:rPr>
            </w:pPr>
            <w:r>
              <w:rPr>
                <w:rFonts w:ascii="Arial" w:cs="Arial" w:eastAsia="Arial" w:hAnsi="Arial"/>
                <w:sz w:val="14"/>
                <w:szCs w:val="14"/>
                <w:i w:val="1"/>
                <w:iCs w:val="1"/>
                <w:color w:val="0000EE"/>
                <w:w w:val="89"/>
              </w:rPr>
              <w:t>45</w:t>
            </w:r>
          </w:p>
        </w:tc>
        <w:tc>
          <w:tcPr>
            <w:tcW w:w="180" w:type="dxa"/>
            <w:vAlign w:val="bottom"/>
            <w:vMerge w:val="restart"/>
          </w:tcPr>
          <w:p>
            <w:pPr>
              <w:ind w:left="20"/>
              <w:spacing w:after="0" w:line="136"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8"/>
                <w:szCs w:val="8"/>
                <w:color w:val="auto"/>
              </w:rPr>
            </w:pPr>
          </w:p>
        </w:tc>
        <w:tc>
          <w:tcPr>
            <w:tcW w:w="3600" w:type="dxa"/>
            <w:vAlign w:val="bottom"/>
            <w:gridSpan w:val="39"/>
            <w:vMerge w:val="restart"/>
          </w:tcPr>
          <w:p>
            <w:pPr>
              <w:ind w:left="120"/>
              <w:spacing w:after="0" w:line="136" w:lineRule="exact"/>
              <w:rPr>
                <w:sz w:val="20"/>
                <w:szCs w:val="20"/>
                <w:color w:val="auto"/>
              </w:rPr>
            </w:pPr>
            <w:r>
              <w:rPr>
                <w:rFonts w:ascii="Arial" w:cs="Arial" w:eastAsia="Arial" w:hAnsi="Arial"/>
                <w:sz w:val="14"/>
                <w:szCs w:val="14"/>
                <w:i w:val="1"/>
                <w:iCs w:val="1"/>
                <w:color w:val="0000EE"/>
              </w:rPr>
              <w:t>2023 Compensation Framework</w:t>
            </w:r>
          </w:p>
        </w:tc>
        <w:tc>
          <w:tcPr>
            <w:tcW w:w="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120" w:type="dxa"/>
            <w:vAlign w:val="bottom"/>
            <w:tcBorders>
              <w:bottom w:val="single" w:sz="8" w:color="0000EE"/>
            </w:tcBorders>
            <w:gridSpan w:val="13"/>
            <w:vMerge w:val="continue"/>
          </w:tcPr>
          <w:p>
            <w:pPr>
              <w:spacing w:after="0"/>
              <w:rPr>
                <w:sz w:val="8"/>
                <w:szCs w:val="8"/>
                <w:color w:val="auto"/>
              </w:rPr>
            </w:pPr>
          </w:p>
        </w:tc>
        <w:tc>
          <w:tcPr>
            <w:tcW w:w="220" w:type="dxa"/>
            <w:vAlign w:val="bottom"/>
            <w:tcBorders>
              <w:bottom w:val="single" w:sz="8" w:color="0000EE"/>
            </w:tcBorders>
            <w:gridSpan w:val="2"/>
            <w:vMerge w:val="continue"/>
          </w:tcPr>
          <w:p>
            <w:pPr>
              <w:spacing w:after="0"/>
              <w:rPr>
                <w:sz w:val="8"/>
                <w:szCs w:val="8"/>
                <w:color w:val="auto"/>
              </w:rPr>
            </w:pPr>
          </w:p>
        </w:tc>
        <w:tc>
          <w:tcPr>
            <w:tcW w:w="360" w:type="dxa"/>
            <w:vAlign w:val="bottom"/>
            <w:tcBorders>
              <w:bottom w:val="single" w:sz="8" w:color="0000EE"/>
            </w:tcBorders>
            <w:gridSpan w:val="5"/>
            <w:vMerge w:val="continue"/>
          </w:tcPr>
          <w:p>
            <w:pPr>
              <w:spacing w:after="0"/>
              <w:rPr>
                <w:sz w:val="8"/>
                <w:szCs w:val="8"/>
                <w:color w:val="auto"/>
              </w:rPr>
            </w:pPr>
          </w:p>
        </w:tc>
        <w:tc>
          <w:tcPr>
            <w:tcW w:w="60" w:type="dxa"/>
            <w:vAlign w:val="bottom"/>
            <w:tcBorders>
              <w:bottom w:val="single" w:sz="8" w:color="0000EE"/>
            </w:tcBorders>
            <w:gridSpan w:val="2"/>
            <w:vMerge w:val="continue"/>
          </w:tcPr>
          <w:p>
            <w:pPr>
              <w:spacing w:after="0"/>
              <w:rPr>
                <w:sz w:val="8"/>
                <w:szCs w:val="8"/>
                <w:color w:val="auto"/>
              </w:rPr>
            </w:pPr>
          </w:p>
        </w:tc>
        <w:tc>
          <w:tcPr>
            <w:tcW w:w="320" w:type="dxa"/>
            <w:vAlign w:val="bottom"/>
            <w:tcBorders>
              <w:bottom w:val="single" w:sz="8" w:color="0000EE"/>
            </w:tcBorders>
            <w:gridSpan w:val="4"/>
            <w:vMerge w:val="continue"/>
          </w:tcPr>
          <w:p>
            <w:pPr>
              <w:spacing w:after="0"/>
              <w:rPr>
                <w:sz w:val="8"/>
                <w:szCs w:val="8"/>
                <w:color w:val="auto"/>
              </w:rPr>
            </w:pPr>
          </w:p>
        </w:tc>
        <w:tc>
          <w:tcPr>
            <w:tcW w:w="80" w:type="dxa"/>
            <w:vAlign w:val="bottom"/>
            <w:tcBorders>
              <w:bottom w:val="single" w:sz="8" w:color="0000EE"/>
            </w:tcBorders>
            <w:vMerge w:val="continue"/>
          </w:tcPr>
          <w:p>
            <w:pPr>
              <w:spacing w:after="0"/>
              <w:rPr>
                <w:sz w:val="8"/>
                <w:szCs w:val="8"/>
                <w:color w:val="auto"/>
              </w:rPr>
            </w:pPr>
          </w:p>
        </w:tc>
        <w:tc>
          <w:tcPr>
            <w:tcW w:w="320" w:type="dxa"/>
            <w:vAlign w:val="bottom"/>
            <w:gridSpan w:val="7"/>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BF5B5A"/>
            </w:tcBorders>
          </w:tcPr>
          <w:p>
            <w:pPr>
              <w:spacing w:after="0" w:line="20" w:lineRule="exact"/>
              <w:rPr>
                <w:sz w:val="1"/>
                <w:szCs w:val="1"/>
                <w:color w:val="auto"/>
              </w:rPr>
            </w:pPr>
          </w:p>
        </w:tc>
        <w:tc>
          <w:tcPr>
            <w:tcW w:w="20" w:type="dxa"/>
            <w:vAlign w:val="bottom"/>
            <w:tcBorders>
              <w:bottom w:val="single" w:sz="8" w:color="BF5B5A"/>
            </w:tcBorders>
          </w:tcPr>
          <w:p>
            <w:pPr>
              <w:spacing w:after="0" w:line="20" w:lineRule="exact"/>
              <w:rPr>
                <w:sz w:val="1"/>
                <w:szCs w:val="1"/>
                <w:color w:val="auto"/>
              </w:rPr>
            </w:pPr>
          </w:p>
        </w:tc>
        <w:tc>
          <w:tcPr>
            <w:tcW w:w="180" w:type="dxa"/>
            <w:vAlign w:val="bottom"/>
            <w:tcBorders>
              <w:bottom w:val="single" w:sz="8" w:color="BF5B5A"/>
            </w:tcBorders>
          </w:tcPr>
          <w:p>
            <w:pPr>
              <w:spacing w:after="0" w:line="20" w:lineRule="exact"/>
              <w:rPr>
                <w:sz w:val="1"/>
                <w:szCs w:val="1"/>
                <w:color w:val="auto"/>
              </w:rPr>
            </w:pPr>
          </w:p>
        </w:tc>
        <w:tc>
          <w:tcPr>
            <w:tcW w:w="40" w:type="dxa"/>
            <w:vAlign w:val="bottom"/>
            <w:tcBorders>
              <w:bottom w:val="single" w:sz="8" w:color="BF5B5A"/>
            </w:tcBorders>
          </w:tcPr>
          <w:p>
            <w:pPr>
              <w:spacing w:after="0" w:line="20" w:lineRule="exact"/>
              <w:rPr>
                <w:sz w:val="1"/>
                <w:szCs w:val="1"/>
                <w:color w:val="auto"/>
              </w:rPr>
            </w:pPr>
          </w:p>
        </w:tc>
        <w:tc>
          <w:tcPr>
            <w:tcW w:w="60" w:type="dxa"/>
            <w:vAlign w:val="bottom"/>
            <w:tcBorders>
              <w:bottom w:val="single" w:sz="8" w:color="BF5B5A"/>
            </w:tcBorders>
          </w:tcPr>
          <w:p>
            <w:pPr>
              <w:spacing w:after="0" w:line="20" w:lineRule="exact"/>
              <w:rPr>
                <w:sz w:val="1"/>
                <w:szCs w:val="1"/>
                <w:color w:val="auto"/>
              </w:rPr>
            </w:pPr>
          </w:p>
        </w:tc>
        <w:tc>
          <w:tcPr>
            <w:tcW w:w="160" w:type="dxa"/>
            <w:vAlign w:val="bottom"/>
            <w:tcBorders>
              <w:bottom w:val="single" w:sz="8" w:color="BF5B5A"/>
            </w:tcBorders>
          </w:tcPr>
          <w:p>
            <w:pPr>
              <w:spacing w:after="0" w:line="20" w:lineRule="exact"/>
              <w:rPr>
                <w:sz w:val="1"/>
                <w:szCs w:val="1"/>
                <w:color w:val="auto"/>
              </w:rPr>
            </w:pPr>
          </w:p>
        </w:tc>
        <w:tc>
          <w:tcPr>
            <w:tcW w:w="20" w:type="dxa"/>
            <w:vAlign w:val="bottom"/>
            <w:tcBorders>
              <w:bottom w:val="single" w:sz="8" w:color="BF5B5A"/>
            </w:tcBorders>
          </w:tcPr>
          <w:p>
            <w:pPr>
              <w:spacing w:after="0" w:line="20" w:lineRule="exact"/>
              <w:rPr>
                <w:sz w:val="1"/>
                <w:szCs w:val="1"/>
                <w:color w:val="auto"/>
              </w:rPr>
            </w:pPr>
          </w:p>
        </w:tc>
        <w:tc>
          <w:tcPr>
            <w:tcW w:w="160" w:type="dxa"/>
            <w:vAlign w:val="bottom"/>
            <w:tcBorders>
              <w:bottom w:val="single" w:sz="8" w:color="BF5B5A"/>
            </w:tcBorders>
          </w:tcPr>
          <w:p>
            <w:pPr>
              <w:spacing w:after="0" w:line="20" w:lineRule="exact"/>
              <w:rPr>
                <w:sz w:val="1"/>
                <w:szCs w:val="1"/>
                <w:color w:val="auto"/>
              </w:rPr>
            </w:pPr>
          </w:p>
        </w:tc>
        <w:tc>
          <w:tcPr>
            <w:tcW w:w="20" w:type="dxa"/>
            <w:vAlign w:val="bottom"/>
            <w:tcBorders>
              <w:bottom w:val="single" w:sz="8" w:color="BF5B5A"/>
            </w:tcBorders>
            <w:vMerge w:val="continue"/>
          </w:tcPr>
          <w:p>
            <w:pPr>
              <w:spacing w:after="0" w:line="20" w:lineRule="exact"/>
              <w:rPr>
                <w:sz w:val="1"/>
                <w:szCs w:val="1"/>
                <w:color w:val="auto"/>
              </w:rPr>
            </w:pPr>
          </w:p>
        </w:tc>
        <w:tc>
          <w:tcPr>
            <w:tcW w:w="640" w:type="dxa"/>
            <w:vAlign w:val="bottom"/>
            <w:tcBorders>
              <w:bottom w:val="single" w:sz="8" w:color="BF5B5A"/>
            </w:tcBorders>
            <w:gridSpan w:val="3"/>
          </w:tcPr>
          <w:p>
            <w:pPr>
              <w:spacing w:after="0" w:line="20" w:lineRule="exact"/>
              <w:rPr>
                <w:sz w:val="1"/>
                <w:szCs w:val="1"/>
                <w:color w:val="auto"/>
              </w:rPr>
            </w:pPr>
          </w:p>
        </w:tc>
        <w:tc>
          <w:tcPr>
            <w:tcW w:w="580" w:type="dxa"/>
            <w:vAlign w:val="bottom"/>
            <w:tcBorders>
              <w:bottom w:val="single" w:sz="8" w:color="BF5B5A"/>
            </w:tcBorders>
            <w:gridSpan w:val="2"/>
          </w:tcPr>
          <w:p>
            <w:pPr>
              <w:spacing w:after="0" w:line="20" w:lineRule="exact"/>
              <w:rPr>
                <w:sz w:val="1"/>
                <w:szCs w:val="1"/>
                <w:color w:val="auto"/>
              </w:rPr>
            </w:pPr>
          </w:p>
        </w:tc>
        <w:tc>
          <w:tcPr>
            <w:tcW w:w="640" w:type="dxa"/>
            <w:vAlign w:val="bottom"/>
            <w:tcBorders>
              <w:bottom w:val="single" w:sz="8" w:color="BF5B5A"/>
            </w:tcBorders>
            <w:gridSpan w:val="6"/>
          </w:tcPr>
          <w:p>
            <w:pPr>
              <w:spacing w:after="0" w:line="20" w:lineRule="exact"/>
              <w:rPr>
                <w:sz w:val="1"/>
                <w:szCs w:val="1"/>
                <w:color w:val="auto"/>
              </w:rPr>
            </w:pPr>
          </w:p>
        </w:tc>
        <w:tc>
          <w:tcPr>
            <w:tcW w:w="260" w:type="dxa"/>
            <w:vAlign w:val="bottom"/>
            <w:tcBorders>
              <w:bottom w:val="single" w:sz="8" w:color="BF5B5A"/>
            </w:tcBorders>
            <w:gridSpan w:val="2"/>
          </w:tcPr>
          <w:p>
            <w:pPr>
              <w:spacing w:after="0" w:line="20" w:lineRule="exact"/>
              <w:rPr>
                <w:sz w:val="1"/>
                <w:szCs w:val="1"/>
                <w:color w:val="auto"/>
              </w:rPr>
            </w:pPr>
          </w:p>
        </w:tc>
        <w:tc>
          <w:tcPr>
            <w:tcW w:w="220" w:type="dxa"/>
            <w:vAlign w:val="bottom"/>
            <w:tcBorders>
              <w:bottom w:val="single" w:sz="8" w:color="BF5B5A"/>
            </w:tcBorders>
            <w:gridSpan w:val="2"/>
            <w:vMerge w:val="continue"/>
          </w:tcPr>
          <w:p>
            <w:pPr>
              <w:spacing w:after="0" w:line="20" w:lineRule="exact"/>
              <w:rPr>
                <w:sz w:val="1"/>
                <w:szCs w:val="1"/>
                <w:color w:val="auto"/>
              </w:rPr>
            </w:pPr>
          </w:p>
        </w:tc>
        <w:tc>
          <w:tcPr>
            <w:tcW w:w="360" w:type="dxa"/>
            <w:vAlign w:val="bottom"/>
            <w:tcBorders>
              <w:bottom w:val="single" w:sz="8" w:color="BF5B5A"/>
            </w:tcBorders>
            <w:gridSpan w:val="5"/>
            <w:vMerge w:val="continue"/>
          </w:tcPr>
          <w:p>
            <w:pPr>
              <w:spacing w:after="0" w:line="20" w:lineRule="exact"/>
              <w:rPr>
                <w:sz w:val="1"/>
                <w:szCs w:val="1"/>
                <w:color w:val="auto"/>
              </w:rPr>
            </w:pPr>
          </w:p>
        </w:tc>
        <w:tc>
          <w:tcPr>
            <w:tcW w:w="60" w:type="dxa"/>
            <w:vAlign w:val="bottom"/>
            <w:tcBorders>
              <w:bottom w:val="single" w:sz="8" w:color="BF5B5A"/>
            </w:tcBorders>
            <w:gridSpan w:val="2"/>
            <w:vMerge w:val="continue"/>
          </w:tcPr>
          <w:p>
            <w:pPr>
              <w:spacing w:after="0" w:line="20" w:lineRule="exact"/>
              <w:rPr>
                <w:sz w:val="1"/>
                <w:szCs w:val="1"/>
                <w:color w:val="auto"/>
              </w:rPr>
            </w:pPr>
          </w:p>
        </w:tc>
        <w:tc>
          <w:tcPr>
            <w:tcW w:w="320" w:type="dxa"/>
            <w:vAlign w:val="bottom"/>
            <w:tcBorders>
              <w:bottom w:val="single" w:sz="8" w:color="BF5B5A"/>
            </w:tcBorders>
            <w:gridSpan w:val="4"/>
            <w:vMerge w:val="continue"/>
          </w:tcPr>
          <w:p>
            <w:pPr>
              <w:spacing w:after="0" w:line="20" w:lineRule="exact"/>
              <w:rPr>
                <w:sz w:val="1"/>
                <w:szCs w:val="1"/>
                <w:color w:val="auto"/>
              </w:rPr>
            </w:pPr>
          </w:p>
        </w:tc>
        <w:tc>
          <w:tcPr>
            <w:tcW w:w="80" w:type="dxa"/>
            <w:vAlign w:val="bottom"/>
            <w:tcBorders>
              <w:bottom w:val="single" w:sz="8" w:color="BF5B5A"/>
            </w:tcBorders>
            <w:vMerge w:val="continue"/>
          </w:tcPr>
          <w:p>
            <w:pPr>
              <w:spacing w:after="0" w:line="20" w:lineRule="exact"/>
              <w:rPr>
                <w:sz w:val="1"/>
                <w:szCs w:val="1"/>
                <w:color w:val="auto"/>
              </w:rPr>
            </w:pPr>
          </w:p>
        </w:tc>
        <w:tc>
          <w:tcPr>
            <w:tcW w:w="320" w:type="dxa"/>
            <w:vAlign w:val="bottom"/>
            <w:tcBorders>
              <w:bottom w:val="single" w:sz="8" w:color="BF5B5A"/>
            </w:tcBorders>
            <w:gridSpan w:val="7"/>
            <w:vMerge w:val="continue"/>
          </w:tcPr>
          <w:p>
            <w:pPr>
              <w:spacing w:after="0" w:line="20" w:lineRule="exact"/>
              <w:rPr>
                <w:sz w:val="1"/>
                <w:szCs w:val="1"/>
                <w:color w:val="auto"/>
              </w:rPr>
            </w:pPr>
          </w:p>
        </w:tc>
        <w:tc>
          <w:tcPr>
            <w:tcW w:w="60" w:type="dxa"/>
            <w:vAlign w:val="bottom"/>
            <w:tcBorders>
              <w:bottom w:val="single" w:sz="8" w:color="BF5B5A"/>
            </w:tcBorders>
            <w:vMerge w:val="continue"/>
          </w:tcPr>
          <w:p>
            <w:pPr>
              <w:spacing w:after="0" w:line="20" w:lineRule="exact"/>
              <w:rPr>
                <w:sz w:val="1"/>
                <w:szCs w:val="1"/>
                <w:color w:val="auto"/>
              </w:rPr>
            </w:pPr>
          </w:p>
        </w:tc>
        <w:tc>
          <w:tcPr>
            <w:tcW w:w="80" w:type="dxa"/>
            <w:vAlign w:val="bottom"/>
            <w:tcBorders>
              <w:bottom w:val="single" w:sz="8" w:color="BF5B5A"/>
            </w:tcBorders>
            <w:gridSpan w:val="2"/>
            <w:vMerge w:val="continue"/>
          </w:tcPr>
          <w:p>
            <w:pPr>
              <w:spacing w:after="0" w:line="20" w:lineRule="exact"/>
              <w:rPr>
                <w:sz w:val="1"/>
                <w:szCs w:val="1"/>
                <w:color w:val="auto"/>
              </w:rPr>
            </w:pPr>
          </w:p>
        </w:tc>
        <w:tc>
          <w:tcPr>
            <w:tcW w:w="20" w:type="dxa"/>
            <w:vAlign w:val="bottom"/>
            <w:tcBorders>
              <w:bottom w:val="single" w:sz="8" w:color="BF5B5A"/>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gridSpan w:val="5"/>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40" w:type="dxa"/>
            <w:vAlign w:val="bottom"/>
            <w:tcBorders>
              <w:bottom w:val="single" w:sz="8" w:color="0000EE"/>
            </w:tcBorders>
            <w:gridSpan w:val="21"/>
          </w:tcPr>
          <w:p>
            <w:pPr>
              <w:spacing w:after="0" w:line="20" w:lineRule="exact"/>
              <w:rPr>
                <w:sz w:val="1"/>
                <w:szCs w:val="1"/>
                <w:color w:val="auto"/>
              </w:rPr>
            </w:pPr>
          </w:p>
        </w:tc>
        <w:tc>
          <w:tcPr>
            <w:tcW w:w="1920" w:type="dxa"/>
            <w:vAlign w:val="bottom"/>
            <w:gridSpan w:val="19"/>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6"/>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3640" w:type="dxa"/>
            <w:vAlign w:val="bottom"/>
            <w:gridSpan w:val="38"/>
          </w:tcPr>
          <w:p>
            <w:pPr>
              <w:spacing w:after="0" w:line="20" w:lineRule="exact"/>
              <w:rPr>
                <w:sz w:val="1"/>
                <w:szCs w:val="1"/>
                <w:color w:val="auto"/>
              </w:rPr>
            </w:pP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0" w:lineRule="exact"/>
              <w:rPr>
                <w:sz w:val="1"/>
                <w:szCs w:val="1"/>
                <w:color w:val="auto"/>
              </w:rPr>
            </w:pPr>
          </w:p>
        </w:tc>
        <w:tc>
          <w:tcPr>
            <w:tcW w:w="4360" w:type="dxa"/>
            <w:vAlign w:val="bottom"/>
            <w:tcBorders>
              <w:bottom w:val="single" w:sz="8" w:color="D8D8D8"/>
            </w:tcBorders>
            <w:gridSpan w:val="4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0" w:type="dxa"/>
            <w:vAlign w:val="bottom"/>
          </w:tcPr>
          <w:p>
            <w:pPr>
              <w:spacing w:after="0"/>
              <w:rPr>
                <w:sz w:val="9"/>
                <w:szCs w:val="9"/>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60" w:type="dxa"/>
            <w:vAlign w:val="bottom"/>
            <w:vMerge w:val="restart"/>
          </w:tcPr>
          <w:p>
            <w:pPr>
              <w:jc w:val="right"/>
              <w:spacing w:after="0" w:line="155" w:lineRule="exact"/>
              <w:rPr>
                <w:sz w:val="20"/>
                <w:szCs w:val="20"/>
                <w:color w:val="auto"/>
              </w:rPr>
            </w:pPr>
            <w:r>
              <w:rPr>
                <w:rFonts w:ascii="Arial" w:cs="Arial" w:eastAsia="Arial" w:hAnsi="Arial"/>
                <w:sz w:val="14"/>
                <w:szCs w:val="14"/>
                <w:i w:val="1"/>
                <w:iCs w:val="1"/>
                <w:color w:val="0000EE"/>
                <w:w w:val="89"/>
              </w:rPr>
              <w:t>45</w:t>
            </w:r>
          </w:p>
        </w:tc>
        <w:tc>
          <w:tcPr>
            <w:tcW w:w="20" w:type="dxa"/>
            <w:vAlign w:val="bottom"/>
          </w:tcPr>
          <w:p>
            <w:pPr>
              <w:spacing w:after="0"/>
              <w:rPr>
                <w:sz w:val="9"/>
                <w:szCs w:val="9"/>
                <w:color w:val="auto"/>
              </w:rPr>
            </w:pP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gridSpan w:val="25"/>
            <w:vMerge w:val="restart"/>
          </w:tcPr>
          <w:p>
            <w:pPr>
              <w:spacing w:after="0" w:line="155" w:lineRule="exact"/>
              <w:rPr>
                <w:sz w:val="20"/>
                <w:szCs w:val="20"/>
                <w:color w:val="auto"/>
              </w:rPr>
            </w:pPr>
            <w:r>
              <w:rPr>
                <w:rFonts w:ascii="Arial" w:cs="Arial" w:eastAsia="Arial" w:hAnsi="Arial"/>
                <w:sz w:val="14"/>
                <w:szCs w:val="14"/>
                <w:i w:val="1"/>
                <w:iCs w:val="1"/>
                <w:color w:val="0000EE"/>
              </w:rPr>
              <w:t>Compensation Governance Practices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60" w:type="dxa"/>
            <w:vAlign w:val="bottom"/>
            <w:vMerge w:val="continue"/>
          </w:tcPr>
          <w:p>
            <w:pPr>
              <w:spacing w:after="0"/>
              <w:rPr>
                <w:sz w:val="9"/>
                <w:szCs w:val="9"/>
                <w:color w:val="auto"/>
              </w:rPr>
            </w:pPr>
          </w:p>
        </w:tc>
        <w:tc>
          <w:tcPr>
            <w:tcW w:w="240" w:type="dxa"/>
            <w:vAlign w:val="bottom"/>
            <w:gridSpan w:val="3"/>
            <w:vMerge w:val="restart"/>
          </w:tcPr>
          <w:p>
            <w:pPr>
              <w:ind w:left="20"/>
              <w:spacing w:after="0" w:line="157" w:lineRule="exact"/>
              <w:rPr>
                <w:sz w:val="20"/>
                <w:szCs w:val="20"/>
                <w:color w:val="auto"/>
              </w:rPr>
            </w:pPr>
            <w:r>
              <w:rPr>
                <w:rFonts w:ascii="Arial" w:cs="Arial" w:eastAsia="Arial" w:hAnsi="Arial"/>
                <w:sz w:val="14"/>
                <w:szCs w:val="14"/>
                <w:b w:val="1"/>
                <w:bCs w:val="1"/>
                <w:color w:val="0000EE"/>
              </w:rPr>
              <w:t>96</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3640" w:type="dxa"/>
            <w:vAlign w:val="bottom"/>
            <w:gridSpan w:val="38"/>
            <w:vMerge w:val="restart"/>
          </w:tcPr>
          <w:p>
            <w:pPr>
              <w:ind w:left="20"/>
              <w:spacing w:after="0" w:line="157" w:lineRule="exact"/>
              <w:rPr>
                <w:sz w:val="20"/>
                <w:szCs w:val="20"/>
                <w:color w:val="auto"/>
              </w:rPr>
            </w:pPr>
            <w:r>
              <w:rPr>
                <w:rFonts w:ascii="Arial" w:cs="Arial" w:eastAsia="Arial" w:hAnsi="Arial"/>
                <w:sz w:val="14"/>
                <w:szCs w:val="14"/>
                <w:b w:val="1"/>
                <w:bCs w:val="1"/>
                <w:color w:val="0000EE"/>
              </w:rPr>
              <w:t>OTHER BUSINESS</w:t>
            </w: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360" w:type="dxa"/>
            <w:vAlign w:val="bottom"/>
            <w:gridSpan w:val="4"/>
            <w:vMerge w:val="continue"/>
          </w:tcPr>
          <w:p>
            <w:pPr>
              <w:spacing w:after="0"/>
              <w:rPr>
                <w:sz w:val="4"/>
                <w:szCs w:val="4"/>
                <w:color w:val="auto"/>
              </w:rPr>
            </w:pPr>
          </w:p>
        </w:tc>
        <w:tc>
          <w:tcPr>
            <w:tcW w:w="160" w:type="dxa"/>
            <w:vAlign w:val="bottom"/>
            <w:tcBorders>
              <w:bottom w:val="single" w:sz="8" w:color="0000EE"/>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80" w:type="dxa"/>
            <w:vAlign w:val="bottom"/>
            <w:tcBorders>
              <w:bottom w:val="single" w:sz="8" w:color="0000EE"/>
            </w:tcBorders>
            <w:gridSpan w:val="25"/>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20" w:type="dxa"/>
            <w:vAlign w:val="bottom"/>
            <w:gridSpan w:val="3"/>
          </w:tcPr>
          <w:p>
            <w:pPr>
              <w:spacing w:after="0"/>
              <w:rPr>
                <w:sz w:val="4"/>
                <w:szCs w:val="4"/>
                <w:color w:val="auto"/>
              </w:rPr>
            </w:pPr>
          </w:p>
        </w:tc>
        <w:tc>
          <w:tcPr>
            <w:tcW w:w="440" w:type="dxa"/>
            <w:vAlign w:val="bottom"/>
            <w:gridSpan w:val="6"/>
          </w:tcPr>
          <w:p>
            <w:pPr>
              <w:spacing w:after="0"/>
              <w:rPr>
                <w:sz w:val="4"/>
                <w:szCs w:val="4"/>
                <w:color w:val="auto"/>
              </w:rPr>
            </w:pPr>
          </w:p>
        </w:tc>
        <w:tc>
          <w:tcPr>
            <w:tcW w:w="260" w:type="dxa"/>
            <w:vAlign w:val="bottom"/>
            <w:gridSpan w:val="2"/>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40" w:type="dxa"/>
            <w:vAlign w:val="bottom"/>
            <w:gridSpan w:val="38"/>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4340" w:type="dxa"/>
            <w:vAlign w:val="bottom"/>
            <w:tcBorders>
              <w:bottom w:val="single" w:sz="8" w:color="D8D8D8"/>
            </w:tcBorders>
            <w:gridSpan w:val="47"/>
          </w:tcPr>
          <w:p>
            <w:pPr>
              <w:spacing w:after="0"/>
              <w:rPr>
                <w:sz w:val="3"/>
                <w:szCs w:val="3"/>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gridSpan w:val="2"/>
          </w:tcPr>
          <w:p>
            <w:pPr>
              <w:spacing w:after="0"/>
              <w:rPr>
                <w:sz w:val="3"/>
                <w:szCs w:val="3"/>
                <w:color w:val="auto"/>
              </w:rPr>
            </w:pPr>
          </w:p>
        </w:tc>
        <w:tc>
          <w:tcPr>
            <w:tcW w:w="180" w:type="dxa"/>
            <w:vAlign w:val="bottom"/>
            <w:tcBorders>
              <w:bottom w:val="single" w:sz="8" w:color="0000EE"/>
            </w:tcBorders>
          </w:tcPr>
          <w:p>
            <w:pPr>
              <w:spacing w:after="0"/>
              <w:rPr>
                <w:sz w:val="3"/>
                <w:szCs w:val="3"/>
                <w:color w:val="auto"/>
              </w:rPr>
            </w:pPr>
          </w:p>
        </w:tc>
        <w:tc>
          <w:tcPr>
            <w:tcW w:w="460" w:type="dxa"/>
            <w:vAlign w:val="bottom"/>
            <w:gridSpan w:val="6"/>
          </w:tcPr>
          <w:p>
            <w:pPr>
              <w:spacing w:after="0"/>
              <w:rPr>
                <w:sz w:val="3"/>
                <w:szCs w:val="3"/>
                <w:color w:val="auto"/>
              </w:rPr>
            </w:pPr>
          </w:p>
        </w:tc>
        <w:tc>
          <w:tcPr>
            <w:tcW w:w="1220" w:type="dxa"/>
            <w:vAlign w:val="bottom"/>
            <w:tcBorders>
              <w:bottom w:val="single" w:sz="8" w:color="0000EE"/>
            </w:tcBorders>
            <w:gridSpan w:val="5"/>
          </w:tcPr>
          <w:p>
            <w:pPr>
              <w:spacing w:after="0"/>
              <w:rPr>
                <w:sz w:val="3"/>
                <w:szCs w:val="3"/>
                <w:color w:val="auto"/>
              </w:rPr>
            </w:pPr>
          </w:p>
        </w:tc>
        <w:tc>
          <w:tcPr>
            <w:tcW w:w="3180" w:type="dxa"/>
            <w:vAlign w:val="bottom"/>
            <w:gridSpan w:val="34"/>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i w:val="1"/>
                <w:iCs w:val="1"/>
                <w:color w:val="0000EE"/>
                <w:w w:val="89"/>
              </w:rPr>
              <w:t>46</w:t>
            </w:r>
          </w:p>
        </w:tc>
        <w:tc>
          <w:tcPr>
            <w:tcW w:w="180" w:type="dxa"/>
            <w:vAlign w:val="bottom"/>
            <w:vMerge w:val="restart"/>
          </w:tcPr>
          <w:p>
            <w:pPr>
              <w:ind w:left="20"/>
              <w:spacing w:after="0" w:line="149"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line="149" w:lineRule="exact"/>
              <w:rPr>
                <w:sz w:val="20"/>
                <w:szCs w:val="20"/>
                <w:color w:val="auto"/>
              </w:rPr>
            </w:pPr>
            <w:r>
              <w:rPr>
                <w:rFonts w:ascii="Arial" w:cs="Arial" w:eastAsia="Arial" w:hAnsi="Arial"/>
                <w:sz w:val="14"/>
                <w:szCs w:val="14"/>
                <w:i w:val="1"/>
                <w:iCs w:val="1"/>
                <w:color w:val="0000EE"/>
              </w:rPr>
              <w:t>Compensation Governance Process</w:t>
            </w:r>
          </w:p>
        </w:tc>
        <w:tc>
          <w:tcPr>
            <w:tcW w:w="4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360" w:type="dxa"/>
            <w:vAlign w:val="bottom"/>
            <w:gridSpan w:val="4"/>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39"/>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60" w:type="dxa"/>
            <w:vAlign w:val="bottom"/>
            <w:tcBorders>
              <w:top w:val="single" w:sz="8" w:color="BF5B5A"/>
            </w:tcBorders>
          </w:tcPr>
          <w:p>
            <w:pPr>
              <w:ind w:left="20"/>
              <w:spacing w:after="0" w:line="110"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BF5B5A"/>
            </w:tcBorders>
            <w:gridSpan w:val="3"/>
            <w:vMerge w:val="restart"/>
          </w:tcPr>
          <w:p>
            <w:pPr>
              <w:ind w:left="20"/>
              <w:spacing w:after="0" w:line="150" w:lineRule="exact"/>
              <w:rPr>
                <w:sz w:val="20"/>
                <w:szCs w:val="20"/>
                <w:color w:val="auto"/>
              </w:rPr>
            </w:pPr>
            <w:r>
              <w:rPr>
                <w:rFonts w:ascii="Arial" w:cs="Arial" w:eastAsia="Arial" w:hAnsi="Arial"/>
                <w:sz w:val="14"/>
                <w:szCs w:val="14"/>
                <w:color w:val="0000EE"/>
              </w:rPr>
              <w:t>96</w:t>
            </w:r>
          </w:p>
        </w:tc>
        <w:tc>
          <w:tcPr>
            <w:tcW w:w="60" w:type="dxa"/>
            <w:vAlign w:val="bottom"/>
            <w:tcBorders>
              <w:top w:val="single" w:sz="8" w:color="BF5B5A"/>
            </w:tcBorders>
          </w:tcPr>
          <w:p>
            <w:pPr>
              <w:spacing w:after="0"/>
              <w:rPr>
                <w:sz w:val="9"/>
                <w:szCs w:val="9"/>
                <w:color w:val="auto"/>
              </w:rPr>
            </w:pPr>
          </w:p>
        </w:tc>
        <w:tc>
          <w:tcPr>
            <w:tcW w:w="160" w:type="dxa"/>
            <w:vAlign w:val="bottom"/>
            <w:tcBorders>
              <w:top w:val="single" w:sz="8" w:color="BF5B5A"/>
            </w:tcBorders>
          </w:tcPr>
          <w:p>
            <w:pPr>
              <w:spacing w:after="0"/>
              <w:rPr>
                <w:sz w:val="9"/>
                <w:szCs w:val="9"/>
                <w:color w:val="auto"/>
              </w:rPr>
            </w:pPr>
          </w:p>
        </w:tc>
        <w:tc>
          <w:tcPr>
            <w:tcW w:w="20" w:type="dxa"/>
            <w:vAlign w:val="bottom"/>
            <w:tcBorders>
              <w:top w:val="single" w:sz="8" w:color="BF5B5A"/>
            </w:tcBorders>
          </w:tcPr>
          <w:p>
            <w:pPr>
              <w:spacing w:after="0"/>
              <w:rPr>
                <w:sz w:val="9"/>
                <w:szCs w:val="9"/>
                <w:color w:val="auto"/>
              </w:rPr>
            </w:pPr>
          </w:p>
        </w:tc>
        <w:tc>
          <w:tcPr>
            <w:tcW w:w="160" w:type="dxa"/>
            <w:vAlign w:val="bottom"/>
            <w:tcBorders>
              <w:top w:val="single" w:sz="8" w:color="BF5B5A"/>
            </w:tcBorders>
          </w:tcPr>
          <w:p>
            <w:pPr>
              <w:ind w:left="20"/>
              <w:spacing w:after="0" w:line="110" w:lineRule="exact"/>
              <w:rPr>
                <w:sz w:val="20"/>
                <w:szCs w:val="20"/>
                <w:color w:val="auto"/>
              </w:rPr>
            </w:pPr>
            <w:r>
              <w:rPr>
                <w:rFonts w:ascii="Arial" w:cs="Arial" w:eastAsia="Arial" w:hAnsi="Arial"/>
                <w:sz w:val="12"/>
                <w:szCs w:val="12"/>
                <w:color w:val="auto"/>
              </w:rPr>
              <w:t>​ ​</w:t>
            </w:r>
          </w:p>
        </w:tc>
        <w:tc>
          <w:tcPr>
            <w:tcW w:w="3640" w:type="dxa"/>
            <w:vAlign w:val="bottom"/>
            <w:tcBorders>
              <w:top w:val="single" w:sz="8" w:color="BF5B5A"/>
            </w:tcBorders>
            <w:gridSpan w:val="38"/>
            <w:vMerge w:val="restart"/>
          </w:tcPr>
          <w:p>
            <w:pPr>
              <w:ind w:left="20"/>
              <w:spacing w:after="0" w:line="150" w:lineRule="exact"/>
              <w:rPr>
                <w:sz w:val="20"/>
                <w:szCs w:val="20"/>
                <w:color w:val="auto"/>
              </w:rPr>
            </w:pPr>
            <w:r>
              <w:rPr>
                <w:rFonts w:ascii="Arial" w:cs="Arial" w:eastAsia="Arial" w:hAnsi="Arial"/>
                <w:sz w:val="14"/>
                <w:szCs w:val="14"/>
                <w:color w:val="0000EE"/>
              </w:rPr>
              <w:t>STOCKHOLDER PROPOSALS FOR THE 2025 ANNUAL</w:t>
            </w:r>
          </w:p>
        </w:tc>
        <w:tc>
          <w:tcPr>
            <w:tcW w:w="20" w:type="dxa"/>
            <w:vAlign w:val="bottom"/>
            <w:tcBorders>
              <w:top w:val="single" w:sz="8" w:color="BF5B5A"/>
            </w:tcBorders>
          </w:tcPr>
          <w:p>
            <w:pPr>
              <w:spacing w:after="0"/>
              <w:rPr>
                <w:sz w:val="9"/>
                <w:szCs w:val="9"/>
                <w:color w:val="auto"/>
              </w:rPr>
            </w:pPr>
          </w:p>
        </w:tc>
        <w:tc>
          <w:tcPr>
            <w:tcW w:w="760" w:type="dxa"/>
            <w:vAlign w:val="bottom"/>
          </w:tcPr>
          <w:p>
            <w:pPr>
              <w:jc w:val="right"/>
              <w:ind w:right="735"/>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320" w:type="dxa"/>
            <w:vAlign w:val="bottom"/>
            <w:tcBorders>
              <w:top w:val="single" w:sz="8" w:color="0000EE"/>
              <w:bottom w:val="single" w:sz="8" w:color="D8D8D8"/>
            </w:tcBorders>
            <w:gridSpan w:val="23"/>
          </w:tcPr>
          <w:p>
            <w:pPr>
              <w:spacing w:after="0" w:line="20" w:lineRule="exact"/>
              <w:rPr>
                <w:sz w:val="1"/>
                <w:szCs w:val="1"/>
                <w:color w:val="auto"/>
              </w:rPr>
            </w:pPr>
          </w:p>
        </w:tc>
        <w:tc>
          <w:tcPr>
            <w:tcW w:w="1180" w:type="dxa"/>
            <w:vAlign w:val="bottom"/>
            <w:tcBorders>
              <w:bottom w:val="single" w:sz="8" w:color="D8D8D8"/>
            </w:tcBorders>
            <w:gridSpan w:val="1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Borders>
              <w:top w:val="single" w:sz="8" w:color="BF5B5A"/>
              <w:bottom w:val="single" w:sz="8" w:color="BF5B5A"/>
            </w:tcBorders>
            <w:gridSpan w:val="3"/>
            <w:vMerge w:val="continu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640" w:type="dxa"/>
            <w:vAlign w:val="bottom"/>
            <w:tcBorders>
              <w:top w:val="single" w:sz="8" w:color="BF5B5A"/>
              <w:bottom w:val="single" w:sz="8" w:color="BF5B5A"/>
            </w:tcBorders>
            <w:gridSpan w:val="38"/>
            <w:vMerge w:val="continu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55" w:lineRule="exact"/>
              <w:rPr>
                <w:sz w:val="20"/>
                <w:szCs w:val="20"/>
                <w:color w:val="auto"/>
              </w:rPr>
            </w:pPr>
            <w:r>
              <w:rPr>
                <w:rFonts w:ascii="Arial" w:cs="Arial" w:eastAsia="Arial" w:hAnsi="Arial"/>
                <w:sz w:val="14"/>
                <w:szCs w:val="14"/>
                <w:i w:val="1"/>
                <w:iCs w:val="1"/>
                <w:color w:val="0000EE"/>
                <w:w w:val="89"/>
              </w:rPr>
              <w:t>47</w:t>
            </w: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line="155" w:lineRule="exact"/>
              <w:rPr>
                <w:sz w:val="20"/>
                <w:szCs w:val="20"/>
                <w:color w:val="auto"/>
              </w:rPr>
            </w:pPr>
            <w:r>
              <w:rPr>
                <w:rFonts w:ascii="Arial" w:cs="Arial" w:eastAsia="Arial" w:hAnsi="Arial"/>
                <w:sz w:val="14"/>
                <w:szCs w:val="14"/>
                <w:i w:val="1"/>
                <w:iCs w:val="1"/>
                <w:color w:val="0000EE"/>
              </w:rPr>
              <w:t>Benchmarking Compensation</w:t>
            </w:r>
          </w:p>
        </w:tc>
        <w:tc>
          <w:tcPr>
            <w:tcW w:w="480" w:type="dxa"/>
            <w:vAlign w:val="bottom"/>
            <w:gridSpan w:val="2"/>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0000EE"/>
            </w:tcBorders>
            <w:gridSpan w:val="3"/>
          </w:tcPr>
          <w:p>
            <w:pPr>
              <w:spacing w:after="0" w:line="20" w:lineRule="exact"/>
              <w:rPr>
                <w:sz w:val="1"/>
                <w:szCs w:val="1"/>
                <w:color w:val="auto"/>
              </w:rPr>
            </w:pPr>
          </w:p>
        </w:tc>
        <w:tc>
          <w:tcPr>
            <w:tcW w:w="1220" w:type="dxa"/>
            <w:vAlign w:val="bottom"/>
            <w:tcBorders>
              <w:bottom w:val="single" w:sz="8" w:color="0000EE"/>
            </w:tcBorders>
            <w:gridSpan w:val="8"/>
          </w:tcPr>
          <w:p>
            <w:pPr>
              <w:spacing w:after="0" w:line="20" w:lineRule="exact"/>
              <w:rPr>
                <w:sz w:val="1"/>
                <w:szCs w:val="1"/>
                <w:color w:val="auto"/>
              </w:rPr>
            </w:pPr>
          </w:p>
        </w:tc>
        <w:tc>
          <w:tcPr>
            <w:tcW w:w="480" w:type="dxa"/>
            <w:vAlign w:val="bottom"/>
            <w:tcBorders>
              <w:bottom w:val="single" w:sz="8" w:color="0000EE"/>
            </w:tcBorders>
            <w:gridSpan w:val="4"/>
          </w:tcPr>
          <w:p>
            <w:pPr>
              <w:spacing w:after="0" w:line="20" w:lineRule="exact"/>
              <w:rPr>
                <w:sz w:val="1"/>
                <w:szCs w:val="1"/>
                <w:color w:val="auto"/>
              </w:rPr>
            </w:pPr>
          </w:p>
        </w:tc>
        <w:tc>
          <w:tcPr>
            <w:tcW w:w="360" w:type="dxa"/>
            <w:vAlign w:val="bottom"/>
            <w:tcBorders>
              <w:bottom w:val="single" w:sz="8" w:color="0000EE"/>
            </w:tcBorders>
            <w:gridSpan w:val="5"/>
          </w:tcPr>
          <w:p>
            <w:pPr>
              <w:spacing w:after="0" w:line="20" w:lineRule="exact"/>
              <w:rPr>
                <w:sz w:val="1"/>
                <w:szCs w:val="1"/>
                <w:color w:val="auto"/>
              </w:rPr>
            </w:pPr>
          </w:p>
        </w:tc>
        <w:tc>
          <w:tcPr>
            <w:tcW w:w="6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gridSpan w:val="4"/>
          </w:tcPr>
          <w:p>
            <w:pPr>
              <w:spacing w:after="0" w:line="20" w:lineRule="exact"/>
              <w:rPr>
                <w:sz w:val="1"/>
                <w:szCs w:val="1"/>
                <w:color w:val="auto"/>
              </w:rPr>
            </w:pPr>
          </w:p>
        </w:tc>
        <w:tc>
          <w:tcPr>
            <w:tcW w:w="400" w:type="dxa"/>
            <w:vAlign w:val="bottom"/>
            <w:tcBorders>
              <w:bottom w:val="single" w:sz="8" w:color="0000EE"/>
            </w:tcBorders>
            <w:gridSpan w:val="8"/>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gridSpan w:val="39"/>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40" w:type="dxa"/>
            <w:vAlign w:val="bottom"/>
            <w:gridSpan w:val="38"/>
          </w:tcPr>
          <w:p>
            <w:pPr>
              <w:ind w:left="20"/>
              <w:spacing w:after="0" w:line="129" w:lineRule="exact"/>
              <w:rPr>
                <w:sz w:val="20"/>
                <w:szCs w:val="20"/>
                <w:color w:val="auto"/>
              </w:rPr>
            </w:pPr>
            <w:r>
              <w:rPr>
                <w:rFonts w:ascii="Arial" w:cs="Arial" w:eastAsia="Arial" w:hAnsi="Arial"/>
                <w:sz w:val="14"/>
                <w:szCs w:val="14"/>
                <w:color w:val="0000EE"/>
              </w:rPr>
              <w:t>MEETING</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360" w:type="dxa"/>
            <w:vAlign w:val="bottom"/>
            <w:tcBorders>
              <w:bottom w:val="single" w:sz="8" w:color="D8D8D8"/>
            </w:tcBorders>
            <w:gridSpan w:val="4"/>
          </w:tcPr>
          <w:p>
            <w:pPr>
              <w:spacing w:after="0"/>
              <w:rPr>
                <w:sz w:val="3"/>
                <w:szCs w:val="3"/>
                <w:color w:val="auto"/>
              </w:rPr>
            </w:pPr>
          </w:p>
        </w:tc>
        <w:tc>
          <w:tcPr>
            <w:tcW w:w="160" w:type="dxa"/>
            <w:vAlign w:val="bottom"/>
            <w:tcBorders>
              <w:top w:val="single" w:sz="8" w:color="0000EE"/>
              <w:bottom w:val="single" w:sz="8" w:color="D8D8D8"/>
            </w:tcBorders>
          </w:tcPr>
          <w:p>
            <w:pPr>
              <w:spacing w:after="0"/>
              <w:rPr>
                <w:sz w:val="3"/>
                <w:szCs w:val="3"/>
                <w:color w:val="auto"/>
              </w:rPr>
            </w:pPr>
          </w:p>
        </w:tc>
        <w:tc>
          <w:tcPr>
            <w:tcW w:w="340" w:type="dxa"/>
            <w:vAlign w:val="bottom"/>
            <w:tcBorders>
              <w:bottom w:val="single" w:sz="8" w:color="D8D8D8"/>
            </w:tcBorders>
            <w:gridSpan w:val="4"/>
          </w:tcPr>
          <w:p>
            <w:pPr>
              <w:spacing w:after="0"/>
              <w:rPr>
                <w:sz w:val="3"/>
                <w:szCs w:val="3"/>
                <w:color w:val="auto"/>
              </w:rPr>
            </w:pPr>
          </w:p>
        </w:tc>
        <w:tc>
          <w:tcPr>
            <w:tcW w:w="1880" w:type="dxa"/>
            <w:vAlign w:val="bottom"/>
            <w:tcBorders>
              <w:top w:val="single" w:sz="8" w:color="0000EE"/>
              <w:bottom w:val="single" w:sz="8" w:color="D8D8D8"/>
            </w:tcBorders>
            <w:gridSpan w:val="17"/>
          </w:tcPr>
          <w:p>
            <w:pPr>
              <w:spacing w:after="0"/>
              <w:rPr>
                <w:sz w:val="3"/>
                <w:szCs w:val="3"/>
                <w:color w:val="auto"/>
              </w:rPr>
            </w:pPr>
          </w:p>
        </w:tc>
        <w:tc>
          <w:tcPr>
            <w:tcW w:w="1600" w:type="dxa"/>
            <w:vAlign w:val="bottom"/>
            <w:tcBorders>
              <w:bottom w:val="single" w:sz="8" w:color="D8D8D8"/>
            </w:tcBorders>
            <w:gridSpan w:val="21"/>
          </w:tcPr>
          <w:p>
            <w:pPr>
              <w:spacing w:after="0"/>
              <w:rPr>
                <w:sz w:val="3"/>
                <w:szCs w:val="3"/>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720" w:type="dxa"/>
            <w:vAlign w:val="bottom"/>
            <w:tcBorders>
              <w:bottom w:val="single" w:sz="8" w:color="A5A5A5"/>
            </w:tcBorders>
            <w:gridSpan w:val="9"/>
          </w:tcPr>
          <w:p>
            <w:pPr>
              <w:spacing w:after="0"/>
              <w:rPr>
                <w:sz w:val="3"/>
                <w:szCs w:val="3"/>
                <w:color w:val="auto"/>
              </w:rPr>
            </w:pPr>
          </w:p>
        </w:tc>
        <w:tc>
          <w:tcPr>
            <w:tcW w:w="640" w:type="dxa"/>
            <w:vAlign w:val="bottom"/>
            <w:tcBorders>
              <w:top w:val="single" w:sz="8" w:color="0000EE"/>
              <w:bottom w:val="single" w:sz="8" w:color="A5A5A5"/>
            </w:tcBorders>
            <w:gridSpan w:val="3"/>
          </w:tcPr>
          <w:p>
            <w:pPr>
              <w:spacing w:after="0"/>
              <w:rPr>
                <w:sz w:val="3"/>
                <w:szCs w:val="3"/>
                <w:color w:val="auto"/>
              </w:rPr>
            </w:pPr>
          </w:p>
        </w:tc>
        <w:tc>
          <w:tcPr>
            <w:tcW w:w="3000" w:type="dxa"/>
            <w:vAlign w:val="bottom"/>
            <w:tcBorders>
              <w:bottom w:val="single" w:sz="8" w:color="A5A5A5"/>
            </w:tcBorders>
            <w:gridSpan w:val="35"/>
          </w:tcPr>
          <w:p>
            <w:pPr>
              <w:spacing w:after="0"/>
              <w:rPr>
                <w:sz w:val="3"/>
                <w:szCs w:val="3"/>
                <w:color w:val="auto"/>
              </w:rPr>
            </w:pP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360" w:type="dxa"/>
            <w:vAlign w:val="bottom"/>
            <w:gridSpan w:val="4"/>
          </w:tcPr>
          <w:p>
            <w:pPr>
              <w:spacing w:after="0" w:line="130"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tcPr>
          <w:p>
            <w:pPr>
              <w:jc w:val="right"/>
              <w:ind w:right="20"/>
              <w:spacing w:after="0" w:line="130" w:lineRule="exact"/>
              <w:rPr>
                <w:sz w:val="20"/>
                <w:szCs w:val="20"/>
                <w:color w:val="auto"/>
              </w:rPr>
            </w:pPr>
            <w:r>
              <w:rPr>
                <w:rFonts w:ascii="Arial" w:cs="Arial" w:eastAsia="Arial" w:hAnsi="Arial"/>
                <w:sz w:val="14"/>
                <w:szCs w:val="14"/>
                <w:i w:val="1"/>
                <w:iCs w:val="1"/>
                <w:color w:val="0000EE"/>
                <w:w w:val="89"/>
              </w:rPr>
              <w:t>49</w:t>
            </w:r>
          </w:p>
        </w:tc>
        <w:tc>
          <w:tcPr>
            <w:tcW w:w="180" w:type="dxa"/>
            <w:vAlign w:val="bottom"/>
          </w:tcPr>
          <w:p>
            <w:pPr>
              <w:ind w:left="20"/>
              <w:spacing w:after="0" w:line="130"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11"/>
                <w:szCs w:val="11"/>
                <w:color w:val="auto"/>
              </w:rPr>
            </w:pPr>
          </w:p>
        </w:tc>
        <w:tc>
          <w:tcPr>
            <w:tcW w:w="3600" w:type="dxa"/>
            <w:vAlign w:val="bottom"/>
            <w:gridSpan w:val="39"/>
          </w:tcPr>
          <w:p>
            <w:pPr>
              <w:ind w:left="120"/>
              <w:spacing w:after="0" w:line="130" w:lineRule="exact"/>
              <w:rPr>
                <w:sz w:val="20"/>
                <w:szCs w:val="20"/>
                <w:color w:val="auto"/>
              </w:rPr>
            </w:pPr>
            <w:r>
              <w:rPr>
                <w:rFonts w:ascii="Arial" w:cs="Arial" w:eastAsia="Arial" w:hAnsi="Arial"/>
                <w:sz w:val="14"/>
                <w:szCs w:val="14"/>
                <w:i w:val="1"/>
                <w:iCs w:val="1"/>
                <w:color w:val="0000EE"/>
              </w:rPr>
              <w:t>2023 CEO Compensation</w:t>
            </w:r>
          </w:p>
        </w:tc>
        <w:tc>
          <w:tcPr>
            <w:tcW w:w="480" w:type="dxa"/>
            <w:vAlign w:val="bottom"/>
            <w:gridSpan w:val="2"/>
            <w:vMerge w:val="continue"/>
          </w:tcPr>
          <w:p>
            <w:pPr>
              <w:spacing w:after="0"/>
              <w:rPr>
                <w:sz w:val="11"/>
                <w:szCs w:val="11"/>
                <w:color w:val="auto"/>
              </w:rPr>
            </w:pPr>
          </w:p>
        </w:tc>
        <w:tc>
          <w:tcPr>
            <w:tcW w:w="60" w:type="dxa"/>
            <w:vAlign w:val="bottom"/>
          </w:tcPr>
          <w:p>
            <w:pPr>
              <w:ind w:left="2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3"/>
            <w:vMerge w:val="restart"/>
          </w:tcPr>
          <w:p>
            <w:pPr>
              <w:ind w:left="20"/>
              <w:spacing w:after="0"/>
              <w:rPr>
                <w:sz w:val="20"/>
                <w:szCs w:val="20"/>
                <w:color w:val="auto"/>
              </w:rPr>
            </w:pPr>
            <w:r>
              <w:rPr>
                <w:rFonts w:ascii="Arial" w:cs="Arial" w:eastAsia="Arial" w:hAnsi="Arial"/>
                <w:sz w:val="14"/>
                <w:szCs w:val="14"/>
                <w:color w:val="0000EE"/>
              </w:rPr>
              <w:t>97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ind w:left="20"/>
              <w:spacing w:after="0" w:line="130" w:lineRule="exact"/>
              <w:rPr>
                <w:sz w:val="20"/>
                <w:szCs w:val="20"/>
                <w:color w:val="auto"/>
              </w:rPr>
            </w:pPr>
            <w:r>
              <w:rPr>
                <w:rFonts w:ascii="Arial" w:cs="Arial" w:eastAsia="Arial" w:hAnsi="Arial"/>
                <w:sz w:val="14"/>
                <w:szCs w:val="14"/>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color w:val="0000EE"/>
              </w:rPr>
              <w:t>DISTRIBUTION OF CERTAIN DOCUMENTS</w:t>
            </w: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360" w:type="dxa"/>
            <w:vAlign w:val="bottom"/>
            <w:tcBorders>
              <w:bottom w:val="single" w:sz="8" w:color="D8D8D8"/>
            </w:tcBorders>
            <w:gridSpan w:val="4"/>
          </w:tcPr>
          <w:p>
            <w:pPr>
              <w:spacing w:after="0"/>
              <w:rPr>
                <w:sz w:val="3"/>
                <w:szCs w:val="3"/>
                <w:color w:val="auto"/>
              </w:rPr>
            </w:pPr>
          </w:p>
        </w:tc>
        <w:tc>
          <w:tcPr>
            <w:tcW w:w="160" w:type="dxa"/>
            <w:vAlign w:val="bottom"/>
            <w:tcBorders>
              <w:top w:val="single" w:sz="8" w:color="0000EE"/>
              <w:bottom w:val="single" w:sz="8" w:color="D8D8D8"/>
            </w:tcBorders>
          </w:tcPr>
          <w:p>
            <w:pPr>
              <w:spacing w:after="0"/>
              <w:rPr>
                <w:sz w:val="3"/>
                <w:szCs w:val="3"/>
                <w:color w:val="auto"/>
              </w:rPr>
            </w:pPr>
          </w:p>
        </w:tc>
        <w:tc>
          <w:tcPr>
            <w:tcW w:w="340" w:type="dxa"/>
            <w:vAlign w:val="bottom"/>
            <w:tcBorders>
              <w:bottom w:val="single" w:sz="8" w:color="D8D8D8"/>
            </w:tcBorders>
            <w:gridSpan w:val="4"/>
          </w:tcPr>
          <w:p>
            <w:pPr>
              <w:spacing w:after="0"/>
              <w:rPr>
                <w:sz w:val="3"/>
                <w:szCs w:val="3"/>
                <w:color w:val="auto"/>
              </w:rPr>
            </w:pPr>
          </w:p>
        </w:tc>
        <w:tc>
          <w:tcPr>
            <w:tcW w:w="1640" w:type="dxa"/>
            <w:vAlign w:val="bottom"/>
            <w:tcBorders>
              <w:top w:val="single" w:sz="8" w:color="0000EE"/>
              <w:bottom w:val="single" w:sz="8" w:color="D8D8D8"/>
            </w:tcBorders>
            <w:gridSpan w:val="12"/>
          </w:tcPr>
          <w:p>
            <w:pPr>
              <w:spacing w:after="0"/>
              <w:rPr>
                <w:sz w:val="3"/>
                <w:szCs w:val="3"/>
                <w:color w:val="auto"/>
              </w:rPr>
            </w:pPr>
          </w:p>
        </w:tc>
        <w:tc>
          <w:tcPr>
            <w:tcW w:w="1860" w:type="dxa"/>
            <w:vAlign w:val="bottom"/>
            <w:tcBorders>
              <w:bottom w:val="single" w:sz="8" w:color="D8D8D8"/>
            </w:tcBorders>
            <w:gridSpan w:val="27"/>
          </w:tcPr>
          <w:p>
            <w:pPr>
              <w:spacing w:after="0"/>
              <w:rPr>
                <w:sz w:val="3"/>
                <w:szCs w:val="3"/>
                <w:color w:val="auto"/>
              </w:rPr>
            </w:pPr>
          </w:p>
        </w:tc>
        <w:tc>
          <w:tcPr>
            <w:tcW w:w="460" w:type="dxa"/>
            <w:vAlign w:val="bottom"/>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400" w:type="dxa"/>
            <w:vAlign w:val="bottom"/>
            <w:gridSpan w:val="4"/>
          </w:tcPr>
          <w:p>
            <w:pPr>
              <w:spacing w:after="0"/>
              <w:rPr>
                <w:sz w:val="3"/>
                <w:szCs w:val="3"/>
                <w:color w:val="auto"/>
              </w:rPr>
            </w:pPr>
          </w:p>
        </w:tc>
        <w:tc>
          <w:tcPr>
            <w:tcW w:w="3640" w:type="dxa"/>
            <w:vAlign w:val="bottom"/>
            <w:gridSpan w:val="38"/>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i w:val="1"/>
                <w:iCs w:val="1"/>
                <w:color w:val="0000EE"/>
                <w:w w:val="89"/>
              </w:rPr>
              <w:t>49</w:t>
            </w:r>
          </w:p>
        </w:tc>
        <w:tc>
          <w:tcPr>
            <w:tcW w:w="180" w:type="dxa"/>
            <w:vAlign w:val="bottom"/>
            <w:vMerge w:val="restart"/>
          </w:tcPr>
          <w:p>
            <w:pPr>
              <w:ind w:left="20"/>
              <w:spacing w:after="0" w:line="149"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line="149" w:lineRule="exact"/>
              <w:rPr>
                <w:sz w:val="20"/>
                <w:szCs w:val="20"/>
                <w:color w:val="auto"/>
              </w:rPr>
            </w:pPr>
            <w:r>
              <w:rPr>
                <w:rFonts w:ascii="Arial" w:cs="Arial" w:eastAsia="Arial" w:hAnsi="Arial"/>
                <w:sz w:val="14"/>
                <w:szCs w:val="14"/>
                <w:i w:val="1"/>
                <w:iCs w:val="1"/>
                <w:color w:val="0000EE"/>
              </w:rPr>
              <w:t>2023 Stockholder Outreach</w:t>
            </w:r>
          </w:p>
        </w:tc>
        <w:tc>
          <w:tcPr>
            <w:tcW w:w="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80" w:type="dxa"/>
            <w:vAlign w:val="bottom"/>
            <w:tcBorders>
              <w:bottom w:val="single" w:sz="8" w:color="A5A5A5"/>
            </w:tcBorders>
            <w:gridSpan w:val="2"/>
          </w:tcPr>
          <w:p>
            <w:pPr>
              <w:spacing w:after="0" w:line="20" w:lineRule="exact"/>
              <w:rPr>
                <w:sz w:val="1"/>
                <w:szCs w:val="1"/>
                <w:color w:val="auto"/>
              </w:rPr>
            </w:pPr>
          </w:p>
        </w:tc>
        <w:tc>
          <w:tcPr>
            <w:tcW w:w="18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bottom w:val="single" w:sz="8" w:color="A5A5A5"/>
            </w:tcBorders>
            <w:gridSpan w:val="6"/>
          </w:tcPr>
          <w:p>
            <w:pPr>
              <w:spacing w:after="0" w:line="20" w:lineRule="exact"/>
              <w:rPr>
                <w:sz w:val="1"/>
                <w:szCs w:val="1"/>
                <w:color w:val="auto"/>
              </w:rPr>
            </w:pPr>
          </w:p>
        </w:tc>
        <w:tc>
          <w:tcPr>
            <w:tcW w:w="2760" w:type="dxa"/>
            <w:vAlign w:val="bottom"/>
            <w:tcBorders>
              <w:top w:val="single" w:sz="8" w:color="0000EE"/>
              <w:bottom w:val="single" w:sz="8" w:color="A5A5A5"/>
            </w:tcBorders>
            <w:gridSpan w:val="22"/>
          </w:tcPr>
          <w:p>
            <w:pPr>
              <w:spacing w:after="0" w:line="20" w:lineRule="exact"/>
              <w:rPr>
                <w:sz w:val="1"/>
                <w:szCs w:val="1"/>
                <w:color w:val="auto"/>
              </w:rPr>
            </w:pPr>
          </w:p>
        </w:tc>
        <w:tc>
          <w:tcPr>
            <w:tcW w:w="880" w:type="dxa"/>
            <w:vAlign w:val="bottom"/>
            <w:tcBorders>
              <w:bottom w:val="single" w:sz="8" w:color="A5A5A5"/>
            </w:tcBorders>
            <w:gridSpan w:val="1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360" w:type="dxa"/>
            <w:vAlign w:val="bottom"/>
            <w:gridSpan w:val="4"/>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39"/>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60" w:type="dxa"/>
            <w:vAlign w:val="bottom"/>
            <w:gridSpan w:val="5"/>
            <w:vMerge w:val="restart"/>
          </w:tcPr>
          <w:p>
            <w:pPr>
              <w:ind w:left="20"/>
              <w:spacing w:after="0" w:line="203"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3"/>
                <w:szCs w:val="13"/>
                <w:color w:val="0000EE"/>
              </w:rPr>
              <w:t xml:space="preserve"> 97</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color w:val="0000EE"/>
              </w:rPr>
              <w:t>STATEMENT REGARDING THE DELIVERY OF A</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1760" w:type="dxa"/>
            <w:vAlign w:val="bottom"/>
            <w:tcBorders>
              <w:top w:val="single" w:sz="8" w:color="0000EE"/>
              <w:bottom w:val="single" w:sz="8" w:color="D8D8D8"/>
            </w:tcBorders>
            <w:gridSpan w:val="14"/>
          </w:tcPr>
          <w:p>
            <w:pPr>
              <w:spacing w:after="0" w:line="20" w:lineRule="exact"/>
              <w:rPr>
                <w:sz w:val="1"/>
                <w:szCs w:val="1"/>
                <w:color w:val="auto"/>
              </w:rPr>
            </w:pPr>
          </w:p>
        </w:tc>
        <w:tc>
          <w:tcPr>
            <w:tcW w:w="1740" w:type="dxa"/>
            <w:vAlign w:val="bottom"/>
            <w:tcBorders>
              <w:bottom w:val="single" w:sz="8" w:color="D8D8D8"/>
            </w:tcBorders>
            <w:gridSpan w:val="2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5"/>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60" w:type="dxa"/>
            <w:vAlign w:val="bottom"/>
            <w:gridSpan w:val="4"/>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160" w:type="dxa"/>
            <w:vAlign w:val="bottom"/>
            <w:vMerge w:val="restart"/>
          </w:tcPr>
          <w:p>
            <w:pPr>
              <w:jc w:val="right"/>
              <w:spacing w:after="0" w:line="155" w:lineRule="exact"/>
              <w:rPr>
                <w:sz w:val="20"/>
                <w:szCs w:val="20"/>
                <w:color w:val="auto"/>
              </w:rPr>
            </w:pPr>
            <w:r>
              <w:rPr>
                <w:rFonts w:ascii="Arial" w:cs="Arial" w:eastAsia="Arial" w:hAnsi="Arial"/>
                <w:sz w:val="14"/>
                <w:szCs w:val="14"/>
                <w:i w:val="1"/>
                <w:iCs w:val="1"/>
                <w:color w:val="0000EE"/>
                <w:w w:val="89"/>
              </w:rPr>
              <w:t>51</w:t>
            </w:r>
          </w:p>
        </w:tc>
        <w:tc>
          <w:tcPr>
            <w:tcW w:w="20" w:type="dxa"/>
            <w:vAlign w:val="bottom"/>
          </w:tcPr>
          <w:p>
            <w:pPr>
              <w:spacing w:after="0"/>
              <w:rPr>
                <w:sz w:val="2"/>
                <w:szCs w:val="2"/>
                <w:color w:val="auto"/>
              </w:rPr>
            </w:pPr>
          </w:p>
        </w:tc>
        <w:tc>
          <w:tcPr>
            <w:tcW w:w="180" w:type="dxa"/>
            <w:vAlign w:val="bottom"/>
            <w:vMerge w:val="restart"/>
          </w:tcPr>
          <w:p>
            <w:pPr>
              <w:ind w:left="20"/>
              <w:spacing w:after="0" w:line="155"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22"/>
            <w:vMerge w:val="restart"/>
          </w:tcPr>
          <w:p>
            <w:pPr>
              <w:spacing w:after="0" w:line="155" w:lineRule="exact"/>
              <w:rPr>
                <w:sz w:val="20"/>
                <w:szCs w:val="20"/>
                <w:color w:val="auto"/>
              </w:rPr>
            </w:pPr>
            <w:r>
              <w:rPr>
                <w:rFonts w:ascii="Arial" w:cs="Arial" w:eastAsia="Arial" w:hAnsi="Arial"/>
                <w:sz w:val="14"/>
                <w:szCs w:val="14"/>
                <w:i w:val="1"/>
                <w:iCs w:val="1"/>
                <w:color w:val="0000EE"/>
              </w:rPr>
              <w:t>Key Components of Compensation</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vMerge w:val="restart"/>
          </w:tcPr>
          <w:p>
            <w:pPr>
              <w:spacing w:after="0" w:line="155" w:lineRule="exact"/>
              <w:rPr>
                <w:sz w:val="20"/>
                <w:szCs w:val="20"/>
                <w:color w:val="auto"/>
              </w:rPr>
            </w:pPr>
            <w:r>
              <w:rPr>
                <w:rFonts w:ascii="Arial" w:cs="Arial" w:eastAsia="Arial" w:hAnsi="Arial"/>
                <w:sz w:val="14"/>
                <w:szCs w:val="14"/>
                <w:i w:val="1"/>
                <w:iCs w:val="1"/>
                <w:color w:val="auto"/>
              </w:rPr>
              <w:t>​</w:t>
            </w:r>
          </w:p>
        </w:tc>
        <w:tc>
          <w:tcPr>
            <w:tcW w:w="360" w:type="dxa"/>
            <w:vAlign w:val="bottom"/>
            <w:gridSpan w:val="5"/>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640" w:type="dxa"/>
            <w:vAlign w:val="bottom"/>
            <w:gridSpan w:val="38"/>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22"/>
            <w:vMerge w:val="continu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11"/>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80" w:type="dxa"/>
            <w:vAlign w:val="bottom"/>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160" w:type="dxa"/>
            <w:vAlign w:val="bottom"/>
            <w:tcBorders>
              <w:bottom w:val="single" w:sz="8" w:color="0000EE"/>
            </w:tcBorders>
            <w:vMerge w:val="continue"/>
          </w:tcPr>
          <w:p>
            <w:pPr>
              <w:spacing w:after="0"/>
              <w:rPr>
                <w:sz w:val="10"/>
                <w:szCs w:val="10"/>
                <w:color w:val="auto"/>
              </w:rPr>
            </w:pPr>
          </w:p>
        </w:tc>
        <w:tc>
          <w:tcPr>
            <w:tcW w:w="20" w:type="dxa"/>
            <w:vAlign w:val="bottom"/>
            <w:vMerge w:val="restart"/>
          </w:tcPr>
          <w:p>
            <w:pPr>
              <w:spacing w:after="0"/>
              <w:rPr>
                <w:sz w:val="10"/>
                <w:szCs w:val="10"/>
                <w:color w:val="auto"/>
              </w:rPr>
            </w:pPr>
          </w:p>
        </w:tc>
        <w:tc>
          <w:tcPr>
            <w:tcW w:w="1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2240" w:type="dxa"/>
            <w:vAlign w:val="bottom"/>
            <w:tcBorders>
              <w:bottom w:val="single" w:sz="8" w:color="0000EE"/>
            </w:tcBorders>
            <w:gridSpan w:val="22"/>
            <w:vMerge w:val="continue"/>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220" w:type="dxa"/>
            <w:vAlign w:val="bottom"/>
            <w:gridSpan w:val="3"/>
            <w:vMerge w:val="restart"/>
          </w:tcPr>
          <w:p>
            <w:pPr>
              <w:spacing w:after="0"/>
              <w:rPr>
                <w:sz w:val="10"/>
                <w:szCs w:val="10"/>
                <w:color w:val="auto"/>
              </w:rPr>
            </w:pPr>
          </w:p>
        </w:tc>
        <w:tc>
          <w:tcPr>
            <w:tcW w:w="220" w:type="dxa"/>
            <w:vAlign w:val="bottom"/>
            <w:gridSpan w:val="3"/>
            <w:vMerge w:val="restart"/>
          </w:tcPr>
          <w:p>
            <w:pPr>
              <w:spacing w:after="0"/>
              <w:rPr>
                <w:sz w:val="10"/>
                <w:szCs w:val="10"/>
                <w:color w:val="auto"/>
              </w:rPr>
            </w:pPr>
          </w:p>
        </w:tc>
        <w:tc>
          <w:tcPr>
            <w:tcW w:w="440" w:type="dxa"/>
            <w:vAlign w:val="bottom"/>
            <w:gridSpan w:val="6"/>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37"/>
            <w:vMerge w:val="restart"/>
          </w:tcPr>
          <w:p>
            <w:pPr>
              <w:spacing w:after="0" w:line="155" w:lineRule="exact"/>
              <w:rPr>
                <w:sz w:val="20"/>
                <w:szCs w:val="20"/>
                <w:color w:val="auto"/>
              </w:rPr>
            </w:pPr>
            <w:r>
              <w:rPr>
                <w:rFonts w:ascii="Arial" w:cs="Arial" w:eastAsia="Arial" w:hAnsi="Arial"/>
                <w:sz w:val="14"/>
                <w:szCs w:val="14"/>
                <w:color w:val="0000EE"/>
              </w:rPr>
              <w:t>SINGLE SET OF MATERIALS TO HOUSEHOLDS WITH</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440" w:type="dxa"/>
            <w:vAlign w:val="bottom"/>
            <w:gridSpan w:val="6"/>
            <w:vMerge w:val="continue"/>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20" w:type="dxa"/>
            <w:vAlign w:val="bottom"/>
            <w:gridSpan w:val="37"/>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60" w:type="dxa"/>
            <w:vAlign w:val="bottom"/>
            <w:tcBorders>
              <w:top w:val="single" w:sz="8" w:color="D8D8D8"/>
              <w:bottom w:val="single" w:sz="8" w:color="D8D8D8"/>
            </w:tcBorders>
            <w:gridSpan w:val="4"/>
          </w:tcPr>
          <w:p>
            <w:pPr>
              <w:spacing w:after="0" w:line="142" w:lineRule="exact"/>
              <w:rPr>
                <w:sz w:val="20"/>
                <w:szCs w:val="20"/>
                <w:color w:val="auto"/>
              </w:rPr>
            </w:pPr>
            <w:r>
              <w:rPr>
                <w:rFonts w:ascii="Arial" w:cs="Arial" w:eastAsia="Arial" w:hAnsi="Arial"/>
                <w:sz w:val="14"/>
                <w:szCs w:val="14"/>
                <w:i w:val="1"/>
                <w:iCs w:val="1"/>
                <w:color w:val="auto"/>
              </w:rPr>
              <w:t>​</w:t>
            </w:r>
          </w:p>
        </w:tc>
        <w:tc>
          <w:tcPr>
            <w:tcW w:w="180" w:type="dxa"/>
            <w:vAlign w:val="bottom"/>
            <w:tcBorders>
              <w:top w:val="single" w:sz="8" w:color="D8D8D8"/>
              <w:bottom w:val="single" w:sz="8" w:color="D8D8D8"/>
            </w:tcBorders>
            <w:gridSpan w:val="2"/>
          </w:tcPr>
          <w:p>
            <w:pPr>
              <w:jc w:val="right"/>
              <w:ind w:right="20"/>
              <w:spacing w:after="0" w:line="142" w:lineRule="exact"/>
              <w:rPr>
                <w:sz w:val="20"/>
                <w:szCs w:val="20"/>
                <w:color w:val="auto"/>
              </w:rPr>
            </w:pPr>
            <w:r>
              <w:rPr>
                <w:rFonts w:ascii="Arial" w:cs="Arial" w:eastAsia="Arial" w:hAnsi="Arial"/>
                <w:sz w:val="14"/>
                <w:szCs w:val="14"/>
                <w:i w:val="1"/>
                <w:iCs w:val="1"/>
                <w:color w:val="0000EE"/>
                <w:w w:val="89"/>
              </w:rPr>
              <w:t>57</w:t>
            </w:r>
          </w:p>
        </w:tc>
        <w:tc>
          <w:tcPr>
            <w:tcW w:w="180" w:type="dxa"/>
            <w:vAlign w:val="bottom"/>
            <w:tcBorders>
              <w:top w:val="single" w:sz="8" w:color="D8D8D8"/>
              <w:bottom w:val="single" w:sz="8" w:color="D8D8D8"/>
            </w:tcBorders>
          </w:tcPr>
          <w:p>
            <w:pPr>
              <w:ind w:left="20"/>
              <w:spacing w:after="0" w:line="142" w:lineRule="exact"/>
              <w:rPr>
                <w:sz w:val="20"/>
                <w:szCs w:val="20"/>
                <w:color w:val="auto"/>
              </w:rPr>
            </w:pPr>
            <w:r>
              <w:rPr>
                <w:rFonts w:ascii="Arial" w:cs="Arial" w:eastAsia="Arial" w:hAnsi="Arial"/>
                <w:sz w:val="14"/>
                <w:szCs w:val="14"/>
                <w:i w:val="1"/>
                <w:iCs w:val="1"/>
                <w:color w:val="auto"/>
              </w:rPr>
              <w:t>​ ​</w:t>
            </w:r>
          </w:p>
        </w:tc>
        <w:tc>
          <w:tcPr>
            <w:tcW w:w="20" w:type="dxa"/>
            <w:vAlign w:val="bottom"/>
            <w:tcBorders>
              <w:top w:val="single" w:sz="8" w:color="D8D8D8"/>
            </w:tcBorders>
          </w:tcPr>
          <w:p>
            <w:pPr>
              <w:spacing w:after="0"/>
              <w:rPr>
                <w:sz w:val="12"/>
                <w:szCs w:val="12"/>
                <w:color w:val="auto"/>
              </w:rPr>
            </w:pPr>
          </w:p>
        </w:tc>
        <w:tc>
          <w:tcPr>
            <w:tcW w:w="3600" w:type="dxa"/>
            <w:vAlign w:val="bottom"/>
            <w:tcBorders>
              <w:top w:val="single" w:sz="8" w:color="D8D8D8"/>
              <w:bottom w:val="single" w:sz="8" w:color="D8D8D8"/>
            </w:tcBorders>
            <w:gridSpan w:val="39"/>
          </w:tcPr>
          <w:p>
            <w:pPr>
              <w:ind w:left="120"/>
              <w:spacing w:after="0" w:line="142" w:lineRule="exact"/>
              <w:rPr>
                <w:sz w:val="20"/>
                <w:szCs w:val="20"/>
                <w:color w:val="auto"/>
              </w:rPr>
            </w:pPr>
            <w:r>
              <w:rPr>
                <w:rFonts w:ascii="Arial" w:cs="Arial" w:eastAsia="Arial" w:hAnsi="Arial"/>
                <w:sz w:val="14"/>
                <w:szCs w:val="14"/>
                <w:i w:val="1"/>
                <w:iCs w:val="1"/>
                <w:color w:val="0000EE"/>
              </w:rPr>
              <w:t>Employment Agreements, Offer Letters and</w:t>
            </w: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tcBorders>
              <w:top w:val="single" w:sz="8" w:color="0000EE"/>
              <w:bottom w:val="single" w:sz="8" w:color="0000EE"/>
            </w:tcBorders>
            <w:gridSpan w:val="11"/>
          </w:tcPr>
          <w:p>
            <w:pPr>
              <w:spacing w:after="0" w:line="129" w:lineRule="exact"/>
              <w:rPr>
                <w:sz w:val="20"/>
                <w:szCs w:val="20"/>
                <w:color w:val="auto"/>
              </w:rPr>
            </w:pPr>
            <w:r>
              <w:rPr>
                <w:rFonts w:ascii="Arial" w:cs="Arial" w:eastAsia="Arial" w:hAnsi="Arial"/>
                <w:sz w:val="14"/>
                <w:szCs w:val="14"/>
                <w:color w:val="0000EE"/>
                <w:w w:val="97"/>
              </w:rPr>
              <w:t>MULTIPLE STOCKHOLDERS</w:t>
            </w:r>
          </w:p>
        </w:tc>
        <w:tc>
          <w:tcPr>
            <w:tcW w:w="480" w:type="dxa"/>
            <w:vAlign w:val="bottom"/>
            <w:tcBorders>
              <w:top w:val="single" w:sz="8" w:color="0000EE"/>
              <w:bottom w:val="single" w:sz="8" w:color="0000EE"/>
            </w:tcBorders>
            <w:gridSpan w:val="4"/>
          </w:tcPr>
          <w:p>
            <w:pPr>
              <w:spacing w:after="0"/>
              <w:rPr>
                <w:sz w:val="12"/>
                <w:szCs w:val="12"/>
                <w:color w:val="auto"/>
              </w:rPr>
            </w:pPr>
          </w:p>
        </w:tc>
        <w:tc>
          <w:tcPr>
            <w:tcW w:w="360" w:type="dxa"/>
            <w:vAlign w:val="bottom"/>
            <w:tcBorders>
              <w:top w:val="single" w:sz="8" w:color="0000EE"/>
              <w:bottom w:val="single" w:sz="8" w:color="0000EE"/>
            </w:tcBorders>
            <w:gridSpan w:val="5"/>
          </w:tcPr>
          <w:p>
            <w:pPr>
              <w:spacing w:after="0"/>
              <w:rPr>
                <w:sz w:val="12"/>
                <w:szCs w:val="12"/>
                <w:color w:val="auto"/>
              </w:rPr>
            </w:pPr>
          </w:p>
        </w:tc>
        <w:tc>
          <w:tcPr>
            <w:tcW w:w="780" w:type="dxa"/>
            <w:vAlign w:val="bottom"/>
            <w:tcBorders>
              <w:top w:val="single" w:sz="8" w:color="0000EE"/>
              <w:bottom w:val="single" w:sz="8" w:color="0000EE"/>
            </w:tcBorders>
            <w:gridSpan w:val="14"/>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140" w:type="dxa"/>
            <w:vAlign w:val="bottom"/>
            <w:gridSpan w:val="5"/>
          </w:tcPr>
          <w:p>
            <w:pPr>
              <w:spacing w:after="0"/>
              <w:rPr>
                <w:sz w:val="3"/>
                <w:szCs w:val="3"/>
                <w:color w:val="auto"/>
              </w:rPr>
            </w:pPr>
          </w:p>
        </w:tc>
        <w:tc>
          <w:tcPr>
            <w:tcW w:w="160" w:type="dxa"/>
            <w:vAlign w:val="bottom"/>
            <w:tcBorders>
              <w:bottom w:val="single" w:sz="8" w:color="0000EE"/>
            </w:tcBorders>
          </w:tcPr>
          <w:p>
            <w:pPr>
              <w:spacing w:after="0"/>
              <w:rPr>
                <w:sz w:val="3"/>
                <w:szCs w:val="3"/>
                <w:color w:val="auto"/>
              </w:rPr>
            </w:pPr>
          </w:p>
        </w:tc>
        <w:tc>
          <w:tcPr>
            <w:tcW w:w="340" w:type="dxa"/>
            <w:vAlign w:val="bottom"/>
            <w:gridSpan w:val="4"/>
          </w:tcPr>
          <w:p>
            <w:pPr>
              <w:spacing w:after="0"/>
              <w:rPr>
                <w:sz w:val="3"/>
                <w:szCs w:val="3"/>
                <w:color w:val="auto"/>
              </w:rPr>
            </w:pPr>
          </w:p>
        </w:tc>
        <w:tc>
          <w:tcPr>
            <w:tcW w:w="2780" w:type="dxa"/>
            <w:vAlign w:val="bottom"/>
            <w:tcBorders>
              <w:bottom w:val="single" w:sz="8" w:color="0000EE"/>
            </w:tcBorders>
            <w:gridSpan w:val="30"/>
          </w:tcPr>
          <w:p>
            <w:pPr>
              <w:spacing w:after="0"/>
              <w:rPr>
                <w:sz w:val="3"/>
                <w:szCs w:val="3"/>
                <w:color w:val="auto"/>
              </w:rPr>
            </w:pPr>
          </w:p>
        </w:tc>
        <w:tc>
          <w:tcPr>
            <w:tcW w:w="6300" w:type="dxa"/>
            <w:vAlign w:val="bottom"/>
            <w:gridSpan w:val="58"/>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360" w:type="dxa"/>
            <w:vAlign w:val="bottom"/>
            <w:tcBorders>
              <w:bottom w:val="single" w:sz="8" w:color="0000EE"/>
            </w:tcBorders>
            <w:gridSpan w:val="10"/>
          </w:tcPr>
          <w:p>
            <w:pPr>
              <w:spacing w:after="0" w:line="122" w:lineRule="exact"/>
              <w:rPr>
                <w:sz w:val="20"/>
                <w:szCs w:val="20"/>
                <w:color w:val="auto"/>
              </w:rPr>
            </w:pPr>
            <w:r>
              <w:rPr>
                <w:rFonts w:ascii="Arial" w:cs="Arial" w:eastAsia="Arial" w:hAnsi="Arial"/>
                <w:sz w:val="14"/>
                <w:szCs w:val="14"/>
                <w:i w:val="1"/>
                <w:iCs w:val="1"/>
                <w:color w:val="0000EE"/>
              </w:rPr>
              <w:t>Severance Payments</w:t>
            </w:r>
          </w:p>
        </w:tc>
        <w:tc>
          <w:tcPr>
            <w:tcW w:w="980" w:type="dxa"/>
            <w:vAlign w:val="bottom"/>
            <w:gridSpan w:val="14"/>
            <w:vMerge w:val="restart"/>
          </w:tcPr>
          <w:p>
            <w:pPr>
              <w:spacing w:after="0"/>
              <w:rPr>
                <w:sz w:val="10"/>
                <w:szCs w:val="10"/>
                <w:color w:val="auto"/>
              </w:rPr>
            </w:pPr>
          </w:p>
        </w:tc>
        <w:tc>
          <w:tcPr>
            <w:tcW w:w="220" w:type="dxa"/>
            <w:vAlign w:val="bottom"/>
            <w:gridSpan w:val="3"/>
            <w:vMerge w:val="restart"/>
          </w:tcPr>
          <w:p>
            <w:pPr>
              <w:spacing w:after="0"/>
              <w:rPr>
                <w:sz w:val="10"/>
                <w:szCs w:val="10"/>
                <w:color w:val="auto"/>
              </w:rPr>
            </w:pPr>
          </w:p>
        </w:tc>
        <w:tc>
          <w:tcPr>
            <w:tcW w:w="660" w:type="dxa"/>
            <w:vAlign w:val="bottom"/>
            <w:gridSpan w:val="9"/>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Borders>
              <w:top w:val="single" w:sz="8" w:color="A5A5A5"/>
              <w:bottom w:val="single" w:sz="8" w:color="A5A5A5"/>
            </w:tcBorders>
            <w:gridSpan w:val="5"/>
            <w:vMerge w:val="restart"/>
          </w:tcPr>
          <w:p>
            <w:pPr>
              <w:ind w:left="20"/>
              <w:spacing w:after="0" w:line="163" w:lineRule="exact"/>
              <w:rPr>
                <w:sz w:val="20"/>
                <w:szCs w:val="20"/>
                <w:color w:val="auto"/>
              </w:rPr>
            </w:pPr>
            <w:r>
              <w:rPr>
                <w:rFonts w:ascii="Arial" w:cs="Arial" w:eastAsia="Arial" w:hAnsi="Arial"/>
                <w:sz w:val="18"/>
                <w:szCs w:val="18"/>
                <w:color w:val="000000"/>
                <w:vertAlign w:val="superscript"/>
              </w:rPr>
              <w:t>​</w:t>
            </w:r>
            <w:r>
              <w:rPr>
                <w:rFonts w:ascii="Arial" w:cs="Arial" w:eastAsia="Arial" w:hAnsi="Arial"/>
                <w:sz w:val="11"/>
                <w:szCs w:val="11"/>
                <w:color w:val="0000EE"/>
              </w:rPr>
              <w:t xml:space="preserve"> 98</w:t>
            </w:r>
          </w:p>
        </w:tc>
        <w:tc>
          <w:tcPr>
            <w:tcW w:w="160" w:type="dxa"/>
            <w:vAlign w:val="bottom"/>
            <w:tcBorders>
              <w:top w:val="single" w:sz="8" w:color="A5A5A5"/>
            </w:tcBorders>
          </w:tcPr>
          <w:p>
            <w:pPr>
              <w:spacing w:after="0"/>
              <w:rPr>
                <w:sz w:val="10"/>
                <w:szCs w:val="10"/>
                <w:color w:val="auto"/>
              </w:rPr>
            </w:pPr>
          </w:p>
        </w:tc>
        <w:tc>
          <w:tcPr>
            <w:tcW w:w="20" w:type="dxa"/>
            <w:vAlign w:val="bottom"/>
            <w:tcBorders>
              <w:top w:val="single" w:sz="8" w:color="A5A5A5"/>
            </w:tcBorders>
          </w:tcPr>
          <w:p>
            <w:pPr>
              <w:spacing w:after="0"/>
              <w:rPr>
                <w:sz w:val="10"/>
                <w:szCs w:val="10"/>
                <w:color w:val="auto"/>
              </w:rPr>
            </w:pPr>
          </w:p>
        </w:tc>
        <w:tc>
          <w:tcPr>
            <w:tcW w:w="160" w:type="dxa"/>
            <w:vAlign w:val="bottom"/>
            <w:tcBorders>
              <w:top w:val="single" w:sz="8" w:color="A5A5A5"/>
              <w:bottom w:val="single" w:sz="8" w:color="A5A5A5"/>
            </w:tcBorders>
            <w:vMerge w:val="restart"/>
          </w:tcPr>
          <w:p>
            <w:pPr>
              <w:ind w:left="20"/>
              <w:spacing w:after="0"/>
              <w:rPr>
                <w:sz w:val="20"/>
                <w:szCs w:val="20"/>
                <w:color w:val="auto"/>
              </w:rPr>
            </w:pPr>
            <w:r>
              <w:rPr>
                <w:rFonts w:ascii="Arial" w:cs="Arial" w:eastAsia="Arial" w:hAnsi="Arial"/>
                <w:sz w:val="14"/>
                <w:szCs w:val="14"/>
                <w:color w:val="auto"/>
              </w:rPr>
              <w:t>​ ​</w:t>
            </w:r>
          </w:p>
        </w:tc>
        <w:tc>
          <w:tcPr>
            <w:tcW w:w="3660" w:type="dxa"/>
            <w:vAlign w:val="bottom"/>
            <w:tcBorders>
              <w:top w:val="single" w:sz="8" w:color="A5A5A5"/>
              <w:bottom w:val="single" w:sz="8" w:color="A5A5A5"/>
            </w:tcBorders>
            <w:gridSpan w:val="39"/>
            <w:vMerge w:val="restart"/>
          </w:tcPr>
          <w:p>
            <w:pPr>
              <w:ind w:left="20"/>
              <w:spacing w:after="0"/>
              <w:rPr>
                <w:sz w:val="20"/>
                <w:szCs w:val="20"/>
                <w:color w:val="auto"/>
              </w:rPr>
            </w:pPr>
            <w:r>
              <w:rPr>
                <w:rFonts w:ascii="Arial" w:cs="Arial" w:eastAsia="Arial" w:hAnsi="Arial"/>
                <w:sz w:val="14"/>
                <w:szCs w:val="14"/>
                <w:color w:val="0000EE"/>
              </w:rPr>
              <w:t>INFORMATION NOT INCORPORATED BY REFERENCE</w:t>
            </w:r>
          </w:p>
        </w:tc>
        <w:tc>
          <w:tcPr>
            <w:tcW w:w="760" w:type="dxa"/>
            <w:vAlign w:val="bottom"/>
            <w:vMerge w:val="restart"/>
          </w:tcPr>
          <w:p>
            <w:pPr>
              <w:jc w:val="right"/>
              <w:ind w:right="735"/>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80" w:type="dxa"/>
            <w:vAlign w:val="bottom"/>
            <w:tcBorders>
              <w:bottom w:val="single" w:sz="8" w:color="D8D8D8"/>
            </w:tcBorders>
          </w:tcPr>
          <w:p>
            <w:pPr>
              <w:spacing w:after="0" w:line="20" w:lineRule="exact"/>
              <w:rPr>
                <w:sz w:val="1"/>
                <w:szCs w:val="1"/>
                <w:color w:val="auto"/>
              </w:rPr>
            </w:pPr>
          </w:p>
        </w:tc>
        <w:tc>
          <w:tcPr>
            <w:tcW w:w="140" w:type="dxa"/>
            <w:vAlign w:val="bottom"/>
            <w:tcBorders>
              <w:bottom w:val="single" w:sz="8" w:color="D8D8D8"/>
            </w:tcBorders>
          </w:tcPr>
          <w:p>
            <w:pPr>
              <w:spacing w:after="0" w:line="20" w:lineRule="exact"/>
              <w:rPr>
                <w:sz w:val="1"/>
                <w:szCs w:val="1"/>
                <w:color w:val="auto"/>
              </w:rPr>
            </w:pPr>
          </w:p>
        </w:tc>
        <w:tc>
          <w:tcPr>
            <w:tcW w:w="16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80" w:type="dxa"/>
            <w:vAlign w:val="bottom"/>
            <w:tcBorders>
              <w:bottom w:val="single" w:sz="8" w:color="D8D8D8"/>
            </w:tcBorders>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120" w:type="dxa"/>
            <w:vAlign w:val="bottom"/>
            <w:tcBorders>
              <w:bottom w:val="single" w:sz="8" w:color="D8D8D8"/>
            </w:tcBorders>
            <w:vMerge w:val="continue"/>
          </w:tcPr>
          <w:p>
            <w:pPr>
              <w:spacing w:after="0" w:line="20" w:lineRule="exact"/>
              <w:rPr>
                <w:sz w:val="1"/>
                <w:szCs w:val="1"/>
                <w:color w:val="auto"/>
              </w:rPr>
            </w:pPr>
          </w:p>
        </w:tc>
        <w:tc>
          <w:tcPr>
            <w:tcW w:w="500" w:type="dxa"/>
            <w:vAlign w:val="bottom"/>
            <w:tcBorders>
              <w:bottom w:val="single" w:sz="8" w:color="D8D8D8"/>
            </w:tcBorders>
          </w:tcPr>
          <w:p>
            <w:pPr>
              <w:spacing w:after="0" w:line="20" w:lineRule="exact"/>
              <w:rPr>
                <w:sz w:val="1"/>
                <w:szCs w:val="1"/>
                <w:color w:val="auto"/>
              </w:rPr>
            </w:pPr>
          </w:p>
        </w:tc>
        <w:tc>
          <w:tcPr>
            <w:tcW w:w="860" w:type="dxa"/>
            <w:vAlign w:val="bottom"/>
            <w:tcBorders>
              <w:bottom w:val="single" w:sz="8" w:color="D8D8D8"/>
            </w:tcBorders>
            <w:gridSpan w:val="9"/>
          </w:tcPr>
          <w:p>
            <w:pPr>
              <w:spacing w:after="0" w:line="20" w:lineRule="exact"/>
              <w:rPr>
                <w:sz w:val="1"/>
                <w:szCs w:val="1"/>
                <w:color w:val="auto"/>
              </w:rPr>
            </w:pPr>
          </w:p>
        </w:tc>
        <w:tc>
          <w:tcPr>
            <w:tcW w:w="980" w:type="dxa"/>
            <w:vAlign w:val="bottom"/>
            <w:tcBorders>
              <w:bottom w:val="single" w:sz="8" w:color="D8D8D8"/>
            </w:tcBorders>
            <w:gridSpan w:val="14"/>
            <w:vMerge w:val="continue"/>
          </w:tcPr>
          <w:p>
            <w:pPr>
              <w:spacing w:after="0" w:line="20" w:lineRule="exact"/>
              <w:rPr>
                <w:sz w:val="1"/>
                <w:szCs w:val="1"/>
                <w:color w:val="auto"/>
              </w:rPr>
            </w:pPr>
          </w:p>
        </w:tc>
        <w:tc>
          <w:tcPr>
            <w:tcW w:w="220" w:type="dxa"/>
            <w:vAlign w:val="bottom"/>
            <w:tcBorders>
              <w:bottom w:val="single" w:sz="8" w:color="D8D8D8"/>
            </w:tcBorders>
            <w:gridSpan w:val="3"/>
            <w:vMerge w:val="continue"/>
          </w:tcPr>
          <w:p>
            <w:pPr>
              <w:spacing w:after="0" w:line="20" w:lineRule="exact"/>
              <w:rPr>
                <w:sz w:val="1"/>
                <w:szCs w:val="1"/>
                <w:color w:val="auto"/>
              </w:rPr>
            </w:pPr>
          </w:p>
        </w:tc>
        <w:tc>
          <w:tcPr>
            <w:tcW w:w="660" w:type="dxa"/>
            <w:vAlign w:val="bottom"/>
            <w:tcBorders>
              <w:bottom w:val="single" w:sz="8" w:color="D8D8D8"/>
            </w:tcBorders>
            <w:gridSpan w:val="9"/>
            <w:vMerge w:val="continue"/>
          </w:tcPr>
          <w:p>
            <w:pPr>
              <w:spacing w:after="0" w:line="20" w:lineRule="exact"/>
              <w:rPr>
                <w:sz w:val="1"/>
                <w:szCs w:val="1"/>
                <w:color w:val="auto"/>
              </w:rPr>
            </w:pPr>
          </w:p>
        </w:tc>
        <w:tc>
          <w:tcPr>
            <w:tcW w:w="260" w:type="dxa"/>
            <w:vAlign w:val="bottom"/>
            <w:tcBorders>
              <w:bottom w:val="single" w:sz="8" w:color="D8D8D8"/>
            </w:tcBorders>
            <w:gridSpan w:val="2"/>
            <w:vMerge w:val="continue"/>
          </w:tcPr>
          <w:p>
            <w:pPr>
              <w:spacing w:after="0" w:line="20" w:lineRule="exact"/>
              <w:rPr>
                <w:sz w:val="1"/>
                <w:szCs w:val="1"/>
                <w:color w:val="auto"/>
              </w:rPr>
            </w:pPr>
          </w:p>
        </w:tc>
        <w:tc>
          <w:tcPr>
            <w:tcW w:w="20" w:type="dxa"/>
            <w:vAlign w:val="bottom"/>
            <w:tcBorders>
              <w:bottom w:val="single" w:sz="8" w:color="D8D8D8"/>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5A5A5"/>
            </w:tcBorders>
            <w:gridSpan w:val="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60" w:type="dxa"/>
            <w:vAlign w:val="bottom"/>
            <w:tcBorders>
              <w:bottom w:val="single" w:sz="8" w:color="A5A5A5"/>
            </w:tcBorders>
            <w:gridSpan w:val="39"/>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59</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Other Benefits and Retirement Plans</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4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460" w:type="dxa"/>
            <w:vAlign w:val="bottom"/>
            <w:tcBorders>
              <w:bottom w:val="single" w:sz="8" w:color="A5A5A5"/>
            </w:tcBorders>
          </w:tcPr>
          <w:p>
            <w:pPr>
              <w:spacing w:after="0" w:line="20" w:lineRule="exact"/>
              <w:rPr>
                <w:sz w:val="1"/>
                <w:szCs w:val="1"/>
                <w:color w:val="auto"/>
              </w:rPr>
            </w:pPr>
          </w:p>
        </w:tc>
        <w:tc>
          <w:tcPr>
            <w:tcW w:w="120" w:type="dxa"/>
            <w:vAlign w:val="bottom"/>
            <w:tcBorders>
              <w:bottom w:val="single" w:sz="8" w:color="A5A5A5"/>
            </w:tcBorders>
          </w:tcPr>
          <w:p>
            <w:pPr>
              <w:spacing w:after="0" w:line="20" w:lineRule="exact"/>
              <w:rPr>
                <w:sz w:val="1"/>
                <w:szCs w:val="1"/>
                <w:color w:val="auto"/>
              </w:rPr>
            </w:pPr>
          </w:p>
        </w:tc>
        <w:tc>
          <w:tcPr>
            <w:tcW w:w="1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20" w:type="dxa"/>
            <w:vAlign w:val="bottom"/>
            <w:tcBorders>
              <w:bottom w:val="single" w:sz="8" w:color="A5A5A5"/>
            </w:tcBorders>
          </w:tcPr>
          <w:p>
            <w:pPr>
              <w:spacing w:after="0" w:line="20" w:lineRule="exact"/>
              <w:rPr>
                <w:sz w:val="1"/>
                <w:szCs w:val="1"/>
                <w:color w:val="auto"/>
              </w:rPr>
            </w:pPr>
          </w:p>
        </w:tc>
        <w:tc>
          <w:tcPr>
            <w:tcW w:w="26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80" w:type="dxa"/>
            <w:vAlign w:val="bottom"/>
          </w:tcPr>
          <w:p>
            <w:pPr>
              <w:spacing w:after="0"/>
              <w:rPr>
                <w:sz w:val="7"/>
                <w:szCs w:val="7"/>
                <w:color w:val="auto"/>
              </w:rPr>
            </w:pPr>
          </w:p>
        </w:tc>
        <w:tc>
          <w:tcPr>
            <w:tcW w:w="360" w:type="dxa"/>
            <w:vAlign w:val="bottom"/>
            <w:gridSpan w:val="4"/>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600" w:type="dxa"/>
            <w:vAlign w:val="bottom"/>
            <w:gridSpan w:val="39"/>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60" w:type="dxa"/>
            <w:vAlign w:val="bottom"/>
            <w:gridSpan w:val="5"/>
            <w:vMerge w:val="restart"/>
          </w:tcPr>
          <w:p>
            <w:pPr>
              <w:ind w:left="20"/>
              <w:spacing w:after="0" w:line="197" w:lineRule="exact"/>
              <w:rPr>
                <w:sz w:val="20"/>
                <w:szCs w:val="20"/>
                <w:color w:val="auto"/>
              </w:rPr>
            </w:pPr>
            <w:r>
              <w:rPr>
                <w:rFonts w:ascii="Arial" w:cs="Arial" w:eastAsia="Arial" w:hAnsi="Arial"/>
                <w:sz w:val="22"/>
                <w:szCs w:val="22"/>
                <w:color w:val="000000"/>
                <w:vertAlign w:val="superscript"/>
              </w:rPr>
              <w:t>​</w:t>
            </w:r>
            <w:r>
              <w:rPr>
                <w:rFonts w:ascii="Arial" w:cs="Arial" w:eastAsia="Arial" w:hAnsi="Arial"/>
                <w:sz w:val="12"/>
                <w:szCs w:val="12"/>
                <w:color w:val="0000EE"/>
              </w:rPr>
              <w:t xml:space="preserve"> 98</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3640" w:type="dxa"/>
            <w:vAlign w:val="bottom"/>
            <w:gridSpan w:val="38"/>
            <w:vMerge w:val="restart"/>
          </w:tcPr>
          <w:p>
            <w:pPr>
              <w:ind w:left="20"/>
              <w:spacing w:after="0"/>
              <w:rPr>
                <w:sz w:val="20"/>
                <w:szCs w:val="20"/>
                <w:color w:val="auto"/>
              </w:rPr>
            </w:pPr>
            <w:r>
              <w:rPr>
                <w:rFonts w:ascii="Arial" w:cs="Arial" w:eastAsia="Arial" w:hAnsi="Arial"/>
                <w:sz w:val="14"/>
                <w:szCs w:val="14"/>
                <w:color w:val="0000EE"/>
              </w:rPr>
              <w:t>FORWARD-LOOKING STATEMENTS</w:t>
            </w: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340" w:type="dxa"/>
            <w:vAlign w:val="bottom"/>
            <w:tcBorders>
              <w:top w:val="single" w:sz="8" w:color="0000EE"/>
              <w:bottom w:val="single" w:sz="8" w:color="D8D8D8"/>
            </w:tcBorders>
            <w:gridSpan w:val="24"/>
          </w:tcPr>
          <w:p>
            <w:pPr>
              <w:spacing w:after="0" w:line="20" w:lineRule="exact"/>
              <w:rPr>
                <w:sz w:val="1"/>
                <w:szCs w:val="1"/>
                <w:color w:val="auto"/>
              </w:rPr>
            </w:pPr>
          </w:p>
        </w:tc>
        <w:tc>
          <w:tcPr>
            <w:tcW w:w="1160" w:type="dxa"/>
            <w:vAlign w:val="bottom"/>
            <w:tcBorders>
              <w:bottom w:val="single" w:sz="8" w:color="D8D8D8"/>
            </w:tcBorders>
            <w:gridSpan w:val="1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5"/>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640" w:type="dxa"/>
            <w:vAlign w:val="bottom"/>
            <w:gridSpan w:val="38"/>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780" w:type="dxa"/>
            <w:vAlign w:val="bottom"/>
          </w:tcPr>
          <w:p>
            <w:pPr>
              <w:spacing w:after="0"/>
              <w:rPr>
                <w:sz w:val="4"/>
                <w:szCs w:val="4"/>
                <w:color w:val="auto"/>
              </w:rPr>
            </w:pPr>
          </w:p>
        </w:tc>
        <w:tc>
          <w:tcPr>
            <w:tcW w:w="3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0000EE"/>
                <w:w w:val="89"/>
              </w:rPr>
              <w:t>61</w:t>
            </w:r>
          </w:p>
        </w:tc>
        <w:tc>
          <w:tcPr>
            <w:tcW w:w="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rPr>
                <w:sz w:val="4"/>
                <w:szCs w:val="4"/>
                <w:color w:val="auto"/>
              </w:rPr>
            </w:pPr>
          </w:p>
        </w:tc>
        <w:tc>
          <w:tcPr>
            <w:tcW w:w="3600" w:type="dxa"/>
            <w:vAlign w:val="bottom"/>
            <w:gridSpan w:val="39"/>
            <w:vMerge w:val="restart"/>
          </w:tcPr>
          <w:p>
            <w:pPr>
              <w:ind w:left="120"/>
              <w:spacing w:after="0"/>
              <w:rPr>
                <w:sz w:val="20"/>
                <w:szCs w:val="20"/>
                <w:color w:val="auto"/>
              </w:rPr>
            </w:pPr>
            <w:r>
              <w:rPr>
                <w:rFonts w:ascii="Arial" w:cs="Arial" w:eastAsia="Arial" w:hAnsi="Arial"/>
                <w:sz w:val="14"/>
                <w:szCs w:val="14"/>
                <w:i w:val="1"/>
                <w:iCs w:val="1"/>
                <w:color w:val="0000EE"/>
              </w:rPr>
              <w:t>Compensation Risk Management and Governance</w:t>
            </w:r>
          </w:p>
        </w:tc>
        <w:tc>
          <w:tcPr>
            <w:tcW w:w="4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p>
        </w:tc>
        <w:tc>
          <w:tcPr>
            <w:tcW w:w="3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3640" w:type="dxa"/>
            <w:vAlign w:val="bottom"/>
            <w:gridSpan w:val="38"/>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9"/>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80" w:type="dxa"/>
            <w:vAlign w:val="bottom"/>
            <w:tcBorders>
              <w:top w:val="single" w:sz="8" w:color="0000EE"/>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46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14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80" w:type="dxa"/>
            <w:vAlign w:val="bottom"/>
            <w:tcBorders>
              <w:top w:val="single" w:sz="8" w:color="0000EE"/>
              <w:bottom w:val="single" w:sz="8" w:color="A5A5A5"/>
            </w:tcBorders>
          </w:tcPr>
          <w:p>
            <w:pPr>
              <w:spacing w:after="0" w:line="20" w:lineRule="exact"/>
              <w:rPr>
                <w:sz w:val="1"/>
                <w:szCs w:val="1"/>
                <w:color w:val="auto"/>
              </w:rPr>
            </w:pPr>
          </w:p>
        </w:tc>
        <w:tc>
          <w:tcPr>
            <w:tcW w:w="20" w:type="dxa"/>
            <w:vAlign w:val="bottom"/>
            <w:tcBorders>
              <w:top w:val="single" w:sz="8" w:color="0000EE"/>
              <w:bottom w:val="single" w:sz="8" w:color="A5A5A5"/>
            </w:tcBorders>
          </w:tcPr>
          <w:p>
            <w:pPr>
              <w:spacing w:after="0" w:line="20" w:lineRule="exact"/>
              <w:rPr>
                <w:sz w:val="1"/>
                <w:szCs w:val="1"/>
                <w:color w:val="auto"/>
              </w:rPr>
            </w:pPr>
          </w:p>
        </w:tc>
        <w:tc>
          <w:tcPr>
            <w:tcW w:w="120" w:type="dxa"/>
            <w:vAlign w:val="bottom"/>
            <w:tcBorders>
              <w:top w:val="single" w:sz="8" w:color="0000EE"/>
              <w:bottom w:val="single" w:sz="8" w:color="A5A5A5"/>
            </w:tcBorders>
          </w:tcPr>
          <w:p>
            <w:pPr>
              <w:spacing w:after="0" w:line="20" w:lineRule="exact"/>
              <w:rPr>
                <w:sz w:val="1"/>
                <w:szCs w:val="1"/>
                <w:color w:val="auto"/>
              </w:rPr>
            </w:pPr>
          </w:p>
        </w:tc>
        <w:tc>
          <w:tcPr>
            <w:tcW w:w="260" w:type="dxa"/>
            <w:vAlign w:val="bottom"/>
            <w:tcBorders>
              <w:top w:val="single" w:sz="8" w:color="0000EE"/>
              <w:bottom w:val="single" w:sz="8" w:color="A5A5A5"/>
            </w:tcBorders>
          </w:tcPr>
          <w:p>
            <w:pPr>
              <w:spacing w:after="0" w:line="20" w:lineRule="exact"/>
              <w:rPr>
                <w:sz w:val="1"/>
                <w:szCs w:val="1"/>
                <w:color w:val="auto"/>
              </w:rPr>
            </w:pPr>
          </w:p>
        </w:tc>
        <w:tc>
          <w:tcPr>
            <w:tcW w:w="20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1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top w:val="single" w:sz="8" w:color="0000EE"/>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10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8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6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40" w:type="dxa"/>
            <w:vAlign w:val="bottom"/>
            <w:tcBorders>
              <w:bottom w:val="single" w:sz="8" w:color="A5A5A5"/>
            </w:tcBorders>
          </w:tcPr>
          <w:p>
            <w:pPr>
              <w:spacing w:after="0" w:line="20" w:lineRule="exact"/>
              <w:rPr>
                <w:sz w:val="1"/>
                <w:szCs w:val="1"/>
                <w:color w:val="auto"/>
              </w:rPr>
            </w:pPr>
          </w:p>
        </w:tc>
        <w:tc>
          <w:tcPr>
            <w:tcW w:w="20" w:type="dxa"/>
            <w:vAlign w:val="bottom"/>
            <w:tcBorders>
              <w:bottom w:val="single" w:sz="8" w:color="A5A5A5"/>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360" w:type="dxa"/>
            <w:vAlign w:val="bottom"/>
            <w:gridSpan w:val="4"/>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600" w:type="dxa"/>
            <w:vAlign w:val="bottom"/>
            <w:gridSpan w:val="39"/>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right"/>
              <w:ind w:right="7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9"/>
        </w:trPr>
        <w:tc>
          <w:tcPr>
            <w:tcW w:w="1140" w:type="dxa"/>
            <w:vAlign w:val="bottom"/>
            <w:gridSpan w:val="5"/>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40" w:type="dxa"/>
            <w:vAlign w:val="bottom"/>
            <w:gridSpan w:val="4"/>
          </w:tcPr>
          <w:p>
            <w:pPr>
              <w:spacing w:after="0"/>
              <w:rPr>
                <w:sz w:val="9"/>
                <w:szCs w:val="9"/>
                <w:color w:val="auto"/>
              </w:rPr>
            </w:pPr>
          </w:p>
        </w:tc>
        <w:tc>
          <w:tcPr>
            <w:tcW w:w="500" w:type="dxa"/>
            <w:vAlign w:val="bottom"/>
            <w:tcBorders>
              <w:top w:val="single" w:sz="8" w:color="0000EE"/>
            </w:tcBorders>
            <w:vMerge w:val="restart"/>
          </w:tcPr>
          <w:p>
            <w:pPr>
              <w:spacing w:after="0" w:line="142" w:lineRule="exact"/>
              <w:rPr>
                <w:sz w:val="20"/>
                <w:szCs w:val="20"/>
                <w:color w:val="auto"/>
              </w:rPr>
            </w:pPr>
            <w:r>
              <w:rPr>
                <w:rFonts w:ascii="Arial" w:cs="Arial" w:eastAsia="Arial" w:hAnsi="Arial"/>
                <w:sz w:val="14"/>
                <w:szCs w:val="14"/>
                <w:i w:val="1"/>
                <w:iCs w:val="1"/>
                <w:color w:val="0000EE"/>
                <w:w w:val="99"/>
              </w:rPr>
              <w:t>Policies</w:t>
            </w:r>
          </w:p>
        </w:tc>
        <w:tc>
          <w:tcPr>
            <w:tcW w:w="2720" w:type="dxa"/>
            <w:vAlign w:val="bottom"/>
            <w:tcBorders>
              <w:top w:val="single" w:sz="8" w:color="0000EE"/>
            </w:tcBorders>
            <w:gridSpan w:val="35"/>
          </w:tcPr>
          <w:p>
            <w:pPr>
              <w:spacing w:after="0"/>
              <w:rPr>
                <w:sz w:val="9"/>
                <w:szCs w:val="9"/>
                <w:color w:val="auto"/>
              </w:rPr>
            </w:pPr>
          </w:p>
        </w:tc>
        <w:tc>
          <w:tcPr>
            <w:tcW w:w="740" w:type="dxa"/>
            <w:vAlign w:val="bottom"/>
            <w:gridSpan w:val="4"/>
          </w:tcPr>
          <w:p>
            <w:pPr>
              <w:spacing w:after="0"/>
              <w:rPr>
                <w:sz w:val="9"/>
                <w:szCs w:val="9"/>
                <w:color w:val="auto"/>
              </w:rPr>
            </w:pPr>
          </w:p>
        </w:tc>
        <w:tc>
          <w:tcPr>
            <w:tcW w:w="60" w:type="dxa"/>
            <w:vAlign w:val="bottom"/>
            <w:vMerge w:val="continue"/>
          </w:tcPr>
          <w:p>
            <w:pPr>
              <w:spacing w:after="0"/>
              <w:rPr>
                <w:sz w:val="9"/>
                <w:szCs w:val="9"/>
                <w:color w:val="auto"/>
              </w:rPr>
            </w:pPr>
          </w:p>
        </w:tc>
        <w:tc>
          <w:tcPr>
            <w:tcW w:w="300" w:type="dxa"/>
            <w:vAlign w:val="bottom"/>
            <w:gridSpan w:val="4"/>
            <w:vMerge w:val="restart"/>
          </w:tcPr>
          <w:p>
            <w:pPr>
              <w:ind w:left="20"/>
              <w:spacing w:after="0" w:line="155" w:lineRule="exact"/>
              <w:rPr>
                <w:sz w:val="20"/>
                <w:szCs w:val="20"/>
                <w:color w:val="auto"/>
              </w:rPr>
            </w:pPr>
            <w:r>
              <w:rPr>
                <w:rFonts w:ascii="Arial" w:cs="Arial" w:eastAsia="Arial" w:hAnsi="Arial"/>
                <w:sz w:val="14"/>
                <w:szCs w:val="14"/>
                <w:b w:val="1"/>
                <w:bCs w:val="1"/>
                <w:color w:val="0000EE"/>
              </w:rPr>
              <w:t>A-1</w:t>
            </w:r>
          </w:p>
        </w:tc>
        <w:tc>
          <w:tcPr>
            <w:tcW w:w="180" w:type="dxa"/>
            <w:vAlign w:val="bottom"/>
            <w:gridSpan w:val="2"/>
          </w:tcPr>
          <w:p>
            <w:pPr>
              <w:spacing w:after="0"/>
              <w:rPr>
                <w:sz w:val="9"/>
                <w:szCs w:val="9"/>
                <w:color w:val="auto"/>
              </w:rPr>
            </w:pPr>
          </w:p>
        </w:tc>
        <w:tc>
          <w:tcPr>
            <w:tcW w:w="160" w:type="dxa"/>
            <w:vAlign w:val="bottom"/>
            <w:vMerge w:val="continue"/>
          </w:tcPr>
          <w:p>
            <w:pPr>
              <w:spacing w:after="0"/>
              <w:rPr>
                <w:sz w:val="9"/>
                <w:szCs w:val="9"/>
                <w:color w:val="auto"/>
              </w:rPr>
            </w:pPr>
          </w:p>
        </w:tc>
        <w:tc>
          <w:tcPr>
            <w:tcW w:w="3640" w:type="dxa"/>
            <w:vAlign w:val="bottom"/>
            <w:gridSpan w:val="38"/>
            <w:vMerge w:val="restart"/>
          </w:tcPr>
          <w:p>
            <w:pPr>
              <w:ind w:left="20"/>
              <w:spacing w:after="0" w:line="155" w:lineRule="exact"/>
              <w:rPr>
                <w:sz w:val="20"/>
                <w:szCs w:val="20"/>
                <w:color w:val="auto"/>
              </w:rPr>
            </w:pPr>
            <w:r>
              <w:rPr>
                <w:rFonts w:ascii="Arial" w:cs="Arial" w:eastAsia="Arial" w:hAnsi="Arial"/>
                <w:sz w:val="14"/>
                <w:szCs w:val="14"/>
                <w:b w:val="1"/>
                <w:bCs w:val="1"/>
                <w:color w:val="0000EE"/>
              </w:rPr>
              <w:t>ANNEX A—NON-GAAP RECONCILIATION</w:t>
            </w: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0000EE"/>
            </w:tcBorders>
            <w:vMerge w:val="continue"/>
          </w:tcPr>
          <w:p>
            <w:pPr>
              <w:spacing w:after="0"/>
              <w:rPr>
                <w:sz w:val="4"/>
                <w:szCs w:val="4"/>
                <w:color w:val="auto"/>
              </w:rPr>
            </w:pPr>
          </w:p>
        </w:tc>
        <w:tc>
          <w:tcPr>
            <w:tcW w:w="2060" w:type="dxa"/>
            <w:vAlign w:val="bottom"/>
            <w:gridSpan w:val="26"/>
          </w:tcPr>
          <w:p>
            <w:pPr>
              <w:spacing w:after="0"/>
              <w:rPr>
                <w:sz w:val="4"/>
                <w:szCs w:val="4"/>
                <w:color w:val="auto"/>
              </w:rPr>
            </w:pPr>
          </w:p>
        </w:tc>
        <w:tc>
          <w:tcPr>
            <w:tcW w:w="920" w:type="dxa"/>
            <w:vAlign w:val="bottom"/>
            <w:gridSpan w:val="11"/>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40" w:type="dxa"/>
            <w:vAlign w:val="bottom"/>
            <w:gridSpan w:val="38"/>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4360" w:type="dxa"/>
            <w:vAlign w:val="bottom"/>
            <w:tcBorders>
              <w:bottom w:val="single" w:sz="8" w:color="D8D8D8"/>
            </w:tcBorders>
            <w:gridSpan w:val="48"/>
          </w:tcPr>
          <w:p>
            <w:pPr>
              <w:spacing w:after="0"/>
              <w:rPr>
                <w:sz w:val="3"/>
                <w:szCs w:val="3"/>
                <w:color w:val="auto"/>
              </w:rPr>
            </w:pPr>
          </w:p>
        </w:tc>
        <w:tc>
          <w:tcPr>
            <w:tcW w:w="460" w:type="dxa"/>
            <w:vAlign w:val="bottom"/>
            <w:vMerge w:val="restart"/>
          </w:tcPr>
          <w:p>
            <w:pPr>
              <w:spacing w:after="0"/>
              <w:rPr>
                <w:sz w:val="20"/>
                <w:szCs w:val="20"/>
                <w:color w:val="auto"/>
              </w:rPr>
            </w:pPr>
            <w:r>
              <w:rPr>
                <w:rFonts w:ascii="Arial" w:cs="Arial" w:eastAsia="Arial" w:hAnsi="Arial"/>
                <w:sz w:val="14"/>
                <w:szCs w:val="14"/>
                <w:i w:val="1"/>
                <w:iCs w:val="1"/>
                <w:color w:val="auto"/>
              </w:rPr>
              <w:t>​</w:t>
            </w:r>
          </w:p>
        </w:tc>
        <w:tc>
          <w:tcPr>
            <w:tcW w:w="80" w:type="dxa"/>
            <w:vAlign w:val="bottom"/>
            <w:gridSpan w:val="2"/>
          </w:tcPr>
          <w:p>
            <w:pPr>
              <w:spacing w:after="0"/>
              <w:rPr>
                <w:sz w:val="3"/>
                <w:szCs w:val="3"/>
                <w:color w:val="auto"/>
              </w:rPr>
            </w:pPr>
          </w:p>
        </w:tc>
        <w:tc>
          <w:tcPr>
            <w:tcW w:w="220" w:type="dxa"/>
            <w:vAlign w:val="bottom"/>
            <w:tcBorders>
              <w:bottom w:val="single" w:sz="8" w:color="0000EE"/>
            </w:tcBorders>
            <w:gridSpan w:val="2"/>
          </w:tcPr>
          <w:p>
            <w:pPr>
              <w:spacing w:after="0"/>
              <w:rPr>
                <w:sz w:val="3"/>
                <w:szCs w:val="3"/>
                <w:color w:val="auto"/>
              </w:rPr>
            </w:pPr>
          </w:p>
        </w:tc>
        <w:tc>
          <w:tcPr>
            <w:tcW w:w="420" w:type="dxa"/>
            <w:vAlign w:val="bottom"/>
            <w:gridSpan w:val="5"/>
          </w:tcPr>
          <w:p>
            <w:pPr>
              <w:spacing w:after="0"/>
              <w:rPr>
                <w:sz w:val="3"/>
                <w:szCs w:val="3"/>
                <w:color w:val="auto"/>
              </w:rPr>
            </w:pPr>
          </w:p>
        </w:tc>
        <w:tc>
          <w:tcPr>
            <w:tcW w:w="2700" w:type="dxa"/>
            <w:vAlign w:val="bottom"/>
            <w:tcBorders>
              <w:bottom w:val="single" w:sz="8" w:color="0000EE"/>
            </w:tcBorders>
            <w:gridSpan w:val="20"/>
          </w:tcPr>
          <w:p>
            <w:pPr>
              <w:spacing w:after="0"/>
              <w:rPr>
                <w:sz w:val="3"/>
                <w:szCs w:val="3"/>
                <w:color w:val="auto"/>
              </w:rPr>
            </w:pPr>
          </w:p>
        </w:tc>
        <w:tc>
          <w:tcPr>
            <w:tcW w:w="1700" w:type="dxa"/>
            <w:vAlign w:val="bottom"/>
            <w:gridSpan w:val="19"/>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gridSpan w:val="4"/>
            <w:vMerge w:val="restart"/>
          </w:tcPr>
          <w:p>
            <w:pPr>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i w:val="1"/>
                <w:iCs w:val="1"/>
                <w:color w:val="0000EE"/>
                <w:w w:val="89"/>
              </w:rPr>
              <w:t>62</w:t>
            </w:r>
          </w:p>
        </w:tc>
        <w:tc>
          <w:tcPr>
            <w:tcW w:w="180" w:type="dxa"/>
            <w:vAlign w:val="bottom"/>
            <w:vMerge w:val="restart"/>
          </w:tcPr>
          <w:p>
            <w:pPr>
              <w:ind w:left="20"/>
              <w:spacing w:after="0" w:line="149" w:lineRule="exact"/>
              <w:rPr>
                <w:sz w:val="20"/>
                <w:szCs w:val="20"/>
                <w:color w:val="auto"/>
              </w:rPr>
            </w:pPr>
            <w:r>
              <w:rPr>
                <w:rFonts w:ascii="Arial" w:cs="Arial" w:eastAsia="Arial" w:hAnsi="Arial"/>
                <w:sz w:val="14"/>
                <w:szCs w:val="14"/>
                <w:i w:val="1"/>
                <w:iCs w:val="1"/>
                <w:color w:val="auto"/>
              </w:rPr>
              <w:t>​ ​</w:t>
            </w:r>
          </w:p>
        </w:tc>
        <w:tc>
          <w:tcPr>
            <w:tcW w:w="20" w:type="dxa"/>
            <w:vAlign w:val="bottom"/>
          </w:tcPr>
          <w:p>
            <w:pPr>
              <w:spacing w:after="0" w:line="20" w:lineRule="exact"/>
              <w:rPr>
                <w:sz w:val="1"/>
                <w:szCs w:val="1"/>
                <w:color w:val="auto"/>
              </w:rPr>
            </w:pPr>
          </w:p>
        </w:tc>
        <w:tc>
          <w:tcPr>
            <w:tcW w:w="3600" w:type="dxa"/>
            <w:vAlign w:val="bottom"/>
            <w:gridSpan w:val="39"/>
            <w:vMerge w:val="restart"/>
          </w:tcPr>
          <w:p>
            <w:pPr>
              <w:ind w:left="120"/>
              <w:spacing w:after="0" w:line="149" w:lineRule="exact"/>
              <w:rPr>
                <w:sz w:val="20"/>
                <w:szCs w:val="20"/>
                <w:color w:val="auto"/>
              </w:rPr>
            </w:pPr>
            <w:r>
              <w:rPr>
                <w:rFonts w:ascii="Arial" w:cs="Arial" w:eastAsia="Arial" w:hAnsi="Arial"/>
                <w:sz w:val="14"/>
                <w:szCs w:val="14"/>
                <w:i w:val="1"/>
                <w:iCs w:val="1"/>
                <w:color w:val="0000EE"/>
              </w:rPr>
              <w:t>Deductibility of Executive Compensation</w:t>
            </w:r>
          </w:p>
        </w:tc>
        <w:tc>
          <w:tcPr>
            <w:tcW w:w="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360" w:type="dxa"/>
            <w:vAlign w:val="bottom"/>
            <w:tcBorders>
              <w:bottom w:val="single" w:sz="8" w:color="BF5B5A"/>
            </w:tcBorders>
            <w:gridSpan w:val="4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360" w:type="dxa"/>
            <w:vAlign w:val="bottom"/>
            <w:gridSpan w:val="4"/>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39"/>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5120" w:type="dxa"/>
            <w:vAlign w:val="bottom"/>
            <w:gridSpan w:val="4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bottom w:val="single" w:sz="8" w:color="D8D8D8"/>
            </w:tcBorders>
            <w:gridSpan w:val="4"/>
          </w:tcPr>
          <w:p>
            <w:pPr>
              <w:spacing w:after="0" w:line="20" w:lineRule="exact"/>
              <w:rPr>
                <w:sz w:val="1"/>
                <w:szCs w:val="1"/>
                <w:color w:val="auto"/>
              </w:rPr>
            </w:pPr>
          </w:p>
        </w:tc>
        <w:tc>
          <w:tcPr>
            <w:tcW w:w="160" w:type="dxa"/>
            <w:vAlign w:val="bottom"/>
            <w:tcBorders>
              <w:top w:val="single" w:sz="8" w:color="0000EE"/>
              <w:bottom w:val="single" w:sz="8" w:color="D8D8D8"/>
            </w:tcBorders>
          </w:tcPr>
          <w:p>
            <w:pPr>
              <w:spacing w:after="0" w:line="20" w:lineRule="exact"/>
              <w:rPr>
                <w:sz w:val="1"/>
                <w:szCs w:val="1"/>
                <w:color w:val="auto"/>
              </w:rPr>
            </w:pPr>
          </w:p>
        </w:tc>
        <w:tc>
          <w:tcPr>
            <w:tcW w:w="340" w:type="dxa"/>
            <w:vAlign w:val="bottom"/>
            <w:tcBorders>
              <w:bottom w:val="single" w:sz="8" w:color="D8D8D8"/>
            </w:tcBorders>
            <w:gridSpan w:val="4"/>
          </w:tcPr>
          <w:p>
            <w:pPr>
              <w:spacing w:after="0" w:line="20" w:lineRule="exact"/>
              <w:rPr>
                <w:sz w:val="1"/>
                <w:szCs w:val="1"/>
                <w:color w:val="auto"/>
              </w:rPr>
            </w:pPr>
          </w:p>
        </w:tc>
        <w:tc>
          <w:tcPr>
            <w:tcW w:w="2560" w:type="dxa"/>
            <w:vAlign w:val="bottom"/>
            <w:tcBorders>
              <w:top w:val="single" w:sz="8" w:color="0000EE"/>
              <w:bottom w:val="single" w:sz="8" w:color="D8D8D8"/>
            </w:tcBorders>
            <w:gridSpan w:val="27"/>
          </w:tcPr>
          <w:p>
            <w:pPr>
              <w:spacing w:after="0" w:line="20" w:lineRule="exact"/>
              <w:rPr>
                <w:sz w:val="1"/>
                <w:szCs w:val="1"/>
                <w:color w:val="auto"/>
              </w:rPr>
            </w:pPr>
          </w:p>
        </w:tc>
        <w:tc>
          <w:tcPr>
            <w:tcW w:w="940" w:type="dxa"/>
            <w:vAlign w:val="bottom"/>
            <w:tcBorders>
              <w:bottom w:val="single" w:sz="8" w:color="D8D8D8"/>
            </w:tcBorders>
            <w:gridSpan w:val="12"/>
          </w:tcPr>
          <w:p>
            <w:pPr>
              <w:spacing w:after="0" w:line="20" w:lineRule="exact"/>
              <w:rPr>
                <w:sz w:val="1"/>
                <w:szCs w:val="1"/>
                <w:color w:val="auto"/>
              </w:rPr>
            </w:pPr>
          </w:p>
        </w:tc>
        <w:tc>
          <w:tcPr>
            <w:tcW w:w="5580" w:type="dxa"/>
            <w:vAlign w:val="bottom"/>
            <w:gridSpan w:val="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0" w:type="dxa"/>
            <w:vAlign w:val="bottom"/>
          </w:tcPr>
          <w:p>
            <w:pPr>
              <w:spacing w:after="0"/>
              <w:rPr>
                <w:sz w:val="24"/>
                <w:szCs w:val="24"/>
                <w:color w:val="auto"/>
              </w:rPr>
            </w:pPr>
          </w:p>
        </w:tc>
        <w:tc>
          <w:tcPr>
            <w:tcW w:w="9180" w:type="dxa"/>
            <w:vAlign w:val="bottom"/>
            <w:tcBorders>
              <w:bottom w:val="single" w:sz="8" w:color="BF5B5A"/>
            </w:tcBorders>
            <w:gridSpan w:val="9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10720" w:type="dxa"/>
            <w:vAlign w:val="bottom"/>
            <w:tcBorders>
              <w:bottom w:val="single" w:sz="8" w:color="9A9A9A"/>
            </w:tcBorders>
            <w:gridSpan w:val="9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643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PROXY STATEMENT</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SUMMARY</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auto"/>
        </w:rPr>
        <w:t>The following summary highlights information contained elsewhere in this Proxy Statement and provides context related to the matters to be voted on at the 2024 Annual Meeting of Stockholders of First Hawaiian, Inc. (“First Hawaiian,” “FHI,” “we,” “our,” “us” and the “Company”). This summary does not contain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i w:val="1"/>
          <w:iCs w:val="1"/>
          <w:color w:val="auto"/>
        </w:rPr>
        <w:t>of the information that you should consider, and you should read the entire Proxy Statement before voting. For more complete information regarding the Company’s 2023 performance, please review the Company’s Annual Report on Form 10-K for the year ended December 31, 2023.</w:t>
      </w:r>
    </w:p>
    <w:p>
      <w:pPr>
        <w:spacing w:after="0" w:line="444" w:lineRule="exact"/>
        <w:rPr>
          <w:sz w:val="20"/>
          <w:szCs w:val="20"/>
          <w:color w:val="auto"/>
        </w:rPr>
      </w:pPr>
    </w:p>
    <w:p>
      <w:pPr>
        <w:sectPr>
          <w:pgSz w:w="11900" w:h="16838" w:orient="portrait"/>
          <w:cols w:equalWidth="0" w:num="2">
            <w:col w:w="5120" w:space="500"/>
            <w:col w:w="4420"/>
          </w:cols>
          <w:pgMar w:left="580" w:top="97" w:right="1279" w:bottom="1440" w:gutter="0" w:footer="0" w:header="0"/>
          <w:type w:val="continuous"/>
        </w:sectPr>
      </w:pPr>
    </w:p>
    <w:p>
      <w:pPr>
        <w:spacing w:after="0" w:line="118"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auto"/>
        </w:rPr>
        <w:t>2024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164465</wp:posOffset>
            </wp:positionV>
            <wp:extent cx="5871845" cy="2948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1845" cy="2948940"/>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0"/>
        <w:spacing w:after="0"/>
        <w:tabs>
          <w:tab w:leader="none" w:pos="2960" w:val="left"/>
        </w:tabs>
        <w:rPr>
          <w:sz w:val="20"/>
          <w:szCs w:val="20"/>
          <w:color w:val="auto"/>
        </w:rPr>
      </w:pPr>
      <w:r>
        <w:rPr>
          <w:rFonts w:ascii="Arial" w:cs="Arial" w:eastAsia="Arial" w:hAnsi="Arial"/>
          <w:sz w:val="18"/>
          <w:szCs w:val="18"/>
          <w:b w:val="1"/>
          <w:bCs w:val="1"/>
          <w:color w:val="FFFFFF"/>
        </w:rPr>
        <w:t xml:space="preserve">​  </w:t>
      </w:r>
      <w:r>
        <w:rPr>
          <w:sz w:val="1"/>
          <w:szCs w:val="1"/>
          <w:color w:val="auto"/>
        </w:rPr>
        <w:drawing>
          <wp:inline distT="0" distB="0" distL="0" distR="0">
            <wp:extent cx="265430" cy="2654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430" cy="265430"/>
                    </a:xfrm>
                    <a:prstGeom prst="rect">
                      <a:avLst/>
                    </a:prstGeom>
                    <a:noFill/>
                    <a:ln>
                      <a:noFill/>
                    </a:ln>
                  </pic:spPr>
                </pic:pic>
              </a:graphicData>
            </a:graphic>
          </wp:inline>
        </w:drawing>
      </w:r>
      <w:r>
        <w:rPr>
          <w:rFonts w:ascii="Arial" w:cs="Arial" w:eastAsia="Arial" w:hAnsi="Arial"/>
          <w:sz w:val="18"/>
          <w:szCs w:val="18"/>
          <w:b w:val="1"/>
          <w:bCs w:val="1"/>
          <w:color w:val="FFFFFF"/>
        </w:rPr>
        <w:t xml:space="preserve">  WHEN</w:t>
      </w:r>
      <w:r>
        <w:rPr>
          <w:sz w:val="20"/>
          <w:szCs w:val="20"/>
          <w:color w:val="auto"/>
        </w:rPr>
        <w:tab/>
      </w:r>
      <w:r>
        <w:rPr>
          <w:rFonts w:ascii="Arial" w:cs="Arial" w:eastAsia="Arial" w:hAnsi="Arial"/>
          <w:sz w:val="18"/>
          <w:szCs w:val="18"/>
          <w:b w:val="1"/>
          <w:bCs w:val="1"/>
          <w:color w:val="FFFFFF"/>
        </w:rPr>
        <w:t>​</w:t>
      </w:r>
    </w:p>
    <w:p>
      <w:pPr>
        <w:spacing w:after="0" w:line="58" w:lineRule="exact"/>
        <w:rPr>
          <w:sz w:val="20"/>
          <w:szCs w:val="20"/>
          <w:color w:val="auto"/>
        </w:rPr>
      </w:pPr>
    </w:p>
    <w:p>
      <w:pPr>
        <w:ind w:left="840" w:right="20" w:hanging="53"/>
        <w:spacing w:after="0" w:line="308" w:lineRule="auto"/>
        <w:rPr>
          <w:sz w:val="20"/>
          <w:szCs w:val="20"/>
          <w:color w:val="auto"/>
        </w:rPr>
      </w:pPr>
      <w:r>
        <w:rPr>
          <w:rFonts w:ascii="Arial" w:cs="Arial" w:eastAsia="Arial" w:hAnsi="Arial"/>
          <w:sz w:val="16"/>
          <w:szCs w:val="16"/>
          <w:color w:val="auto"/>
        </w:rPr>
        <w:t>​Wednesday, April 24, 2024, ​ 8:00 a.m., Hawaii Standard Time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32"/>
        </w:trPr>
        <w:tc>
          <w:tcPr>
            <w:tcW w:w="320" w:type="dxa"/>
            <w:vAlign w:val="bottom"/>
            <w:shd w:val="clear" w:color="auto" w:fill="BF5B5A"/>
          </w:tcPr>
          <w:p>
            <w:pPr>
              <w:spacing w:after="0"/>
              <w:rPr>
                <w:sz w:val="20"/>
                <w:szCs w:val="20"/>
                <w:color w:val="auto"/>
              </w:rPr>
            </w:pPr>
            <w:r>
              <w:rPr>
                <w:rFonts w:ascii="Arial" w:cs="Arial" w:eastAsia="Arial" w:hAnsi="Arial"/>
                <w:sz w:val="18"/>
                <w:szCs w:val="18"/>
                <w:b w:val="1"/>
                <w:bCs w:val="1"/>
                <w:color w:val="FFFFFF"/>
              </w:rPr>
              <w:t>​</w:t>
            </w:r>
          </w:p>
        </w:tc>
        <w:tc>
          <w:tcPr>
            <w:tcW w:w="2220" w:type="dxa"/>
            <w:vAlign w:val="bottom"/>
            <w:shd w:val="clear" w:color="auto" w:fill="BF5B5A"/>
          </w:tcPr>
          <w:p>
            <w:pPr>
              <w:ind w:left="260"/>
              <w:spacing w:after="0"/>
              <w:rPr>
                <w:sz w:val="20"/>
                <w:szCs w:val="20"/>
                <w:color w:val="auto"/>
              </w:rPr>
            </w:pPr>
            <w:r>
              <w:rPr>
                <w:rFonts w:ascii="Arial" w:cs="Arial" w:eastAsia="Arial" w:hAnsi="Arial"/>
                <w:sz w:val="18"/>
                <w:szCs w:val="18"/>
                <w:b w:val="1"/>
                <w:bCs w:val="1"/>
                <w:color w:val="FFFFFF"/>
              </w:rPr>
              <w:t>RECORD DATE</w:t>
            </w:r>
          </w:p>
        </w:tc>
        <w:tc>
          <w:tcPr>
            <w:tcW w:w="640" w:type="dxa"/>
            <w:vAlign w:val="bottom"/>
          </w:tcPr>
          <w:p>
            <w:pPr>
              <w:spacing w:after="0"/>
              <w:rPr>
                <w:sz w:val="20"/>
                <w:szCs w:val="20"/>
                <w:color w:val="auto"/>
              </w:rPr>
            </w:pPr>
            <w:r>
              <w:rPr>
                <w:rFonts w:ascii="Arial" w:cs="Arial" w:eastAsia="Arial" w:hAnsi="Arial"/>
                <w:sz w:val="18"/>
                <w:szCs w:val="18"/>
                <w:b w:val="1"/>
                <w:bCs w:val="1"/>
                <w:color w:val="FFFFFF"/>
              </w:rPr>
              <w:t>​</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FFFFFF"/>
              </w:rPr>
              <w:t>​</w:t>
            </w:r>
          </w:p>
        </w:tc>
        <w:tc>
          <w:tcPr>
            <w:tcW w:w="1920" w:type="dxa"/>
            <w:vAlign w:val="bottom"/>
          </w:tcPr>
          <w:p>
            <w:pPr>
              <w:ind w:left="360"/>
              <w:spacing w:after="0"/>
              <w:rPr>
                <w:sz w:val="20"/>
                <w:szCs w:val="20"/>
                <w:color w:val="auto"/>
              </w:rPr>
            </w:pPr>
            <w:r>
              <w:rPr>
                <w:rFonts w:ascii="Arial" w:cs="Arial" w:eastAsia="Arial" w:hAnsi="Arial"/>
                <w:sz w:val="18"/>
                <w:szCs w:val="18"/>
                <w:b w:val="1"/>
                <w:bCs w:val="1"/>
                <w:color w:val="FFFFFF"/>
              </w:rPr>
              <w:t>ACCESS</w:t>
            </w:r>
          </w:p>
        </w:tc>
        <w:tc>
          <w:tcPr>
            <w:tcW w:w="920" w:type="dxa"/>
            <w:vAlign w:val="bottom"/>
          </w:tcPr>
          <w:p>
            <w:pPr>
              <w:ind w:left="860"/>
              <w:spacing w:after="0"/>
              <w:rPr>
                <w:sz w:val="20"/>
                <w:szCs w:val="20"/>
                <w:color w:val="auto"/>
              </w:rPr>
            </w:pPr>
            <w:r>
              <w:rPr>
                <w:rFonts w:ascii="Arial" w:cs="Arial" w:eastAsia="Arial" w:hAnsi="Arial"/>
                <w:sz w:val="18"/>
                <w:szCs w:val="18"/>
                <w:b w:val="1"/>
                <w:bCs w:val="1"/>
                <w:color w:val="FFFFFF"/>
              </w:rPr>
              <w:t>​</w:t>
            </w:r>
          </w:p>
        </w:tc>
      </w:tr>
      <w:tr>
        <w:trPr>
          <w:trHeight w:val="241"/>
        </w:trPr>
        <w:tc>
          <w:tcPr>
            <w:tcW w:w="2540" w:type="dxa"/>
            <w:vAlign w:val="bottom"/>
            <w:gridSpan w:val="2"/>
          </w:tcPr>
          <w:p>
            <w:pPr>
              <w:spacing w:after="0"/>
              <w:rPr>
                <w:sz w:val="20"/>
                <w:szCs w:val="20"/>
                <w:color w:val="auto"/>
              </w:rPr>
            </w:pPr>
            <w:r>
              <w:rPr>
                <w:rFonts w:ascii="Arial" w:cs="Arial" w:eastAsia="Arial" w:hAnsi="Arial"/>
                <w:sz w:val="16"/>
                <w:szCs w:val="16"/>
                <w:color w:val="auto"/>
              </w:rPr>
              <w:t>​ March 1, 2024</w:t>
            </w:r>
          </w:p>
        </w:tc>
        <w:tc>
          <w:tcPr>
            <w:tcW w:w="640" w:type="dxa"/>
            <w:vAlign w:val="bottom"/>
          </w:tcPr>
          <w:p>
            <w:pPr>
              <w:spacing w:after="0"/>
              <w:rPr>
                <w:sz w:val="20"/>
                <w:szCs w:val="20"/>
                <w:color w:val="auto"/>
              </w:rPr>
            </w:pPr>
            <w:r>
              <w:rPr>
                <w:rFonts w:ascii="Arial" w:cs="Arial" w:eastAsia="Arial" w:hAnsi="Arial"/>
                <w:sz w:val="16"/>
                <w:szCs w:val="16"/>
                <w:color w:val="auto"/>
              </w:rPr>
              <w:t>​</w:t>
            </w:r>
          </w:p>
        </w:tc>
        <w:tc>
          <w:tcPr>
            <w:tcW w:w="2320" w:type="dxa"/>
            <w:vAlign w:val="bottom"/>
            <w:gridSpan w:val="2"/>
          </w:tcPr>
          <w:p>
            <w:pPr>
              <w:ind w:left="20"/>
              <w:spacing w:after="0"/>
              <w:rPr>
                <w:sz w:val="20"/>
                <w:szCs w:val="20"/>
                <w:color w:val="auto"/>
              </w:rPr>
            </w:pPr>
            <w:r>
              <w:rPr>
                <w:rFonts w:ascii="Arial" w:cs="Arial" w:eastAsia="Arial" w:hAnsi="Arial"/>
                <w:sz w:val="16"/>
                <w:szCs w:val="16"/>
                <w:color w:val="auto"/>
              </w:rPr>
              <w:t>​ Via webcast at</w:t>
            </w:r>
          </w:p>
        </w:tc>
        <w:tc>
          <w:tcPr>
            <w:tcW w:w="920" w:type="dxa"/>
            <w:vAlign w:val="bottom"/>
          </w:tcPr>
          <w:p>
            <w:pPr>
              <w:ind w:left="8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-452120</wp:posOffset>
            </wp:positionV>
            <wp:extent cx="180340"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000000"/>
                        </a:clrFrom>
                        <a:clrTo>
                          <a:srgbClr val="000000">
                            <a:alpha val="0"/>
                          </a:srgbClr>
                        </a:clrTo>
                      </a:clrChange>
                      <a:extLst>
                        <a:ext uri="{28A0092B-C50C-407E-A947-70E740481C1C}"/>
                      </a:extLst>
                    </a:blip>
                    <a:srcRect/>
                    <a:stretch>
                      <a:fillRect/>
                    </a:stretch>
                  </pic:blipFill>
                  <pic:spPr bwMode="auto">
                    <a:xfrm>
                      <a:off x="0" y="0"/>
                      <a:ext cx="180340" cy="248920"/>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-452120</wp:posOffset>
            </wp:positionV>
            <wp:extent cx="18034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80340" cy="248920"/>
                    </a:xfrm>
                    <a:prstGeom prst="rect">
                      <a:avLst/>
                    </a:prstGeom>
                    <a:noFill/>
                  </pic:spPr>
                </pic:pic>
              </a:graphicData>
            </a:graphic>
          </wp:anchor>
        </w:drawing>
      </w:r>
    </w:p>
    <w:p>
      <w:pPr>
        <w:ind w:left="3300"/>
        <w:spacing w:after="0"/>
        <w:rPr>
          <w:sz w:val="20"/>
          <w:szCs w:val="20"/>
          <w:color w:val="auto"/>
        </w:rPr>
      </w:pPr>
      <w:r>
        <w:rPr>
          <w:rFonts w:ascii="Arial" w:cs="Arial" w:eastAsia="Arial" w:hAnsi="Arial"/>
          <w:sz w:val="16"/>
          <w:szCs w:val="16"/>
          <w:color w:val="BF5B5A"/>
        </w:rPr>
        <w:t>https://web.lumiagm.com/224987645</w:t>
      </w:r>
      <w:r>
        <w:rPr>
          <w:rFonts w:ascii="Arial" w:cs="Arial" w:eastAsia="Arial" w:hAnsi="Arial"/>
          <w:sz w:val="16"/>
          <w:szCs w:val="16"/>
          <w:color w:val="000000"/>
        </w:rPr>
        <w:t>;</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access available beginning at 7:30 a.m.,</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local time in Honolulu, Hawaii, on</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April 24, 2024. Enter your voter control</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number found on your Important Notice</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Regarding the Availability of Proxy</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Materials, on your proxy card or on the</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instructions that accompanied your proxy</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materials, along with the password of</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fh2024 (case sensitive). Once admitted</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to the meeting platform, you may submit</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questions and/or vote during the Annual</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Meeting by following the instructions that</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will be available on the meeting website.</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There will not be a physical meeting in</w:t>
      </w:r>
    </w:p>
    <w:p>
      <w:pPr>
        <w:spacing w:after="0" w:line="3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Hawaii or anywhere else.</w:t>
      </w:r>
    </w:p>
    <w:p>
      <w:pPr>
        <w:spacing w:after="0" w:line="200" w:lineRule="exact"/>
        <w:rPr>
          <w:sz w:val="20"/>
          <w:szCs w:val="20"/>
          <w:color w:val="auto"/>
        </w:rPr>
      </w:pPr>
    </w:p>
    <w:p>
      <w:pPr>
        <w:sectPr>
          <w:pgSz w:w="11900" w:h="16838" w:orient="portrait"/>
          <w:cols w:equalWidth="0" w:num="2">
            <w:col w:w="3040" w:space="580"/>
            <w:col w:w="6420"/>
          </w:cols>
          <w:pgMar w:left="580" w:top="97" w:right="1279" w:bottom="1440" w:gutter="0" w:footer="0" w:header="0"/>
          <w:type w:val="continuous"/>
        </w:sectPr>
      </w:pPr>
    </w:p>
    <w:p>
      <w:pPr>
        <w:spacing w:after="0" w:line="173"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157480</wp:posOffset>
            </wp:positionV>
            <wp:extent cx="582930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29146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880" w:hanging="100"/>
        <w:spacing w:after="0"/>
        <w:tabs>
          <w:tab w:leader="none" w:pos="880" w:val="left"/>
        </w:tabs>
        <w:numPr>
          <w:ilvl w:val="0"/>
          <w:numId w:val="11"/>
        </w:numPr>
        <w:rPr>
          <w:rFonts w:ascii="Arial" w:cs="Arial" w:eastAsia="Arial" w:hAnsi="Arial"/>
          <w:sz w:val="17"/>
          <w:szCs w:val="17"/>
          <w:b w:val="1"/>
          <w:bCs w:val="1"/>
          <w:color w:val="FFFFFF"/>
        </w:rPr>
      </w:pPr>
      <w:r>
        <w:rPr>
          <w:rFonts w:ascii="Arial" w:cs="Arial" w:eastAsia="Arial" w:hAnsi="Arial"/>
          <w:sz w:val="17"/>
          <w:szCs w:val="17"/>
          <w:b w:val="1"/>
          <w:bCs w:val="1"/>
          <w:color w:val="FFFFFF"/>
        </w:rPr>
        <w:t>Proposal</w:t>
      </w:r>
    </w:p>
    <w:p>
      <w:pPr>
        <w:spacing w:after="0" w:line="39" w:lineRule="exact"/>
        <w:rPr>
          <w:rFonts w:ascii="Arial" w:cs="Arial" w:eastAsia="Arial" w:hAnsi="Arial"/>
          <w:sz w:val="17"/>
          <w:szCs w:val="17"/>
          <w:b w:val="1"/>
          <w:bCs w:val="1"/>
          <w:color w:val="FFFFFF"/>
        </w:rPr>
      </w:pPr>
    </w:p>
    <w:p>
      <w:pPr>
        <w:ind w:left="1220" w:hanging="440"/>
        <w:spacing w:after="0" w:line="181" w:lineRule="auto"/>
        <w:tabs>
          <w:tab w:leader="none" w:pos="896" w:val="left"/>
        </w:tabs>
        <w:numPr>
          <w:ilvl w:val="0"/>
          <w:numId w:val="11"/>
        </w:numPr>
        <w:rPr>
          <w:rFonts w:ascii="Arial" w:cs="Arial" w:eastAsia="Arial" w:hAnsi="Arial"/>
          <w:sz w:val="30"/>
          <w:szCs w:val="30"/>
          <w:color w:val="auto"/>
          <w:vertAlign w:val="superscript"/>
        </w:rPr>
      </w:pPr>
      <w:r>
        <w:rPr>
          <w:rFonts w:ascii="Arial" w:cs="Arial" w:eastAsia="Arial" w:hAnsi="Arial"/>
          <w:sz w:val="46"/>
          <w:szCs w:val="46"/>
          <w:b w:val="1"/>
          <w:bCs w:val="1"/>
          <w:color w:val="BF5B5A"/>
          <w:vertAlign w:val="subscript"/>
        </w:rPr>
        <w:t>1.</w:t>
      </w:r>
      <w:r>
        <w:rPr>
          <w:rFonts w:ascii="Arial" w:cs="Arial" w:eastAsia="Arial" w:hAnsi="Arial"/>
          <w:sz w:val="30"/>
          <w:szCs w:val="30"/>
          <w:color w:val="auto"/>
          <w:vertAlign w:val="superscript"/>
        </w:rPr>
        <w:t>​​</w:t>
      </w:r>
      <w:r>
        <w:rPr>
          <w:rFonts w:ascii="Arial" w:cs="Arial" w:eastAsia="Arial" w:hAnsi="Arial"/>
          <w:sz w:val="16"/>
          <w:szCs w:val="16"/>
          <w:color w:val="auto"/>
        </w:rPr>
        <w:t>The election to our Board of Directors of the nine nominees named in the attached Proxy Statement to serve until the 2025 Annual Meeting of Stockholders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7"/>
                <w:szCs w:val="17"/>
                <w:b w:val="1"/>
                <w:bCs w:val="1"/>
                <w:color w:val="FFFFFF"/>
              </w:rPr>
              <w:t>Board Voting</w:t>
            </w:r>
          </w:p>
        </w:tc>
        <w:tc>
          <w:tcPr>
            <w:tcW w:w="620" w:type="dxa"/>
            <w:vAlign w:val="bottom"/>
          </w:tcPr>
          <w:p>
            <w:pPr>
              <w:spacing w:after="0"/>
              <w:rPr>
                <w:sz w:val="16"/>
                <w:szCs w:val="16"/>
                <w:color w:val="auto"/>
              </w:rPr>
            </w:pPr>
          </w:p>
        </w:tc>
        <w:tc>
          <w:tcPr>
            <w:tcW w:w="420" w:type="dxa"/>
            <w:vAlign w:val="bottom"/>
            <w:gridSpan w:val="3"/>
          </w:tcPr>
          <w:p>
            <w:pPr>
              <w:ind w:left="60"/>
              <w:spacing w:after="0"/>
              <w:rPr>
                <w:sz w:val="20"/>
                <w:szCs w:val="20"/>
                <w:color w:val="auto"/>
              </w:rPr>
            </w:pPr>
            <w:r>
              <w:rPr>
                <w:rFonts w:ascii="Arial" w:cs="Arial" w:eastAsia="Arial" w:hAnsi="Arial"/>
                <w:sz w:val="17"/>
                <w:szCs w:val="17"/>
                <w:b w:val="1"/>
                <w:bCs w:val="1"/>
                <w:color w:val="FFFFFF"/>
              </w:rPr>
              <w:t>See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7"/>
                <w:szCs w:val="17"/>
                <w:b w:val="1"/>
                <w:bCs w:val="1"/>
                <w:color w:val="FFFFFF"/>
              </w:rPr>
              <w:t>​ ​ Recommendation</w:t>
            </w:r>
          </w:p>
        </w:tc>
        <w:tc>
          <w:tcPr>
            <w:tcW w:w="620" w:type="dxa"/>
            <w:vAlign w:val="bottom"/>
          </w:tcPr>
          <w:p>
            <w:pPr>
              <w:ind w:left="420"/>
              <w:spacing w:after="0"/>
              <w:rPr>
                <w:sz w:val="20"/>
                <w:szCs w:val="20"/>
                <w:color w:val="auto"/>
              </w:rPr>
            </w:pPr>
            <w:r>
              <w:rPr>
                <w:rFonts w:ascii="Arial" w:cs="Arial" w:eastAsia="Arial" w:hAnsi="Arial"/>
                <w:sz w:val="17"/>
                <w:szCs w:val="17"/>
                <w:b w:val="1"/>
                <w:bCs w:val="1"/>
                <w:color w:val="FFFFFF"/>
              </w:rPr>
              <w:t>​ ​</w:t>
            </w:r>
          </w:p>
        </w:tc>
        <w:tc>
          <w:tcPr>
            <w:tcW w:w="540" w:type="dxa"/>
            <w:vAlign w:val="bottom"/>
            <w:gridSpan w:val="4"/>
          </w:tcPr>
          <w:p>
            <w:pPr>
              <w:jc w:val="right"/>
              <w:spacing w:after="0"/>
              <w:rPr>
                <w:sz w:val="20"/>
                <w:szCs w:val="20"/>
                <w:color w:val="auto"/>
              </w:rPr>
            </w:pPr>
            <w:r>
              <w:rPr>
                <w:rFonts w:ascii="Arial" w:cs="Arial" w:eastAsia="Arial" w:hAnsi="Arial"/>
                <w:sz w:val="17"/>
                <w:szCs w:val="17"/>
                <w:b w:val="1"/>
                <w:bCs w:val="1"/>
                <w:color w:val="FFFFFF"/>
              </w:rPr>
              <w:t>Page ​</w:t>
            </w:r>
          </w:p>
        </w:tc>
        <w:tc>
          <w:tcPr>
            <w:tcW w:w="0" w:type="dxa"/>
            <w:vAlign w:val="bottom"/>
          </w:tcPr>
          <w:p>
            <w:pPr>
              <w:spacing w:after="0"/>
              <w:rPr>
                <w:sz w:val="1"/>
                <w:szCs w:val="1"/>
                <w:color w:val="auto"/>
              </w:rPr>
            </w:pPr>
          </w:p>
        </w:tc>
      </w:tr>
      <w:tr>
        <w:trPr>
          <w:trHeight w:val="163"/>
        </w:trPr>
        <w:tc>
          <w:tcPr>
            <w:tcW w:w="180" w:type="dxa"/>
            <w:vAlign w:val="bottom"/>
          </w:tcPr>
          <w:p>
            <w:pPr>
              <w:spacing w:after="0" w:line="163" w:lineRule="exact"/>
              <w:rPr>
                <w:sz w:val="20"/>
                <w:szCs w:val="20"/>
                <w:color w:val="auto"/>
              </w:rPr>
            </w:pPr>
            <w:r>
              <w:rPr>
                <w:rFonts w:ascii="Arial" w:cs="Arial" w:eastAsia="Arial" w:hAnsi="Arial"/>
                <w:sz w:val="16"/>
                <w:szCs w:val="16"/>
                <w:color w:val="auto"/>
              </w:rPr>
              <w:t>​ ​</w:t>
            </w:r>
          </w:p>
        </w:tc>
        <w:tc>
          <w:tcPr>
            <w:tcW w:w="1780" w:type="dxa"/>
            <w:vAlign w:val="bottom"/>
          </w:tcPr>
          <w:p>
            <w:pPr>
              <w:ind w:left="460"/>
              <w:spacing w:after="0" w:line="163" w:lineRule="exact"/>
              <w:rPr>
                <w:sz w:val="20"/>
                <w:szCs w:val="20"/>
                <w:color w:val="auto"/>
              </w:rPr>
            </w:pPr>
            <w:r>
              <w:rPr>
                <w:rFonts w:ascii="Arial" w:cs="Arial" w:eastAsia="Arial" w:hAnsi="Arial"/>
                <w:sz w:val="16"/>
                <w:szCs w:val="16"/>
                <w:color w:val="auto"/>
              </w:rPr>
              <w:t>​</w:t>
            </w:r>
          </w:p>
        </w:tc>
        <w:tc>
          <w:tcPr>
            <w:tcW w:w="620" w:type="dxa"/>
            <w:vAlign w:val="bottom"/>
          </w:tcPr>
          <w:p>
            <w:pPr>
              <w:ind w:left="420"/>
              <w:spacing w:after="0" w:line="163" w:lineRule="exact"/>
              <w:rPr>
                <w:sz w:val="20"/>
                <w:szCs w:val="20"/>
                <w:color w:val="auto"/>
              </w:rPr>
            </w:pPr>
            <w:r>
              <w:rPr>
                <w:rFonts w:ascii="Arial" w:cs="Arial" w:eastAsia="Arial" w:hAnsi="Arial"/>
                <w:sz w:val="16"/>
                <w:szCs w:val="16"/>
                <w:color w:val="auto"/>
              </w:rPr>
              <w:t>​ ​</w:t>
            </w:r>
          </w:p>
        </w:tc>
        <w:tc>
          <w:tcPr>
            <w:tcW w:w="16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15</w:t>
            </w:r>
          </w:p>
        </w:tc>
        <w:tc>
          <w:tcPr>
            <w:tcW w:w="8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180" w:type="dxa"/>
            <w:vAlign w:val="bottom"/>
          </w:tcPr>
          <w:p>
            <w:pPr>
              <w:spacing w:after="0"/>
              <w:rPr>
                <w:sz w:val="7"/>
                <w:szCs w:val="7"/>
                <w:color w:val="auto"/>
              </w:rPr>
            </w:pPr>
          </w:p>
        </w:tc>
        <w:tc>
          <w:tcPr>
            <w:tcW w:w="1780" w:type="dxa"/>
            <w:vAlign w:val="bottom"/>
          </w:tcPr>
          <w:p>
            <w:pPr>
              <w:ind w:left="460"/>
              <w:spacing w:after="0" w:line="81" w:lineRule="exact"/>
              <w:rPr>
                <w:sz w:val="20"/>
                <w:szCs w:val="20"/>
                <w:color w:val="auto"/>
              </w:rPr>
            </w:pPr>
            <w:r>
              <w:rPr>
                <w:rFonts w:ascii="Arial" w:cs="Arial" w:eastAsia="Arial" w:hAnsi="Arial"/>
                <w:sz w:val="9"/>
                <w:szCs w:val="9"/>
                <w:b w:val="1"/>
                <w:bCs w:val="1"/>
                <w:color w:val="BF5B5A"/>
              </w:rPr>
              <w:t xml:space="preserve">FOR </w:t>
            </w:r>
            <w:r>
              <w:rPr>
                <w:rFonts w:ascii="Arial" w:cs="Arial" w:eastAsia="Arial" w:hAnsi="Arial"/>
                <w:sz w:val="9"/>
                <w:szCs w:val="9"/>
                <w:color w:val="000000"/>
              </w:rPr>
              <w:t>each</w:t>
            </w:r>
          </w:p>
        </w:tc>
        <w:tc>
          <w:tcPr>
            <w:tcW w:w="6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-76200</wp:posOffset>
            </wp:positionV>
            <wp:extent cx="18859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 nominee</w:t>
      </w:r>
    </w:p>
    <w:p>
      <w:pPr>
        <w:spacing w:after="0" w:line="247" w:lineRule="exact"/>
        <w:rPr>
          <w:sz w:val="20"/>
          <w:szCs w:val="20"/>
          <w:color w:val="auto"/>
        </w:rPr>
      </w:pPr>
    </w:p>
    <w:p>
      <w:pPr>
        <w:sectPr>
          <w:pgSz w:w="11900" w:h="16838" w:orient="portrait"/>
          <w:cols w:equalWidth="0" w:num="2">
            <w:col w:w="6620" w:space="160"/>
            <w:col w:w="3260"/>
          </w:cols>
          <w:pgMar w:left="580" w:top="97" w:right="1279" w:bottom="1440" w:gutter="0" w:footer="0" w:header="0"/>
          <w:type w:val="continuous"/>
        </w:sectPr>
      </w:pPr>
    </w:p>
    <w:tbl>
      <w:tblPr>
        <w:tblLayout w:type="fixed"/>
        <w:tblInd w:w="780" w:type="dxa"/>
        <w:tblCellMar>
          <w:top w:w="0" w:type="dxa"/>
          <w:left w:w="0" w:type="dxa"/>
          <w:bottom w:w="0" w:type="dxa"/>
          <w:right w:w="0" w:type="dxa"/>
        </w:tblCellMar>
      </w:tblPr>
      <w:tr>
        <w:trPr>
          <w:trHeight w:val="144"/>
        </w:trPr>
        <w:tc>
          <w:tcPr>
            <w:tcW w:w="80" w:type="dxa"/>
            <w:vAlign w:val="bottom"/>
            <w:tcBorders>
              <w:top w:val="single" w:sz="8" w:color="7F7F7F"/>
            </w:tcBorders>
          </w:tcPr>
          <w:p>
            <w:pPr>
              <w:spacing w:after="0" w:line="144"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7F7F7F"/>
            </w:tcBorders>
          </w:tcPr>
          <w:p>
            <w:pPr>
              <w:spacing w:after="0"/>
              <w:rPr>
                <w:sz w:val="12"/>
                <w:szCs w:val="12"/>
                <w:color w:val="auto"/>
              </w:rPr>
            </w:pPr>
          </w:p>
        </w:tc>
        <w:tc>
          <w:tcPr>
            <w:tcW w:w="100" w:type="dxa"/>
            <w:vAlign w:val="bottom"/>
            <w:tcBorders>
              <w:top w:val="single" w:sz="8" w:color="7F7F7F"/>
            </w:tcBorders>
          </w:tcPr>
          <w:p>
            <w:pPr>
              <w:spacing w:after="0" w:line="144" w:lineRule="exact"/>
              <w:rPr>
                <w:sz w:val="20"/>
                <w:szCs w:val="20"/>
                <w:color w:val="auto"/>
              </w:rPr>
            </w:pPr>
            <w:r>
              <w:rPr>
                <w:rFonts w:ascii="Arial" w:cs="Arial" w:eastAsia="Arial" w:hAnsi="Arial"/>
                <w:sz w:val="16"/>
                <w:szCs w:val="16"/>
                <w:color w:val="auto"/>
              </w:rPr>
              <w:t>​​</w:t>
            </w:r>
          </w:p>
        </w:tc>
        <w:tc>
          <w:tcPr>
            <w:tcW w:w="5560" w:type="dxa"/>
            <w:vAlign w:val="bottom"/>
            <w:tcBorders>
              <w:top w:val="single" w:sz="8" w:color="7F7F7F"/>
            </w:tcBorders>
          </w:tcPr>
          <w:p>
            <w:pPr>
              <w:spacing w:after="0"/>
              <w:rPr>
                <w:sz w:val="12"/>
                <w:szCs w:val="12"/>
                <w:color w:val="auto"/>
              </w:rPr>
            </w:pPr>
          </w:p>
        </w:tc>
        <w:tc>
          <w:tcPr>
            <w:tcW w:w="420" w:type="dxa"/>
            <w:vAlign w:val="bottom"/>
            <w:tcBorders>
              <w:top w:val="single" w:sz="8" w:color="7F7F7F"/>
            </w:tcBorders>
          </w:tcPr>
          <w:p>
            <w:pPr>
              <w:ind w:left="20"/>
              <w:spacing w:after="0" w:line="144" w:lineRule="exact"/>
              <w:rPr>
                <w:sz w:val="20"/>
                <w:szCs w:val="20"/>
                <w:color w:val="auto"/>
              </w:rPr>
            </w:pPr>
            <w:r>
              <w:rPr>
                <w:rFonts w:ascii="Arial" w:cs="Arial" w:eastAsia="Arial" w:hAnsi="Arial"/>
                <w:sz w:val="16"/>
                <w:szCs w:val="16"/>
                <w:color w:val="auto"/>
              </w:rPr>
              <w:t>​ ​</w:t>
            </w:r>
          </w:p>
        </w:tc>
        <w:tc>
          <w:tcPr>
            <w:tcW w:w="1600" w:type="dxa"/>
            <w:vAlign w:val="bottom"/>
            <w:tcBorders>
              <w:top w:val="single" w:sz="8" w:color="7F7F7F"/>
            </w:tcBorders>
          </w:tcPr>
          <w:p>
            <w:pPr>
              <w:ind w:left="240"/>
              <w:spacing w:after="0" w:line="144"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7F7F7F"/>
            </w:tcBorders>
          </w:tcPr>
          <w:p>
            <w:pPr>
              <w:ind w:left="380"/>
              <w:spacing w:after="0" w:line="144" w:lineRule="exact"/>
              <w:rPr>
                <w:sz w:val="20"/>
                <w:szCs w:val="20"/>
                <w:color w:val="auto"/>
              </w:rPr>
            </w:pPr>
            <w:r>
              <w:rPr>
                <w:rFonts w:ascii="Arial" w:cs="Arial" w:eastAsia="Arial" w:hAnsi="Arial"/>
                <w:sz w:val="16"/>
                <w:szCs w:val="16"/>
                <w:color w:val="auto"/>
              </w:rPr>
              <w:t>​ ​</w:t>
            </w:r>
          </w:p>
        </w:tc>
        <w:tc>
          <w:tcPr>
            <w:tcW w:w="100" w:type="dxa"/>
            <w:vAlign w:val="bottom"/>
            <w:tcBorders>
              <w:top w:val="single" w:sz="8" w:color="7F7F7F"/>
            </w:tcBorders>
          </w:tcPr>
          <w:p>
            <w:pPr>
              <w:spacing w:after="0"/>
              <w:rPr>
                <w:sz w:val="12"/>
                <w:szCs w:val="12"/>
                <w:color w:val="auto"/>
              </w:rPr>
            </w:pPr>
          </w:p>
        </w:tc>
        <w:tc>
          <w:tcPr>
            <w:tcW w:w="1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0000EE"/>
                <w:w w:val="89"/>
              </w:rPr>
              <w:t>38</w:t>
            </w:r>
          </w:p>
        </w:tc>
        <w:tc>
          <w:tcPr>
            <w:tcW w:w="80" w:type="dxa"/>
            <w:vAlign w:val="bottom"/>
            <w:tcBorders>
              <w:top w:val="single" w:sz="8" w:color="7F7F7F"/>
            </w:tcBorders>
          </w:tcPr>
          <w:p>
            <w:pPr>
              <w:spacing w:after="0"/>
              <w:rPr>
                <w:sz w:val="12"/>
                <w:szCs w:val="12"/>
                <w:color w:val="auto"/>
              </w:rPr>
            </w:pPr>
          </w:p>
        </w:tc>
        <w:tc>
          <w:tcPr>
            <w:tcW w:w="180" w:type="dxa"/>
            <w:vAlign w:val="bottom"/>
            <w:tcBorders>
              <w:top w:val="single" w:sz="8" w:color="7F7F7F"/>
            </w:tcBorders>
          </w:tcPr>
          <w:p>
            <w:pPr>
              <w:ind w:left="80"/>
              <w:spacing w:after="0" w:line="14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2.</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An advisory vote on the compensation of our named executive officers as</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FOR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55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disclosed in the attached Proxy Statement</w:t>
            </w:r>
          </w:p>
        </w:tc>
        <w:tc>
          <w:tcPr>
            <w:tcW w:w="420" w:type="dxa"/>
            <w:vAlign w:val="bottom"/>
            <w:tcBorders>
              <w:bottom w:val="single" w:sz="8" w:color="7F7F7F"/>
            </w:tcBorders>
          </w:tcPr>
          <w:p>
            <w:pPr>
              <w:spacing w:after="0"/>
              <w:rPr>
                <w:sz w:val="17"/>
                <w:szCs w:val="17"/>
                <w:color w:val="auto"/>
              </w:rPr>
            </w:pPr>
          </w:p>
        </w:tc>
        <w:tc>
          <w:tcPr>
            <w:tcW w:w="160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556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6"/>
                <w:szCs w:val="16"/>
                <w:color w:val="auto"/>
              </w:rPr>
              <w:t>​ ​</w:t>
            </w:r>
          </w:p>
        </w:tc>
        <w:tc>
          <w:tcPr>
            <w:tcW w:w="1600" w:type="dxa"/>
            <w:vAlign w:val="bottom"/>
          </w:tcPr>
          <w:p>
            <w:pPr>
              <w:ind w:left="240"/>
              <w:spacing w:after="0" w:line="142" w:lineRule="exact"/>
              <w:rPr>
                <w:sz w:val="20"/>
                <w:szCs w:val="20"/>
                <w:color w:val="auto"/>
              </w:rPr>
            </w:pPr>
            <w:r>
              <w:rPr>
                <w:rFonts w:ascii="Arial" w:cs="Arial" w:eastAsia="Arial" w:hAnsi="Arial"/>
                <w:sz w:val="16"/>
                <w:szCs w:val="16"/>
                <w:color w:val="auto"/>
              </w:rPr>
              <w:t>​</w:t>
            </w:r>
          </w:p>
        </w:tc>
        <w:tc>
          <w:tcPr>
            <w:tcW w:w="640" w:type="dxa"/>
            <w:vAlign w:val="bottom"/>
          </w:tcPr>
          <w:p>
            <w:pPr>
              <w:ind w:left="380"/>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79</w:t>
            </w:r>
          </w:p>
        </w:tc>
        <w:tc>
          <w:tcPr>
            <w:tcW w:w="8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3.</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An advisory vote on the frequency of future votes on the compensation of</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EVERY YEAR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55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our named executive officers</w:t>
            </w:r>
          </w:p>
        </w:tc>
        <w:tc>
          <w:tcPr>
            <w:tcW w:w="420" w:type="dxa"/>
            <w:vAlign w:val="bottom"/>
            <w:tcBorders>
              <w:bottom w:val="single" w:sz="8" w:color="7F7F7F"/>
            </w:tcBorders>
          </w:tcPr>
          <w:p>
            <w:pPr>
              <w:spacing w:after="0"/>
              <w:rPr>
                <w:sz w:val="17"/>
                <w:szCs w:val="17"/>
                <w:color w:val="auto"/>
              </w:rPr>
            </w:pPr>
          </w:p>
        </w:tc>
        <w:tc>
          <w:tcPr>
            <w:tcW w:w="160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556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6"/>
                <w:szCs w:val="16"/>
                <w:color w:val="auto"/>
              </w:rPr>
              <w:t>​ ​</w:t>
            </w:r>
          </w:p>
        </w:tc>
        <w:tc>
          <w:tcPr>
            <w:tcW w:w="1600" w:type="dxa"/>
            <w:vAlign w:val="bottom"/>
          </w:tcPr>
          <w:p>
            <w:pPr>
              <w:ind w:left="240"/>
              <w:spacing w:after="0" w:line="142" w:lineRule="exact"/>
              <w:rPr>
                <w:sz w:val="20"/>
                <w:szCs w:val="20"/>
                <w:color w:val="auto"/>
              </w:rPr>
            </w:pPr>
            <w:r>
              <w:rPr>
                <w:rFonts w:ascii="Arial" w:cs="Arial" w:eastAsia="Arial" w:hAnsi="Arial"/>
                <w:sz w:val="16"/>
                <w:szCs w:val="16"/>
                <w:color w:val="auto"/>
              </w:rPr>
              <w:t>​</w:t>
            </w:r>
          </w:p>
        </w:tc>
        <w:tc>
          <w:tcPr>
            <w:tcW w:w="640" w:type="dxa"/>
            <w:vAlign w:val="bottom"/>
          </w:tcPr>
          <w:p>
            <w:pPr>
              <w:ind w:left="380"/>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80</w:t>
            </w:r>
          </w:p>
        </w:tc>
        <w:tc>
          <w:tcPr>
            <w:tcW w:w="8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4.</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The ratification of the appointment of Deloitte &amp; Touche LLP to serve as</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FOR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our independent registered public accounting firm for the fiscal year ending</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-873760</wp:posOffset>
            </wp:positionV>
            <wp:extent cx="18859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-556895</wp:posOffset>
            </wp:positionV>
            <wp:extent cx="18859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-239395</wp:posOffset>
            </wp:positionV>
            <wp:extent cx="18859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6"/>
          <w:szCs w:val="16"/>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37465</wp:posOffset>
            </wp:positionV>
            <wp:extent cx="58293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will also act on any other business that is properly raised.</w:t>
      </w:r>
    </w:p>
    <w:p>
      <w:pPr>
        <w:sectPr>
          <w:pgSz w:w="11900" w:h="16838" w:orient="portrait"/>
          <w:cols w:equalWidth="0" w:num="1">
            <w:col w:w="10040"/>
          </w:cols>
          <w:pgMar w:left="580" w:top="97" w:right="1279" w:bottom="1440" w:gutter="0" w:footer="0" w:header="0"/>
          <w:type w:val="continuous"/>
        </w:sectPr>
      </w:pPr>
    </w:p>
    <w:p>
      <w:pPr>
        <w:spacing w:after="0" w:line="338" w:lineRule="exact"/>
        <w:rPr>
          <w:sz w:val="20"/>
          <w:szCs w:val="20"/>
          <w:color w:val="auto"/>
        </w:rPr>
      </w:pPr>
    </w:p>
    <w:p>
      <w:pPr>
        <w:ind w:left="780"/>
        <w:spacing w:after="0"/>
        <w:tabs>
          <w:tab w:leader="none" w:pos="9420" w:val="left"/>
          <w:tab w:leader="none" w:pos="976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w:t>
      </w:r>
      <w:r>
        <w:rPr>
          <w:sz w:val="20"/>
          <w:szCs w:val="20"/>
          <w:color w:val="auto"/>
        </w:rPr>
        <w:tab/>
      </w:r>
      <w:r>
        <w:rPr>
          <w:rFonts w:ascii="Arial" w:cs="Arial" w:eastAsia="Arial" w:hAnsi="Arial"/>
          <w:sz w:val="16"/>
          <w:szCs w:val="16"/>
          <w:b w:val="1"/>
          <w:bCs w:val="1"/>
          <w:color w:val="BF5B5A"/>
        </w:rPr>
        <w:t>1</w:t>
      </w:r>
      <w:r>
        <w:rPr>
          <w:rFonts w:ascii="Arial" w:cs="Arial" w:eastAsia="Arial" w:hAnsi="Arial"/>
          <w:sz w:val="32"/>
          <w:szCs w:val="32"/>
          <w:b w:val="1"/>
          <w:bCs w:val="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How to Vote</w:t>
      </w:r>
    </w:p>
    <w:p>
      <w:pPr>
        <w:spacing w:after="0" w:line="177" w:lineRule="exact"/>
        <w:rPr>
          <w:sz w:val="20"/>
          <w:szCs w:val="20"/>
          <w:color w:val="auto"/>
        </w:rPr>
      </w:pPr>
    </w:p>
    <w:p>
      <w:pPr>
        <w:ind w:left="780" w:right="80"/>
        <w:spacing w:after="0" w:line="283" w:lineRule="auto"/>
        <w:rPr>
          <w:sz w:val="20"/>
          <w:szCs w:val="20"/>
          <w:color w:val="auto"/>
        </w:rPr>
      </w:pPr>
      <w:r>
        <w:rPr>
          <w:rFonts w:ascii="Arial" w:cs="Arial" w:eastAsia="Arial" w:hAnsi="Arial"/>
          <w:sz w:val="18"/>
          <w:szCs w:val="18"/>
          <w:color w:val="auto"/>
        </w:rPr>
        <w:t>Our Annual Meeting will be conducted exclusively online via live webcast, allowing all of our stockholders the option to participate in the live, online meeting from any location convenient to them and providing stockholder access to our Board and management. For further information on the virtual meeting, please see the “</w:t>
      </w:r>
      <w:r>
        <w:rPr>
          <w:rFonts w:ascii="Arial" w:cs="Arial" w:eastAsia="Arial" w:hAnsi="Arial"/>
          <w:sz w:val="18"/>
          <w:szCs w:val="18"/>
          <w:i w:val="1"/>
          <w:iCs w:val="1"/>
          <w:color w:val="auto"/>
        </w:rPr>
        <w:t>Frequently Asked Questions about the Annual Meeting and Voting</w:t>
      </w:r>
      <w:r>
        <w:rPr>
          <w:rFonts w:ascii="Arial" w:cs="Arial" w:eastAsia="Arial" w:hAnsi="Arial"/>
          <w:sz w:val="18"/>
          <w:szCs w:val="18"/>
          <w:color w:val="auto"/>
        </w:rPr>
        <w:t>” section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103505</wp:posOffset>
            </wp:positionV>
            <wp:extent cx="137160" cy="480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48006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103505</wp:posOffset>
            </wp:positionV>
            <wp:extent cx="137160" cy="4800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4800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145" w:lineRule="exact"/>
        <w:rPr>
          <w:sz w:val="20"/>
          <w:szCs w:val="20"/>
          <w:color w:val="auto"/>
        </w:rPr>
      </w:pPr>
    </w:p>
    <w:p>
      <w:pPr>
        <w:ind w:left="2380" w:hanging="1114"/>
        <w:spacing w:after="0"/>
        <w:tabs>
          <w:tab w:leader="none" w:pos="2380" w:val="left"/>
        </w:tabs>
        <w:numPr>
          <w:ilvl w:val="0"/>
          <w:numId w:val="12"/>
        </w:numPr>
        <w:rPr>
          <w:rFonts w:ascii="Arial" w:cs="Arial" w:eastAsia="Arial" w:hAnsi="Arial"/>
          <w:sz w:val="15"/>
          <w:szCs w:val="15"/>
          <w:b w:val="1"/>
          <w:bCs w:val="1"/>
          <w:color w:val="FFFFFF"/>
        </w:rPr>
      </w:pPr>
      <w:r>
        <w:rPr>
          <w:rFonts w:ascii="Arial" w:cs="Arial" w:eastAsia="Arial" w:hAnsi="Arial"/>
          <w:sz w:val="1"/>
          <w:szCs w:val="1"/>
          <w:b w:val="1"/>
          <w:bCs w:val="1"/>
          <w:color w:val="FFFFFF"/>
        </w:rPr>
        <w:drawing>
          <wp:inline distT="0" distB="0" distL="0" distR="0">
            <wp:extent cx="154305" cy="2571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257175"/>
                    </a:xfrm>
                    <a:prstGeom prst="rect">
                      <a:avLst/>
                    </a:prstGeom>
                    <a:noFill/>
                    <a:ln>
                      <a:noFill/>
                    </a:ln>
                  </pic:spPr>
                </pic:pic>
              </a:graphicData>
            </a:graphic>
          </wp:inline>
        </w:drawing>
      </w:r>
    </w:p>
    <w:p>
      <w:pPr>
        <w:spacing w:after="0" w:line="115" w:lineRule="exact"/>
        <w:rPr>
          <w:rFonts w:ascii="Arial" w:cs="Arial" w:eastAsia="Arial" w:hAnsi="Arial"/>
          <w:sz w:val="15"/>
          <w:szCs w:val="15"/>
          <w:b w:val="1"/>
          <w:bCs w:val="1"/>
          <w:color w:val="FFFFFF"/>
        </w:rPr>
      </w:pPr>
    </w:p>
    <w:p>
      <w:pPr>
        <w:ind w:left="1940" w:hanging="674"/>
        <w:spacing w:after="0"/>
        <w:tabs>
          <w:tab w:leader="none" w:pos="1940" w:val="left"/>
        </w:tabs>
        <w:numPr>
          <w:ilvl w:val="0"/>
          <w:numId w:val="12"/>
        </w:numPr>
        <w:rPr>
          <w:rFonts w:ascii="Arial" w:cs="Arial" w:eastAsia="Arial" w:hAnsi="Arial"/>
          <w:sz w:val="15"/>
          <w:szCs w:val="15"/>
          <w:b w:val="1"/>
          <w:bCs w:val="1"/>
          <w:color w:val="FFFFFF"/>
        </w:rPr>
      </w:pPr>
      <w:r>
        <w:rPr>
          <w:rFonts w:ascii="Arial" w:cs="Arial" w:eastAsia="Arial" w:hAnsi="Arial"/>
          <w:sz w:val="15"/>
          <w:szCs w:val="15"/>
          <w:b w:val="1"/>
          <w:bCs w:val="1"/>
          <w:color w:val="FFFFFF"/>
        </w:rPr>
        <w:t>BY TELEPHONE</w:t>
      </w:r>
    </w:p>
    <w:p>
      <w:pPr>
        <w:spacing w:after="0" w:line="64" w:lineRule="exact"/>
        <w:rPr>
          <w:rFonts w:ascii="Arial" w:cs="Arial" w:eastAsia="Arial" w:hAnsi="Arial"/>
          <w:sz w:val="15"/>
          <w:szCs w:val="15"/>
          <w:b w:val="1"/>
          <w:bCs w:val="1"/>
          <w:color w:val="FFFFFF"/>
        </w:rPr>
      </w:pPr>
    </w:p>
    <w:p>
      <w:pPr>
        <w:ind w:left="1320" w:hanging="54"/>
        <w:spacing w:after="0" w:line="214" w:lineRule="auto"/>
        <w:tabs>
          <w:tab w:leader="none" w:pos="1320" w:val="left"/>
        </w:tabs>
        <w:numPr>
          <w:ilvl w:val="0"/>
          <w:numId w:val="12"/>
        </w:numPr>
        <w:rPr>
          <w:rFonts w:ascii="Arial" w:cs="Arial" w:eastAsia="Arial" w:hAnsi="Arial"/>
          <w:sz w:val="31"/>
          <w:szCs w:val="31"/>
          <w:color w:val="auto"/>
          <w:vertAlign w:val="superscript"/>
        </w:rPr>
      </w:pPr>
      <w:r>
        <w:rPr>
          <w:rFonts w:ascii="Arial" w:cs="Arial" w:eastAsia="Arial" w:hAnsi="Arial"/>
          <w:sz w:val="15"/>
          <w:szCs w:val="15"/>
          <w:color w:val="auto"/>
        </w:rPr>
        <w:t xml:space="preserve">Registered holders may call toll-free </w:t>
      </w:r>
      <w:r>
        <w:rPr>
          <w:rFonts w:ascii="Arial" w:cs="Arial" w:eastAsia="Arial" w:hAnsi="Arial"/>
          <w:sz w:val="15"/>
          <w:szCs w:val="15"/>
          <w:b w:val="1"/>
          <w:bCs w:val="1"/>
          <w:color w:val="auto"/>
        </w:rPr>
        <w:t xml:space="preserve">1-800-PROXIES (1-800-776-9437) </w:t>
      </w:r>
      <w:r>
        <w:rPr>
          <w:rFonts w:ascii="Arial" w:cs="Arial" w:eastAsia="Arial" w:hAnsi="Arial"/>
          <w:sz w:val="15"/>
          <w:szCs w:val="15"/>
          <w:color w:val="auto"/>
        </w:rPr>
        <w:t>in the United States or</w:t>
      </w:r>
      <w:r>
        <w:rPr>
          <w:rFonts w:ascii="Arial" w:cs="Arial" w:eastAsia="Arial" w:hAnsi="Arial"/>
          <w:sz w:val="15"/>
          <w:szCs w:val="15"/>
          <w:b w:val="1"/>
          <w:bCs w:val="1"/>
          <w:color w:val="auto"/>
        </w:rPr>
        <w:t xml:space="preserve"> 1-201-299-4446 </w:t>
      </w:r>
      <w:r>
        <w:rPr>
          <w:rFonts w:ascii="Arial" w:cs="Arial" w:eastAsia="Arial" w:hAnsi="Arial"/>
          <w:sz w:val="15"/>
          <w:szCs w:val="15"/>
          <w:color w:val="auto"/>
        </w:rPr>
        <w:t>from foreign</w:t>
      </w:r>
      <w:r>
        <w:rPr>
          <w:rFonts w:ascii="Arial" w:cs="Arial" w:eastAsia="Arial" w:hAnsi="Arial"/>
          <w:sz w:val="15"/>
          <w:szCs w:val="15"/>
          <w:b w:val="1"/>
          <w:bCs w:val="1"/>
          <w:color w:val="auto"/>
        </w:rPr>
        <w:t xml:space="preserve"> </w:t>
      </w:r>
      <w:r>
        <w:rPr>
          <w:rFonts w:ascii="Arial" w:cs="Arial" w:eastAsia="Arial" w:hAnsi="Arial"/>
          <w:sz w:val="15"/>
          <w:szCs w:val="15"/>
          <w:color w:val="auto"/>
        </w:rPr>
        <w:t>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-773430</wp:posOffset>
            </wp:positionV>
            <wp:extent cx="157734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734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177800</wp:posOffset>
            </wp:positionV>
            <wp:extent cx="15773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10"/>
        <w:spacing w:after="0"/>
        <w:tabs>
          <w:tab w:leader="none" w:pos="189" w:val="left"/>
        </w:tabs>
        <w:rPr>
          <w:sz w:val="20"/>
          <w:szCs w:val="20"/>
          <w:color w:val="auto"/>
        </w:rPr>
      </w:pPr>
      <w:r>
        <w:rPr>
          <w:rFonts w:ascii="Arial" w:cs="Arial" w:eastAsia="Arial" w:hAnsi="Arial"/>
          <w:sz w:val="15"/>
          <w:szCs w:val="15"/>
          <w:b w:val="1"/>
          <w:bCs w:val="1"/>
          <w:color w:val="FFFFFF"/>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5715</wp:posOffset>
            </wp:positionV>
            <wp:extent cx="204025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0255" cy="16319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-276860</wp:posOffset>
            </wp:positionV>
            <wp:extent cx="2743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4320" cy="240030"/>
                    </a:xfrm>
                    <a:prstGeom prst="rect">
                      <a:avLst/>
                    </a:prstGeom>
                    <a:noFill/>
                  </pic:spPr>
                </pic:pic>
              </a:graphicData>
            </a:graphic>
          </wp:anchor>
        </w:drawing>
      </w:r>
    </w:p>
    <w:p>
      <w:pPr>
        <w:spacing w:after="0" w:line="37" w:lineRule="exact"/>
        <w:rPr>
          <w:sz w:val="20"/>
          <w:szCs w:val="20"/>
          <w:color w:val="auto"/>
        </w:rPr>
      </w:pPr>
    </w:p>
    <w:p>
      <w:pPr>
        <w:ind w:left="10"/>
        <w:spacing w:after="0"/>
        <w:tabs>
          <w:tab w:leader="none" w:pos="189" w:val="left"/>
          <w:tab w:leader="none" w:pos="1329" w:val="left"/>
        </w:tabs>
        <w:rPr>
          <w:sz w:val="20"/>
          <w:szCs w:val="20"/>
          <w:color w:val="auto"/>
        </w:rPr>
      </w:pPr>
      <w:r>
        <w:rPr>
          <w:rFonts w:ascii="Arial" w:cs="Arial" w:eastAsia="Arial" w:hAnsi="Arial"/>
          <w:sz w:val="15"/>
          <w:szCs w:val="15"/>
          <w:b w:val="1"/>
          <w:bCs w:val="1"/>
          <w:color w:val="FFFFFF"/>
        </w:rPr>
        <w:t>​</w:t>
        <w:tab/>
        <w:t>​</w:t>
      </w:r>
      <w:r>
        <w:rPr>
          <w:sz w:val="20"/>
          <w:szCs w:val="20"/>
          <w:color w:val="auto"/>
        </w:rPr>
        <w:tab/>
      </w:r>
      <w:r>
        <w:rPr>
          <w:rFonts w:ascii="Arial" w:cs="Arial" w:eastAsia="Arial" w:hAnsi="Arial"/>
          <w:sz w:val="14"/>
          <w:szCs w:val="14"/>
          <w:b w:val="1"/>
          <w:bCs w:val="1"/>
          <w:color w:val="FFFFFF"/>
        </w:rPr>
        <w:t>BY INTERNET</w:t>
      </w:r>
    </w:p>
    <w:p>
      <w:pPr>
        <w:ind w:left="210" w:hanging="210"/>
        <w:spacing w:after="0" w:line="182" w:lineRule="auto"/>
        <w:tabs>
          <w:tab w:leader="none" w:pos="210" w:val="left"/>
        </w:tabs>
        <w:numPr>
          <w:ilvl w:val="0"/>
          <w:numId w:val="13"/>
        </w:numPr>
        <w:rPr>
          <w:rFonts w:ascii="Arial" w:cs="Arial" w:eastAsia="Arial" w:hAnsi="Arial"/>
          <w:sz w:val="30"/>
          <w:szCs w:val="30"/>
          <w:color w:val="auto"/>
          <w:vertAlign w:val="superscript"/>
        </w:rPr>
      </w:pPr>
      <w:r>
        <w:rPr>
          <w:rFonts w:ascii="Arial" w:cs="Arial" w:eastAsia="Arial" w:hAnsi="Arial"/>
          <w:sz w:val="29"/>
          <w:szCs w:val="29"/>
          <w:color w:val="auto"/>
          <w:vertAlign w:val="superscript"/>
        </w:rPr>
        <w:t>​</w:t>
      </w:r>
      <w:r>
        <w:rPr>
          <w:rFonts w:ascii="Arial" w:cs="Arial" w:eastAsia="Arial" w:hAnsi="Arial"/>
          <w:sz w:val="15"/>
          <w:szCs w:val="15"/>
          <w:color w:val="auto"/>
        </w:rPr>
        <w:t>Prior to the Annual Meeting, visit the</w:t>
      </w:r>
    </w:p>
    <w:p>
      <w:pPr>
        <w:jc w:val="both"/>
        <w:ind w:left="270" w:right="260"/>
        <w:spacing w:after="0" w:line="251" w:lineRule="auto"/>
        <w:rPr>
          <w:sz w:val="20"/>
          <w:szCs w:val="20"/>
          <w:color w:val="auto"/>
        </w:rPr>
      </w:pPr>
      <w:r>
        <w:rPr>
          <w:rFonts w:ascii="Arial" w:cs="Arial" w:eastAsia="Arial" w:hAnsi="Arial"/>
          <w:sz w:val="15"/>
          <w:szCs w:val="15"/>
          <w:color w:val="auto"/>
        </w:rPr>
        <w:t>website listed on your proxy card/voting instruction form to vote via the Internet.</w:t>
      </w:r>
    </w:p>
    <w:p>
      <w:pPr>
        <w:ind w:left="270"/>
        <w:spacing w:after="0" w:line="196" w:lineRule="auto"/>
        <w:rPr>
          <w:sz w:val="20"/>
          <w:szCs w:val="20"/>
          <w:color w:val="auto"/>
        </w:rPr>
      </w:pPr>
      <w:r>
        <w:rPr>
          <w:rFonts w:ascii="Arial" w:cs="Arial" w:eastAsia="Arial" w:hAnsi="Arial"/>
          <w:sz w:val="9"/>
          <w:szCs w:val="9"/>
          <w:color w:val="auto"/>
        </w:rPr>
        <w:t> </w:t>
      </w:r>
    </w:p>
    <w:p>
      <w:pPr>
        <w:ind w:left="270"/>
        <w:spacing w:after="0"/>
        <w:rPr>
          <w:sz w:val="20"/>
          <w:szCs w:val="20"/>
          <w:color w:val="auto"/>
        </w:rPr>
      </w:pPr>
      <w:r>
        <w:rPr>
          <w:rFonts w:ascii="Arial" w:cs="Arial" w:eastAsia="Arial" w:hAnsi="Arial"/>
          <w:sz w:val="15"/>
          <w:szCs w:val="15"/>
          <w:color w:val="auto"/>
        </w:rPr>
        <w:t>During the Annual Meeting, visit our Annual</w:t>
      </w:r>
    </w:p>
    <w:p>
      <w:pPr>
        <w:spacing w:after="0" w:line="3" w:lineRule="exact"/>
        <w:rPr>
          <w:sz w:val="20"/>
          <w:szCs w:val="20"/>
          <w:color w:val="auto"/>
        </w:rPr>
      </w:pPr>
    </w:p>
    <w:p>
      <w:pPr>
        <w:ind w:left="270"/>
        <w:spacing w:after="0"/>
        <w:rPr>
          <w:sz w:val="20"/>
          <w:szCs w:val="20"/>
          <w:color w:val="auto"/>
        </w:rPr>
      </w:pPr>
      <w:r>
        <w:rPr>
          <w:rFonts w:ascii="Arial" w:cs="Arial" w:eastAsia="Arial" w:hAnsi="Arial"/>
          <w:sz w:val="15"/>
          <w:szCs w:val="15"/>
          <w:color w:val="auto"/>
        </w:rPr>
        <w:t>Meeting website at</w:t>
      </w:r>
    </w:p>
    <w:p>
      <w:pPr>
        <w:spacing w:after="0" w:line="14" w:lineRule="exact"/>
        <w:rPr>
          <w:sz w:val="20"/>
          <w:szCs w:val="20"/>
          <w:color w:val="auto"/>
        </w:rPr>
      </w:pPr>
    </w:p>
    <w:p>
      <w:pPr>
        <w:ind w:left="270"/>
        <w:spacing w:after="0"/>
        <w:rPr>
          <w:sz w:val="20"/>
          <w:szCs w:val="20"/>
          <w:color w:val="auto"/>
        </w:rPr>
      </w:pPr>
      <w:r>
        <w:rPr>
          <w:rFonts w:ascii="Arial" w:cs="Arial" w:eastAsia="Arial" w:hAnsi="Arial"/>
          <w:sz w:val="15"/>
          <w:szCs w:val="15"/>
          <w:color w:val="auto"/>
        </w:rPr>
        <w:t>https://web.lumiagm.com/224987645.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22860</wp:posOffset>
            </wp:positionV>
            <wp:extent cx="2040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20"/>
                <w:szCs w:val="20"/>
                <w:color w:val="auto"/>
              </w:rPr>
            </w:pPr>
            <w:r>
              <w:rPr>
                <w:rFonts w:ascii="Arial" w:cs="Arial" w:eastAsia="Arial" w:hAnsi="Arial"/>
                <w:sz w:val="15"/>
                <w:szCs w:val="15"/>
                <w:b w:val="1"/>
                <w:bCs w:val="1"/>
                <w:color w:val="FFFFFF"/>
              </w:rPr>
              <w:t>​</w:t>
            </w:r>
          </w:p>
        </w:tc>
        <w:tc>
          <w:tcPr>
            <w:tcW w:w="480" w:type="dxa"/>
            <w:vAlign w:val="bottom"/>
          </w:tcPr>
          <w:p>
            <w:pPr>
              <w:ind w:left="100"/>
              <w:spacing w:after="0"/>
              <w:rPr>
                <w:sz w:val="20"/>
                <w:szCs w:val="20"/>
                <w:color w:val="auto"/>
              </w:rPr>
            </w:pPr>
            <w:r>
              <w:rPr>
                <w:rFonts w:ascii="Arial" w:cs="Arial" w:eastAsia="Arial" w:hAnsi="Arial"/>
                <w:sz w:val="15"/>
                <w:szCs w:val="15"/>
                <w:b w:val="1"/>
                <w:bCs w:val="1"/>
                <w:color w:val="FFFFFF"/>
              </w:rPr>
              <w:t>​</w:t>
            </w:r>
          </w:p>
        </w:tc>
        <w:tc>
          <w:tcPr>
            <w:tcW w:w="1320" w:type="dxa"/>
            <w:vAlign w:val="bottom"/>
          </w:tcPr>
          <w:p>
            <w:pPr>
              <w:spacing w:after="0"/>
              <w:rPr>
                <w:sz w:val="18"/>
                <w:szCs w:val="18"/>
                <w:color w:val="auto"/>
              </w:rPr>
            </w:pPr>
          </w:p>
        </w:tc>
        <w:tc>
          <w:tcPr>
            <w:tcW w:w="420" w:type="dxa"/>
            <w:vAlign w:val="bottom"/>
          </w:tcPr>
          <w:p>
            <w:pPr>
              <w:ind w:left="380"/>
              <w:spacing w:after="0"/>
              <w:rPr>
                <w:sz w:val="20"/>
                <w:szCs w:val="20"/>
                <w:color w:val="auto"/>
              </w:rPr>
            </w:pPr>
            <w:r>
              <w:rPr>
                <w:rFonts w:ascii="Arial" w:cs="Arial" w:eastAsia="Arial" w:hAnsi="Arial"/>
                <w:sz w:val="15"/>
                <w:szCs w:val="15"/>
                <w:b w:val="1"/>
                <w:bCs w:val="1"/>
                <w:color w:val="FFFFFF"/>
              </w:rPr>
              <w:t>​</w:t>
            </w:r>
          </w:p>
        </w:tc>
      </w:tr>
      <w:tr>
        <w:trPr>
          <w:trHeight w:val="224"/>
        </w:trPr>
        <w:tc>
          <w:tcPr>
            <w:tcW w:w="120" w:type="dxa"/>
            <w:vAlign w:val="bottom"/>
          </w:tcPr>
          <w:p>
            <w:pPr>
              <w:spacing w:after="0"/>
              <w:rPr>
                <w:sz w:val="20"/>
                <w:szCs w:val="20"/>
                <w:color w:val="auto"/>
              </w:rPr>
            </w:pPr>
            <w:r>
              <w:rPr>
                <w:rFonts w:ascii="Arial" w:cs="Arial" w:eastAsia="Arial" w:hAnsi="Arial"/>
                <w:sz w:val="15"/>
                <w:szCs w:val="15"/>
                <w:b w:val="1"/>
                <w:bCs w:val="1"/>
                <w:color w:val="FFFFFF"/>
              </w:rPr>
              <w:t>​</w:t>
            </w:r>
          </w:p>
        </w:tc>
        <w:tc>
          <w:tcPr>
            <w:tcW w:w="480" w:type="dxa"/>
            <w:vAlign w:val="bottom"/>
          </w:tcPr>
          <w:p>
            <w:pPr>
              <w:ind w:left="100"/>
              <w:spacing w:after="0"/>
              <w:rPr>
                <w:sz w:val="20"/>
                <w:szCs w:val="20"/>
                <w:color w:val="auto"/>
              </w:rPr>
            </w:pPr>
            <w:r>
              <w:rPr>
                <w:rFonts w:ascii="Arial" w:cs="Arial" w:eastAsia="Arial" w:hAnsi="Arial"/>
                <w:sz w:val="15"/>
                <w:szCs w:val="15"/>
                <w:b w:val="1"/>
                <w:bCs w:val="1"/>
                <w:color w:val="FFFFFF"/>
              </w:rPr>
              <w:t>​</w:t>
            </w:r>
          </w:p>
        </w:tc>
        <w:tc>
          <w:tcPr>
            <w:tcW w:w="1320" w:type="dxa"/>
            <w:vAlign w:val="bottom"/>
          </w:tcPr>
          <w:p>
            <w:pPr>
              <w:ind w:left="360"/>
              <w:spacing w:after="0"/>
              <w:rPr>
                <w:sz w:val="20"/>
                <w:szCs w:val="20"/>
                <w:color w:val="auto"/>
              </w:rPr>
            </w:pPr>
            <w:r>
              <w:rPr>
                <w:rFonts w:ascii="Arial" w:cs="Arial" w:eastAsia="Arial" w:hAnsi="Arial"/>
                <w:sz w:val="15"/>
                <w:szCs w:val="15"/>
                <w:b w:val="1"/>
                <w:bCs w:val="1"/>
                <w:color w:val="FFFFFF"/>
              </w:rPr>
              <w:t>BY MAIL</w:t>
            </w:r>
          </w:p>
        </w:tc>
        <w:tc>
          <w:tcPr>
            <w:tcW w:w="420" w:type="dxa"/>
            <w:vAlign w:val="bottom"/>
          </w:tcPr>
          <w:p>
            <w:pPr>
              <w:ind w:left="380"/>
              <w:spacing w:after="0"/>
              <w:rPr>
                <w:sz w:val="20"/>
                <w:szCs w:val="20"/>
                <w:color w:val="auto"/>
              </w:rPr>
            </w:pPr>
            <w:r>
              <w:rPr>
                <w:rFonts w:ascii="Arial" w:cs="Arial" w:eastAsia="Arial" w:hAnsi="Arial"/>
                <w:sz w:val="15"/>
                <w:szCs w:val="15"/>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-160020</wp:posOffset>
            </wp:positionV>
            <wp:extent cx="132016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0165" cy="16319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-391795</wp:posOffset>
            </wp:positionV>
            <wp:extent cx="24828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8285" cy="188595"/>
                    </a:xfrm>
                    <a:prstGeom prst="rect">
                      <a:avLst/>
                    </a:prstGeom>
                    <a:noFill/>
                  </pic:spPr>
                </pic:pic>
              </a:graphicData>
            </a:graphic>
          </wp:anchor>
        </w:drawing>
      </w:r>
    </w:p>
    <w:p>
      <w:pPr>
        <w:ind w:left="220" w:right="400" w:hanging="269"/>
        <w:spacing w:after="0" w:line="189" w:lineRule="auto"/>
        <w:tabs>
          <w:tab w:leader="none" w:pos="200" w:val="left"/>
        </w:tabs>
        <w:rPr>
          <w:sz w:val="20"/>
          <w:szCs w:val="20"/>
          <w:color w:val="auto"/>
        </w:rPr>
      </w:pPr>
      <w:r>
        <w:rPr>
          <w:rFonts w:ascii="Arial" w:cs="Arial" w:eastAsia="Arial" w:hAnsi="Arial"/>
          <w:sz w:val="30"/>
          <w:szCs w:val="30"/>
          <w:color w:val="auto"/>
          <w:vertAlign w:val="superscript"/>
        </w:rPr>
        <w:t>​</w:t>
      </w:r>
      <w:r>
        <w:rPr>
          <w:sz w:val="20"/>
          <w:szCs w:val="20"/>
          <w:color w:val="auto"/>
        </w:rPr>
        <w:tab/>
      </w:r>
      <w:r>
        <w:rPr>
          <w:rFonts w:ascii="Arial" w:cs="Arial" w:eastAsia="Arial" w:hAnsi="Arial"/>
          <w:sz w:val="29"/>
          <w:szCs w:val="29"/>
          <w:color w:val="auto"/>
          <w:vertAlign w:val="superscript"/>
        </w:rPr>
        <w:t>​</w:t>
      </w:r>
      <w:r>
        <w:rPr>
          <w:rFonts w:ascii="Arial" w:cs="Arial" w:eastAsia="Arial" w:hAnsi="Arial"/>
          <w:sz w:val="29"/>
          <w:szCs w:val="29"/>
          <w:color w:val="auto"/>
        </w:rPr>
        <w:t xml:space="preserve">Complete, sign and date the </w:t>
      </w:r>
      <w:r>
        <w:rPr>
          <w:rFonts w:ascii="Arial" w:cs="Arial" w:eastAsia="Arial" w:hAnsi="Arial"/>
          <w:sz w:val="29"/>
          <w:szCs w:val="29"/>
          <w:color w:val="auto"/>
          <w:vertAlign w:val="superscript"/>
        </w:rPr>
        <w:t>​</w:t>
      </w:r>
      <w:r>
        <w:rPr>
          <w:rFonts w:ascii="Arial" w:cs="Arial" w:eastAsia="Arial" w:hAnsi="Arial"/>
          <w:sz w:val="29"/>
          <w:szCs w:val="29"/>
          <w:color w:val="auto"/>
        </w:rPr>
        <w:t xml:space="preserve"> </w:t>
      </w:r>
      <w:r>
        <w:rPr>
          <w:rFonts w:ascii="Arial" w:cs="Arial" w:eastAsia="Arial" w:hAnsi="Arial"/>
          <w:sz w:val="14"/>
          <w:szCs w:val="14"/>
          <w:color w:val="auto"/>
        </w:rPr>
        <w:t>proxy card and mail it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296545</wp:posOffset>
            </wp:positionV>
            <wp:extent cx="1320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3">
            <w:col w:w="3580" w:space="170"/>
            <w:col w:w="3310" w:space="120"/>
            <w:col w:w="2740"/>
          </w:cols>
          <w:pgMar w:left="580" w:top="97" w:right="1399" w:bottom="1440" w:gutter="0" w:footer="0" w:header="0"/>
          <w:type w:val="continuous"/>
        </w:sectPr>
      </w:pPr>
    </w:p>
    <w:p>
      <w:pPr>
        <w:spacing w:after="0" w:line="60" w:lineRule="exact"/>
        <w:rPr>
          <w:sz w:val="20"/>
          <w:szCs w:val="20"/>
          <w:color w:val="auto"/>
        </w:rPr>
      </w:pPr>
    </w:p>
    <w:p>
      <w:pPr>
        <w:ind w:left="1420" w:right="393" w:hanging="280"/>
        <w:spacing w:after="0" w:line="318" w:lineRule="auto"/>
        <w:tabs>
          <w:tab w:leader="none" w:pos="1420" w:val="left"/>
        </w:tabs>
        <w:numPr>
          <w:ilvl w:val="0"/>
          <w:numId w:val="14"/>
        </w:numPr>
        <w:rPr>
          <w:rFonts w:ascii="Arial" w:cs="Arial" w:eastAsia="Arial" w:hAnsi="Arial"/>
          <w:sz w:val="18"/>
          <w:szCs w:val="18"/>
          <w:color w:val="BF5B5A"/>
        </w:rPr>
      </w:pPr>
      <w:r>
        <w:rPr>
          <w:rFonts w:ascii="Arial" w:cs="Arial" w:eastAsia="Arial" w:hAnsi="Arial"/>
          <w:sz w:val="18"/>
          <w:szCs w:val="18"/>
          <w:color w:val="auto"/>
        </w:rPr>
        <w:t>Have your proxy card available and follow the instructions.</w:t>
      </w:r>
    </w:p>
    <w:p>
      <w:pPr>
        <w:spacing w:after="0" w:line="31" w:lineRule="exact"/>
        <w:rPr>
          <w:rFonts w:ascii="Arial" w:cs="Arial" w:eastAsia="Arial" w:hAnsi="Arial"/>
          <w:sz w:val="18"/>
          <w:szCs w:val="18"/>
          <w:color w:val="BF5B5A"/>
        </w:rPr>
      </w:pPr>
    </w:p>
    <w:p>
      <w:pPr>
        <w:ind w:left="1420" w:right="333" w:hanging="280"/>
        <w:spacing w:after="0" w:line="292" w:lineRule="auto"/>
        <w:tabs>
          <w:tab w:leader="none" w:pos="1420" w:val="left"/>
        </w:tabs>
        <w:numPr>
          <w:ilvl w:val="0"/>
          <w:numId w:val="14"/>
        </w:numPr>
        <w:rPr>
          <w:rFonts w:ascii="Arial" w:cs="Arial" w:eastAsia="Arial" w:hAnsi="Arial"/>
          <w:sz w:val="18"/>
          <w:szCs w:val="18"/>
          <w:color w:val="BF5B5A"/>
        </w:rPr>
      </w:pPr>
      <w:r>
        <w:rPr>
          <w:rFonts w:ascii="Arial" w:cs="Arial" w:eastAsia="Arial" w:hAnsi="Arial"/>
          <w:sz w:val="18"/>
          <w:szCs w:val="18"/>
          <w:color w:val="auto"/>
        </w:rPr>
        <w:t>Voting over the internet or by telephone by no later than 11:59 p.m., Eastern time, on April 23, 2024.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67" w:right="300" w:hanging="267"/>
        <w:spacing w:after="0" w:line="318" w:lineRule="auto"/>
        <w:tabs>
          <w:tab w:leader="none" w:pos="267" w:val="left"/>
        </w:tabs>
        <w:numPr>
          <w:ilvl w:val="0"/>
          <w:numId w:val="15"/>
        </w:numPr>
        <w:rPr>
          <w:rFonts w:ascii="Arial" w:cs="Arial" w:eastAsia="Arial" w:hAnsi="Arial"/>
          <w:sz w:val="18"/>
          <w:szCs w:val="18"/>
          <w:color w:val="BF5B5A"/>
        </w:rPr>
      </w:pPr>
      <w:r>
        <w:rPr>
          <w:rFonts w:ascii="Arial" w:cs="Arial" w:eastAsia="Arial" w:hAnsi="Arial"/>
          <w:sz w:val="18"/>
          <w:szCs w:val="18"/>
          <w:color w:val="auto"/>
        </w:rPr>
        <w:t>Voting by mail must be received by us by April 23, 2024.</w:t>
      </w:r>
    </w:p>
    <w:p>
      <w:pPr>
        <w:spacing w:after="0" w:line="886" w:lineRule="exact"/>
        <w:rPr>
          <w:sz w:val="20"/>
          <w:szCs w:val="20"/>
          <w:color w:val="auto"/>
        </w:rPr>
      </w:pPr>
    </w:p>
    <w:p>
      <w:pPr>
        <w:sectPr>
          <w:pgSz w:w="11900" w:h="16838" w:orient="portrait"/>
          <w:cols w:equalWidth="0" w:num="2">
            <w:col w:w="5253" w:space="720"/>
            <w:col w:w="3947"/>
          </w:cols>
          <w:pgMar w:left="580" w:top="97" w:right="1399" w:bottom="1440" w:gutter="0" w:footer="0" w:header="0"/>
          <w:type w:val="continuous"/>
        </w:sectPr>
      </w:pPr>
    </w:p>
    <w:p>
      <w:pPr>
        <w:ind w:left="820"/>
        <w:spacing w:after="0"/>
        <w:rPr>
          <w:sz w:val="20"/>
          <w:szCs w:val="20"/>
          <w:color w:val="auto"/>
        </w:rPr>
      </w:pPr>
      <w:r>
        <w:rPr>
          <w:rFonts w:ascii="Arial" w:cs="Arial" w:eastAsia="Arial" w:hAnsi="Arial"/>
          <w:sz w:val="22"/>
          <w:szCs w:val="22"/>
          <w:b w:val="1"/>
          <w:bCs w:val="1"/>
          <w:color w:val="auto"/>
        </w:rPr>
        <w:t>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50" w:lineRule="exact"/>
        <w:rPr>
          <w:sz w:val="20"/>
          <w:szCs w:val="20"/>
          <w:color w:val="auto"/>
        </w:rPr>
      </w:pPr>
    </w:p>
    <w:p>
      <w:pPr>
        <w:ind w:left="1420" w:right="200" w:hanging="280"/>
        <w:spacing w:after="0" w:line="292" w:lineRule="auto"/>
        <w:tabs>
          <w:tab w:leader="none" w:pos="1420" w:val="left"/>
        </w:tabs>
        <w:numPr>
          <w:ilvl w:val="0"/>
          <w:numId w:val="16"/>
        </w:numPr>
        <w:rPr>
          <w:rFonts w:ascii="Arial" w:cs="Arial" w:eastAsia="Arial" w:hAnsi="Arial"/>
          <w:sz w:val="18"/>
          <w:szCs w:val="18"/>
          <w:color w:val="BF5B5A"/>
        </w:rPr>
      </w:pPr>
      <w:r>
        <w:rPr>
          <w:rFonts w:ascii="Arial" w:cs="Arial" w:eastAsia="Arial" w:hAnsi="Arial"/>
          <w:sz w:val="18"/>
          <w:szCs w:val="18"/>
          <w:color w:val="auto"/>
        </w:rPr>
        <w:t>If you hold your shares through a broker, bank or other nominee, that institution will instruct you as to how your shares may be voted by proxy, including whether telephone or Internet voting options are available.</w:t>
      </w: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PERFORMANCE HIGHLIGHTS</w:t>
      </w:r>
    </w:p>
    <w:p>
      <w:pPr>
        <w:spacing w:after="0" w:line="34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150495</wp:posOffset>
            </wp:positionV>
            <wp:extent cx="5829300" cy="659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659765"/>
                    </a:xfrm>
                    <a:prstGeom prst="rect">
                      <a:avLst/>
                    </a:prstGeom>
                    <a:noFill/>
                  </pic:spPr>
                </pic:pic>
              </a:graphicData>
            </a:graphic>
          </wp:anchor>
        </w:drawing>
      </w:r>
    </w:p>
    <w:p>
      <w:pPr>
        <w:spacing w:after="0" w:line="252" w:lineRule="exact"/>
        <w:rPr>
          <w:sz w:val="20"/>
          <w:szCs w:val="20"/>
          <w:color w:val="auto"/>
        </w:rPr>
      </w:pPr>
    </w:p>
    <w:p>
      <w:pPr>
        <w:ind w:left="1960" w:hanging="275"/>
        <w:spacing w:after="0"/>
        <w:tabs>
          <w:tab w:leader="none" w:pos="1960" w:val="left"/>
        </w:tabs>
        <w:numPr>
          <w:ilvl w:val="0"/>
          <w:numId w:val="17"/>
        </w:numPr>
        <w:rPr>
          <w:rFonts w:ascii="Arial" w:cs="Arial" w:eastAsia="Arial" w:hAnsi="Arial"/>
          <w:sz w:val="18"/>
          <w:szCs w:val="18"/>
          <w:color w:val="BF5B5A"/>
        </w:rPr>
      </w:pPr>
      <w:r>
        <w:rPr>
          <w:rFonts w:ascii="Arial" w:cs="Arial" w:eastAsia="Arial" w:hAnsi="Arial"/>
          <w:sz w:val="18"/>
          <w:szCs w:val="18"/>
          <w:color w:val="auto"/>
        </w:rPr>
        <w:t>During a time of rising interest rates, we were able to grow loans and leases by $261.5 million,</w:t>
      </w:r>
    </w:p>
    <w:tbl>
      <w:tblPr>
        <w:tblLayout w:type="fixed"/>
        <w:tblInd w:w="800" w:type="dxa"/>
        <w:tblCellMar>
          <w:top w:w="0" w:type="dxa"/>
          <w:left w:w="0" w:type="dxa"/>
          <w:bottom w:w="0" w:type="dxa"/>
          <w:right w:w="0" w:type="dxa"/>
        </w:tblCellMar>
      </w:tblPr>
      <w:tr>
        <w:trPr>
          <w:trHeight w:val="190"/>
        </w:trPr>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8400" w:type="dxa"/>
            <w:vAlign w:val="bottom"/>
          </w:tcPr>
          <w:p>
            <w:pPr>
              <w:ind w:left="700"/>
              <w:spacing w:after="0" w:line="190" w:lineRule="exact"/>
              <w:rPr>
                <w:sz w:val="20"/>
                <w:szCs w:val="20"/>
                <w:color w:val="auto"/>
              </w:rPr>
            </w:pPr>
            <w:r>
              <w:rPr>
                <w:rFonts w:ascii="Arial" w:cs="Arial" w:eastAsia="Arial" w:hAnsi="Arial"/>
                <w:sz w:val="18"/>
                <w:szCs w:val="18"/>
                <w:color w:val="auto"/>
              </w:rPr>
              <w:t>or 2%, year-over-year, while continuing to maintain excellent asset quality.</w:t>
            </w:r>
          </w:p>
        </w:tc>
        <w:tc>
          <w:tcPr>
            <w:tcW w:w="2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8400" w:type="dxa"/>
            <w:vAlign w:val="bottom"/>
          </w:tcPr>
          <w:p>
            <w:pPr>
              <w:ind w:left="420"/>
              <w:spacing w:after="0" w:line="149" w:lineRule="exact"/>
              <w:rPr>
                <w:sz w:val="20"/>
                <w:szCs w:val="20"/>
                <w:color w:val="auto"/>
              </w:rPr>
            </w:pPr>
            <w:r>
              <w:rPr>
                <w:rFonts w:ascii="Arial" w:cs="Arial" w:eastAsia="Arial" w:hAnsi="Arial"/>
                <w:sz w:val="17"/>
                <w:szCs w:val="17"/>
                <w:color w:val="auto"/>
              </w:rPr>
              <w:t>​</w:t>
            </w: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8400" w:type="dxa"/>
            <w:vAlign w:val="bottom"/>
          </w:tcPr>
          <w:p>
            <w:pPr>
              <w:ind w:left="420"/>
              <w:spacing w:after="0" w:line="197" w:lineRule="exact"/>
              <w:rPr>
                <w:sz w:val="20"/>
                <w:szCs w:val="20"/>
                <w:color w:val="auto"/>
              </w:rPr>
            </w:pPr>
            <w:r>
              <w:rPr>
                <w:rFonts w:ascii="Arial" w:cs="Arial" w:eastAsia="Arial" w:hAnsi="Arial"/>
                <w:sz w:val="18"/>
                <w:szCs w:val="18"/>
                <w:color w:val="BF5B5A"/>
              </w:rPr>
              <w:t xml:space="preserve">•  </w:t>
            </w:r>
            <w:r>
              <w:rPr>
                <w:rFonts w:ascii="Arial" w:cs="Arial" w:eastAsia="Arial" w:hAnsi="Arial"/>
                <w:sz w:val="18"/>
                <w:szCs w:val="18"/>
                <w:color w:val="000000"/>
              </w:rPr>
              <w:t>We were able to increase our net interest margin by 14 basis points, to 2.92% in 2023 from</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8400" w:type="dxa"/>
            <w:vAlign w:val="bottom"/>
          </w:tcPr>
          <w:p>
            <w:pPr>
              <w:ind w:left="700"/>
              <w:spacing w:after="0"/>
              <w:rPr>
                <w:sz w:val="20"/>
                <w:szCs w:val="20"/>
                <w:color w:val="auto"/>
              </w:rPr>
            </w:pPr>
            <w:r>
              <w:rPr>
                <w:rFonts w:ascii="Arial" w:cs="Arial" w:eastAsia="Arial" w:hAnsi="Arial"/>
                <w:sz w:val="18"/>
                <w:szCs w:val="18"/>
                <w:color w:val="auto"/>
              </w:rPr>
              <w:t>2.78% in 2022.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117475</wp:posOffset>
            </wp:positionV>
            <wp:extent cx="5803265" cy="2914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0326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1140" w:right="160" w:hanging="360"/>
        <w:spacing w:after="0" w:line="292"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 non-GAAP measure. Please see “</w:t>
      </w:r>
      <w:r>
        <w:rPr>
          <w:rFonts w:ascii="Arial" w:cs="Arial" w:eastAsia="Arial" w:hAnsi="Arial"/>
          <w:sz w:val="18"/>
          <w:szCs w:val="18"/>
          <w:i w:val="1"/>
          <w:iCs w:val="1"/>
          <w:color w:val="auto"/>
        </w:rPr>
        <w:t>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in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for an explanation and reconciliation.</w:t>
      </w:r>
    </w:p>
    <w:p>
      <w:pPr>
        <w:spacing w:after="0" w:line="251"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Capital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158750</wp:posOffset>
            </wp:positionV>
            <wp:extent cx="5829300" cy="660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9300" cy="660400"/>
                    </a:xfrm>
                    <a:prstGeom prst="rect">
                      <a:avLst/>
                    </a:prstGeom>
                    <a:noFill/>
                  </pic:spPr>
                </pic:pic>
              </a:graphicData>
            </a:graphic>
          </wp:anchor>
        </w:drawing>
      </w:r>
    </w:p>
    <w:p>
      <w:pPr>
        <w:spacing w:after="0" w:line="265" w:lineRule="exact"/>
        <w:rPr>
          <w:sz w:val="20"/>
          <w:szCs w:val="20"/>
          <w:color w:val="auto"/>
        </w:rPr>
      </w:pPr>
    </w:p>
    <w:p>
      <w:pPr>
        <w:ind w:left="1960" w:hanging="275"/>
        <w:spacing w:after="0"/>
        <w:tabs>
          <w:tab w:leader="none" w:pos="1960" w:val="left"/>
        </w:tabs>
        <w:numPr>
          <w:ilvl w:val="0"/>
          <w:numId w:val="19"/>
        </w:numPr>
        <w:rPr>
          <w:rFonts w:ascii="Arial" w:cs="Arial" w:eastAsia="Arial" w:hAnsi="Arial"/>
          <w:sz w:val="18"/>
          <w:szCs w:val="18"/>
          <w:color w:val="BF5B5A"/>
        </w:rPr>
      </w:pPr>
      <w:r>
        <w:rPr>
          <w:rFonts w:ascii="Arial" w:cs="Arial" w:eastAsia="Arial" w:hAnsi="Arial"/>
          <w:sz w:val="18"/>
          <w:szCs w:val="18"/>
          <w:color w:val="auto"/>
        </w:rPr>
        <w:t>We are committed to remaining well capitalized while returning excess capital to our</w:t>
      </w:r>
    </w:p>
    <w:tbl>
      <w:tblPr>
        <w:tblLayout w:type="fixed"/>
        <w:tblInd w:w="800" w:type="dxa"/>
        <w:tblCellMar>
          <w:top w:w="0" w:type="dxa"/>
          <w:left w:w="0" w:type="dxa"/>
          <w:bottom w:w="0" w:type="dxa"/>
          <w:right w:w="0" w:type="dxa"/>
        </w:tblCellMar>
      </w:tblPr>
      <w:tr>
        <w:trPr>
          <w:trHeight w:val="190"/>
        </w:trPr>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00"/>
              <w:spacing w:after="0" w:line="190" w:lineRule="exact"/>
              <w:rPr>
                <w:sz w:val="20"/>
                <w:szCs w:val="20"/>
                <w:color w:val="auto"/>
              </w:rPr>
            </w:pPr>
            <w:r>
              <w:rPr>
                <w:rFonts w:ascii="Arial" w:cs="Arial" w:eastAsia="Arial" w:hAnsi="Arial"/>
                <w:sz w:val="18"/>
                <w:szCs w:val="18"/>
                <w:color w:val="auto"/>
              </w:rPr>
              <w:t>stockholders.</w:t>
            </w:r>
          </w:p>
        </w:tc>
        <w:tc>
          <w:tcPr>
            <w:tcW w:w="40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8280" w:type="dxa"/>
            <w:vAlign w:val="bottom"/>
          </w:tcPr>
          <w:p>
            <w:pPr>
              <w:ind w:left="420"/>
              <w:spacing w:after="0" w:line="149" w:lineRule="exact"/>
              <w:rPr>
                <w:sz w:val="20"/>
                <w:szCs w:val="20"/>
                <w:color w:val="auto"/>
              </w:rPr>
            </w:pPr>
            <w:r>
              <w:rPr>
                <w:rFonts w:ascii="Arial" w:cs="Arial" w:eastAsia="Arial" w:hAnsi="Arial"/>
                <w:sz w:val="17"/>
                <w:szCs w:val="17"/>
                <w:color w:val="auto"/>
              </w:rPr>
              <w:t>​</w:t>
            </w: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8280" w:type="dxa"/>
            <w:vAlign w:val="bottom"/>
          </w:tcPr>
          <w:p>
            <w:pPr>
              <w:ind w:left="420"/>
              <w:spacing w:after="0" w:line="201" w:lineRule="exact"/>
              <w:rPr>
                <w:sz w:val="20"/>
                <w:szCs w:val="20"/>
                <w:color w:val="auto"/>
              </w:rPr>
            </w:pPr>
            <w:r>
              <w:rPr>
                <w:rFonts w:ascii="Arial" w:cs="Arial" w:eastAsia="Arial" w:hAnsi="Arial"/>
                <w:sz w:val="18"/>
                <w:szCs w:val="18"/>
                <w:color w:val="BF5B5A"/>
              </w:rPr>
              <w:t xml:space="preserve">•  </w:t>
            </w:r>
            <w:r>
              <w:rPr>
                <w:rFonts w:ascii="Arial" w:cs="Arial" w:eastAsia="Arial" w:hAnsi="Arial"/>
                <w:sz w:val="18"/>
                <w:szCs w:val="18"/>
                <w:color w:val="000000"/>
              </w:rPr>
              <w:t>In January 2024, we announced that the Board of Directors adopted a stock repurchase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60"/>
        <w:spacing w:after="0"/>
        <w:rPr>
          <w:sz w:val="20"/>
          <w:szCs w:val="20"/>
          <w:color w:val="auto"/>
        </w:rPr>
      </w:pPr>
      <w:r>
        <w:rPr>
          <w:rFonts w:ascii="Arial" w:cs="Arial" w:eastAsia="Arial" w:hAnsi="Arial"/>
          <w:sz w:val="18"/>
          <w:szCs w:val="18"/>
          <w:color w:val="auto"/>
        </w:rPr>
        <w:t>program for up to $40 million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168910</wp:posOffset>
            </wp:positionV>
            <wp:extent cx="5795010"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5010" cy="617220"/>
                    </a:xfrm>
                    <a:prstGeom prst="rect">
                      <a:avLst/>
                    </a:prstGeom>
                    <a:noFill/>
                  </pic:spPr>
                </pic:pic>
              </a:graphicData>
            </a:graphic>
          </wp:anchor>
        </w:drawing>
      </w: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297"/>
        </w:trPr>
        <w:tc>
          <w:tcPr>
            <w:tcW w:w="460" w:type="dxa"/>
            <w:vAlign w:val="bottom"/>
          </w:tcPr>
          <w:p>
            <w:pPr>
              <w:jc w:val="center"/>
              <w:ind w:right="197"/>
              <w:spacing w:after="0"/>
              <w:rPr>
                <w:sz w:val="20"/>
                <w:szCs w:val="20"/>
                <w:color w:val="auto"/>
              </w:rPr>
            </w:pPr>
            <w:r>
              <w:rPr>
                <w:rFonts w:ascii="Arial" w:cs="Arial" w:eastAsia="Arial" w:hAnsi="Arial"/>
                <w:sz w:val="25"/>
                <w:szCs w:val="25"/>
                <w:b w:val="1"/>
                <w:bCs w:val="1"/>
                <w:color w:val="FEFEFE"/>
              </w:rPr>
              <w:t>​</w:t>
            </w:r>
          </w:p>
        </w:tc>
        <w:tc>
          <w:tcPr>
            <w:tcW w:w="1480" w:type="dxa"/>
            <w:vAlign w:val="bottom"/>
          </w:tcPr>
          <w:p>
            <w:pPr>
              <w:jc w:val="right"/>
              <w:spacing w:after="0"/>
              <w:rPr>
                <w:sz w:val="20"/>
                <w:szCs w:val="20"/>
                <w:color w:val="auto"/>
              </w:rPr>
            </w:pPr>
            <w:r>
              <w:rPr>
                <w:rFonts w:ascii="Arial" w:cs="Arial" w:eastAsia="Arial" w:hAnsi="Arial"/>
                <w:sz w:val="25"/>
                <w:szCs w:val="25"/>
                <w:b w:val="1"/>
                <w:bCs w:val="1"/>
                <w:color w:val="FEFEFE"/>
              </w:rPr>
              <w:t>12.39%</w:t>
            </w:r>
          </w:p>
        </w:tc>
        <w:tc>
          <w:tcPr>
            <w:tcW w:w="10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5"/>
                <w:szCs w:val="25"/>
                <w:b w:val="1"/>
                <w:bCs w:val="1"/>
                <w:color w:val="FEFEFE"/>
              </w:rPr>
              <w:t>​</w:t>
            </w:r>
          </w:p>
        </w:tc>
        <w:tc>
          <w:tcPr>
            <w:tcW w:w="100" w:type="dxa"/>
            <w:vAlign w:val="bottom"/>
          </w:tcPr>
          <w:p>
            <w:pPr>
              <w:spacing w:after="0"/>
              <w:rPr>
                <w:sz w:val="20"/>
                <w:szCs w:val="20"/>
                <w:color w:val="auto"/>
              </w:rPr>
            </w:pPr>
            <w:r>
              <w:rPr>
                <w:rFonts w:ascii="Arial" w:cs="Arial" w:eastAsia="Arial" w:hAnsi="Arial"/>
                <w:sz w:val="25"/>
                <w:szCs w:val="25"/>
                <w:b w:val="1"/>
                <w:bCs w:val="1"/>
                <w:color w:val="FEFEFE"/>
              </w:rPr>
              <w:t>​</w:t>
            </w:r>
          </w:p>
        </w:tc>
        <w:tc>
          <w:tcPr>
            <w:tcW w:w="2880" w:type="dxa"/>
            <w:vAlign w:val="bottom"/>
          </w:tcPr>
          <w:p>
            <w:pPr>
              <w:ind w:left="940"/>
              <w:spacing w:after="0"/>
              <w:rPr>
                <w:sz w:val="20"/>
                <w:szCs w:val="20"/>
                <w:color w:val="auto"/>
              </w:rPr>
            </w:pPr>
            <w:r>
              <w:rPr>
                <w:rFonts w:ascii="Arial" w:cs="Arial" w:eastAsia="Arial" w:hAnsi="Arial"/>
                <w:sz w:val="25"/>
                <w:szCs w:val="25"/>
                <w:b w:val="1"/>
                <w:bCs w:val="1"/>
                <w:color w:val="FEFEFE"/>
              </w:rPr>
              <w:t>$132.6M</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FEFEFE"/>
              </w:rPr>
              <w:t>​</w:t>
            </w:r>
          </w:p>
        </w:tc>
        <w:tc>
          <w:tcPr>
            <w:tcW w:w="140" w:type="dxa"/>
            <w:vAlign w:val="bottom"/>
          </w:tcPr>
          <w:p>
            <w:pPr>
              <w:spacing w:after="0"/>
              <w:rPr>
                <w:sz w:val="20"/>
                <w:szCs w:val="20"/>
                <w:color w:val="auto"/>
              </w:rPr>
            </w:pPr>
            <w:r>
              <w:rPr>
                <w:rFonts w:ascii="Arial" w:cs="Arial" w:eastAsia="Arial" w:hAnsi="Arial"/>
                <w:sz w:val="25"/>
                <w:szCs w:val="25"/>
                <w:b w:val="1"/>
                <w:bCs w:val="1"/>
                <w:color w:val="FEFEFE"/>
              </w:rPr>
              <w:t>​</w:t>
            </w:r>
          </w:p>
        </w:tc>
        <w:tc>
          <w:tcPr>
            <w:tcW w:w="2640" w:type="dxa"/>
            <w:vAlign w:val="bottom"/>
          </w:tcPr>
          <w:p>
            <w:pPr>
              <w:jc w:val="right"/>
              <w:ind w:right="1144"/>
              <w:spacing w:after="0"/>
              <w:rPr>
                <w:sz w:val="20"/>
                <w:szCs w:val="20"/>
                <w:color w:val="auto"/>
              </w:rPr>
            </w:pPr>
            <w:r>
              <w:rPr>
                <w:rFonts w:ascii="Arial" w:cs="Arial" w:eastAsia="Arial" w:hAnsi="Arial"/>
                <w:sz w:val="25"/>
                <w:szCs w:val="25"/>
                <w:b w:val="1"/>
                <w:bCs w:val="1"/>
                <w:color w:val="FEFEFE"/>
              </w:rPr>
              <w:t>$0</w:t>
            </w:r>
          </w:p>
        </w:tc>
        <w:tc>
          <w:tcPr>
            <w:tcW w:w="80" w:type="dxa"/>
            <w:vAlign w:val="bottom"/>
          </w:tcPr>
          <w:p>
            <w:pPr>
              <w:ind w:left="20"/>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135"/>
        </w:trPr>
        <w:tc>
          <w:tcPr>
            <w:tcW w:w="460" w:type="dxa"/>
            <w:vAlign w:val="bottom"/>
          </w:tcPr>
          <w:p>
            <w:pPr>
              <w:jc w:val="center"/>
              <w:ind w:right="217"/>
              <w:spacing w:after="0" w:line="135" w:lineRule="exact"/>
              <w:rPr>
                <w:sz w:val="20"/>
                <w:szCs w:val="20"/>
                <w:color w:val="auto"/>
              </w:rPr>
            </w:pPr>
            <w:r>
              <w:rPr>
                <w:rFonts w:ascii="Arial" w:cs="Arial" w:eastAsia="Arial" w:hAnsi="Arial"/>
                <w:sz w:val="15"/>
                <w:szCs w:val="15"/>
                <w:b w:val="1"/>
                <w:bCs w:val="1"/>
                <w:color w:val="auto"/>
              </w:rPr>
              <w:t xml:space="preserve">​ </w:t>
            </w:r>
          </w:p>
        </w:tc>
        <w:tc>
          <w:tcPr>
            <w:tcW w:w="1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28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2640" w:type="dxa"/>
            <w:vAlign w:val="bottom"/>
          </w:tcPr>
          <w:p>
            <w:pPr>
              <w:spacing w:after="0"/>
              <w:rPr>
                <w:sz w:val="11"/>
                <w:szCs w:val="11"/>
                <w:color w:val="auto"/>
              </w:rPr>
            </w:pPr>
          </w:p>
        </w:tc>
        <w:tc>
          <w:tcPr>
            <w:tcW w:w="8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95"/>
        </w:trPr>
        <w:tc>
          <w:tcPr>
            <w:tcW w:w="460" w:type="dxa"/>
            <w:vAlign w:val="bottom"/>
          </w:tcPr>
          <w:p>
            <w:pPr>
              <w:jc w:val="center"/>
              <w:ind w:right="217"/>
              <w:spacing w:after="0" w:line="95" w:lineRule="exact"/>
              <w:rPr>
                <w:sz w:val="20"/>
                <w:szCs w:val="20"/>
                <w:color w:val="auto"/>
              </w:rPr>
            </w:pPr>
            <w:r>
              <w:rPr>
                <w:rFonts w:ascii="Arial" w:cs="Arial" w:eastAsia="Arial" w:hAnsi="Arial"/>
                <w:sz w:val="10"/>
                <w:szCs w:val="10"/>
                <w:b w:val="1"/>
                <w:bCs w:val="1"/>
                <w:color w:val="FEFEFE"/>
              </w:rPr>
              <w:t>​​</w:t>
            </w: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10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2880" w:type="dxa"/>
            <w:vAlign w:val="bottom"/>
            <w:vMerge w:val="restart"/>
          </w:tcPr>
          <w:p>
            <w:pPr>
              <w:jc w:val="center"/>
              <w:ind w:right="44"/>
              <w:spacing w:after="0"/>
              <w:rPr>
                <w:sz w:val="20"/>
                <w:szCs w:val="20"/>
                <w:color w:val="auto"/>
              </w:rPr>
            </w:pPr>
            <w:r>
              <w:rPr>
                <w:rFonts w:ascii="Arial" w:cs="Arial" w:eastAsia="Arial" w:hAnsi="Arial"/>
                <w:sz w:val="16"/>
                <w:szCs w:val="16"/>
                <w:color w:val="auto"/>
              </w:rPr>
              <w:t>In dividend payments; maintained</w:t>
            </w:r>
          </w:p>
        </w:tc>
        <w:tc>
          <w:tcPr>
            <w:tcW w:w="220" w:type="dxa"/>
            <w:vAlign w:val="bottom"/>
          </w:tcPr>
          <w:p>
            <w:pPr>
              <w:ind w:left="20"/>
              <w:spacing w:after="0" w:line="95" w:lineRule="exact"/>
              <w:rPr>
                <w:sz w:val="20"/>
                <w:szCs w:val="20"/>
                <w:color w:val="auto"/>
              </w:rPr>
            </w:pPr>
            <w:r>
              <w:rPr>
                <w:rFonts w:ascii="Arial" w:cs="Arial" w:eastAsia="Arial" w:hAnsi="Arial"/>
                <w:sz w:val="10"/>
                <w:szCs w:val="10"/>
                <w:b w:val="1"/>
                <w:bCs w:val="1"/>
                <w:color w:val="FEFEFE"/>
              </w:rPr>
              <w:t>​</w:t>
            </w:r>
          </w:p>
        </w:tc>
        <w:tc>
          <w:tcPr>
            <w:tcW w:w="14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2640" w:type="dxa"/>
            <w:vAlign w:val="bottom"/>
            <w:vMerge w:val="restart"/>
          </w:tcPr>
          <w:p>
            <w:pPr>
              <w:jc w:val="center"/>
              <w:ind w:right="84"/>
              <w:spacing w:after="0"/>
              <w:rPr>
                <w:sz w:val="20"/>
                <w:szCs w:val="20"/>
                <w:color w:val="auto"/>
              </w:rPr>
            </w:pPr>
            <w:r>
              <w:rPr>
                <w:rFonts w:ascii="Arial" w:cs="Arial" w:eastAsia="Arial" w:hAnsi="Arial"/>
                <w:sz w:val="16"/>
                <w:szCs w:val="16"/>
                <w:color w:val="auto"/>
              </w:rPr>
              <w:t>No common stock repurchased</w:t>
            </w:r>
          </w:p>
        </w:tc>
        <w:tc>
          <w:tcPr>
            <w:tcW w:w="80" w:type="dxa"/>
            <w:vAlign w:val="bottom"/>
          </w:tcPr>
          <w:p>
            <w:pPr>
              <w:ind w:left="20"/>
              <w:spacing w:after="0" w:line="95" w:lineRule="exact"/>
              <w:rPr>
                <w:sz w:val="20"/>
                <w:szCs w:val="20"/>
                <w:color w:val="auto"/>
              </w:rPr>
            </w:pPr>
            <w:r>
              <w:rPr>
                <w:rFonts w:ascii="Arial" w:cs="Arial" w:eastAsia="Arial" w:hAnsi="Arial"/>
                <w:sz w:val="10"/>
                <w:szCs w:val="10"/>
                <w:b w:val="1"/>
                <w:bCs w:val="1"/>
                <w:color w:val="FEFEFE"/>
              </w:rPr>
              <w:t>​</w:t>
            </w:r>
          </w:p>
        </w:tc>
        <w:tc>
          <w:tcPr>
            <w:tcW w:w="0" w:type="dxa"/>
            <w:vAlign w:val="bottom"/>
          </w:tcPr>
          <w:p>
            <w:pPr>
              <w:spacing w:after="0"/>
              <w:rPr>
                <w:sz w:val="1"/>
                <w:szCs w:val="1"/>
                <w:color w:val="auto"/>
              </w:rPr>
            </w:pPr>
          </w:p>
        </w:tc>
      </w:tr>
      <w:tr>
        <w:trPr>
          <w:trHeight w:val="202"/>
        </w:trPr>
        <w:tc>
          <w:tcPr>
            <w:tcW w:w="2940" w:type="dxa"/>
            <w:vAlign w:val="bottom"/>
            <w:gridSpan w:val="3"/>
          </w:tcPr>
          <w:p>
            <w:pPr>
              <w:ind w:left="60"/>
              <w:spacing w:after="0"/>
              <w:rPr>
                <w:sz w:val="20"/>
                <w:szCs w:val="20"/>
                <w:color w:val="auto"/>
              </w:rPr>
            </w:pPr>
            <w:r>
              <w:rPr>
                <w:rFonts w:ascii="Arial" w:cs="Arial" w:eastAsia="Arial" w:hAnsi="Arial"/>
                <w:sz w:val="16"/>
                <w:szCs w:val="16"/>
                <w:color w:val="auto"/>
              </w:rPr>
              <w:t>​Common Equity Tier 1 capital ratio at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880" w:type="dxa"/>
            <w:vAlign w:val="bottom"/>
            <w:vMerge w:val="continue"/>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2640" w:type="dxa"/>
            <w:vAlign w:val="bottom"/>
            <w:vMerge w:val="continue"/>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6"/>
                <w:szCs w:val="16"/>
                <w:color w:val="auto"/>
              </w:rPr>
              <w:t>December 31, 2023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jc w:val="center"/>
              <w:ind w:right="4"/>
              <w:spacing w:after="0"/>
              <w:rPr>
                <w:sz w:val="20"/>
                <w:szCs w:val="20"/>
                <w:color w:val="auto"/>
              </w:rPr>
            </w:pPr>
            <w:r>
              <w:rPr>
                <w:rFonts w:ascii="Arial" w:cs="Arial" w:eastAsia="Arial" w:hAnsi="Arial"/>
                <w:sz w:val="16"/>
                <w:szCs w:val="16"/>
                <w:color w:val="auto"/>
              </w:rPr>
              <w:t>quarterly dividend at $0.26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jc w:val="center"/>
              <w:ind w:right="24"/>
              <w:spacing w:after="0"/>
              <w:rPr>
                <w:sz w:val="20"/>
                <w:szCs w:val="20"/>
                <w:color w:val="auto"/>
              </w:rPr>
            </w:pPr>
            <w:r>
              <w:rPr>
                <w:rFonts w:ascii="Arial" w:cs="Arial" w:eastAsia="Arial" w:hAnsi="Arial"/>
                <w:sz w:val="16"/>
                <w:szCs w:val="16"/>
                <w:color w:val="auto"/>
              </w:rPr>
              <w:t>during 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-350520</wp:posOffset>
            </wp:positionV>
            <wp:extent cx="57950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141" w:lineRule="exact"/>
        <w:rPr>
          <w:sz w:val="20"/>
          <w:szCs w:val="20"/>
          <w:color w:val="auto"/>
        </w:rPr>
      </w:pPr>
    </w:p>
    <w:p>
      <w:pPr>
        <w:ind w:left="1140" w:hanging="360"/>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and amount of share repurchases are influenced by various internal and external factors.</w:t>
      </w:r>
    </w:p>
    <w:p>
      <w:pPr>
        <w:sectPr>
          <w:pgSz w:w="11900" w:h="16838" w:orient="portrait"/>
          <w:cols w:equalWidth="0" w:num="1">
            <w:col w:w="10000"/>
          </w:cols>
          <w:pgMar w:left="580" w:top="9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80"/>
        <w:spacing w:after="0"/>
        <w:tabs>
          <w:tab w:leader="none" w:pos="9420" w:val="left"/>
          <w:tab w:leader="none" w:pos="976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w:t>
      </w:r>
      <w:r>
        <w:rPr>
          <w:sz w:val="20"/>
          <w:szCs w:val="20"/>
          <w:color w:val="auto"/>
        </w:rPr>
        <w:tab/>
      </w:r>
      <w:r>
        <w:rPr>
          <w:rFonts w:ascii="Arial" w:cs="Arial" w:eastAsia="Arial" w:hAnsi="Arial"/>
          <w:sz w:val="16"/>
          <w:szCs w:val="16"/>
          <w:b w:val="1"/>
          <w:bCs w:val="1"/>
          <w:color w:val="BF5B5A"/>
        </w:rPr>
        <w:t>3</w:t>
      </w:r>
      <w:r>
        <w:rPr>
          <w:rFonts w:ascii="Arial" w:cs="Arial" w:eastAsia="Arial" w:hAnsi="Arial"/>
          <w:sz w:val="32"/>
          <w:szCs w:val="32"/>
          <w:b w:val="1"/>
          <w:bCs w:val="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auto"/>
        </w:rPr>
        <w:t>OVERVIEW OF THE BOARD NOMINEES</w:t>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25"/>
          <w:szCs w:val="25"/>
          <w:b w:val="1"/>
          <w:bCs w:val="1"/>
          <w:color w:val="BF5B5A"/>
        </w:rPr>
        <w:t>Director Nominees</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 w:type="dxa"/>
            <w:vAlign w:val="bottom"/>
            <w:shd w:val="clear" w:color="auto" w:fill="BF5B5A"/>
          </w:tcPr>
          <w:p>
            <w:pPr>
              <w:spacing w:after="0"/>
              <w:rPr>
                <w:sz w:val="20"/>
                <w:szCs w:val="20"/>
                <w:color w:val="auto"/>
              </w:rPr>
            </w:pPr>
            <w:r>
              <w:rPr>
                <w:rFonts w:ascii="Arial" w:cs="Arial" w:eastAsia="Arial" w:hAnsi="Arial"/>
                <w:sz w:val="11"/>
                <w:szCs w:val="11"/>
                <w:b w:val="1"/>
                <w:bCs w:val="1"/>
                <w:color w:val="FFFFFF"/>
              </w:rPr>
              <w:t>​</w:t>
            </w:r>
          </w:p>
        </w:tc>
        <w:tc>
          <w:tcPr>
            <w:tcW w:w="100" w:type="dxa"/>
            <w:vAlign w:val="bottom"/>
            <w:shd w:val="clear" w:color="auto" w:fill="BF5B5A"/>
          </w:tcPr>
          <w:p>
            <w:pPr>
              <w:spacing w:after="0"/>
              <w:rPr>
                <w:sz w:val="20"/>
                <w:szCs w:val="20"/>
                <w:color w:val="auto"/>
              </w:rPr>
            </w:pPr>
            <w:r>
              <w:rPr>
                <w:rFonts w:ascii="Arial" w:cs="Arial" w:eastAsia="Arial" w:hAnsi="Arial"/>
                <w:sz w:val="11"/>
                <w:szCs w:val="11"/>
                <w:b w:val="1"/>
                <w:bCs w:val="1"/>
                <w:color w:val="FFFFFF"/>
              </w:rPr>
              <w:t>​</w:t>
            </w:r>
          </w:p>
        </w:tc>
        <w:tc>
          <w:tcPr>
            <w:tcW w:w="2280" w:type="dxa"/>
            <w:vAlign w:val="bottom"/>
            <w:shd w:val="clear" w:color="auto" w:fill="BF5B5A"/>
          </w:tcPr>
          <w:p>
            <w:pPr>
              <w:ind w:left="760"/>
              <w:spacing w:after="0"/>
              <w:rPr>
                <w:sz w:val="20"/>
                <w:szCs w:val="20"/>
                <w:color w:val="auto"/>
              </w:rPr>
            </w:pPr>
            <w:r>
              <w:rPr>
                <w:rFonts w:ascii="Arial" w:cs="Arial" w:eastAsia="Arial" w:hAnsi="Arial"/>
                <w:sz w:val="11"/>
                <w:szCs w:val="11"/>
                <w:b w:val="1"/>
                <w:bCs w:val="1"/>
                <w:color w:val="FFFFFF"/>
              </w:rPr>
              <w:t>​ ​ ​</w:t>
            </w:r>
          </w:p>
        </w:tc>
        <w:tc>
          <w:tcPr>
            <w:tcW w:w="740" w:type="dxa"/>
            <w:vAlign w:val="bottom"/>
            <w:shd w:val="clear" w:color="auto" w:fill="BF5B5A"/>
          </w:tcPr>
          <w:p>
            <w:pPr>
              <w:spacing w:after="0"/>
              <w:rPr>
                <w:sz w:val="18"/>
                <w:szCs w:val="18"/>
                <w:color w:val="auto"/>
              </w:rPr>
            </w:pPr>
          </w:p>
        </w:tc>
        <w:tc>
          <w:tcPr>
            <w:tcW w:w="300" w:type="dxa"/>
            <w:vAlign w:val="bottom"/>
            <w:shd w:val="clear" w:color="auto" w:fill="BF5B5A"/>
          </w:tcPr>
          <w:p>
            <w:pPr>
              <w:jc w:val="right"/>
              <w:ind w:right="124"/>
              <w:spacing w:after="0"/>
              <w:rPr>
                <w:sz w:val="20"/>
                <w:szCs w:val="20"/>
                <w:color w:val="auto"/>
              </w:rPr>
            </w:pPr>
            <w:r>
              <w:rPr>
                <w:rFonts w:ascii="Arial" w:cs="Arial" w:eastAsia="Arial" w:hAnsi="Arial"/>
                <w:sz w:val="11"/>
                <w:szCs w:val="11"/>
                <w:b w:val="1"/>
                <w:bCs w:val="1"/>
                <w:color w:val="FFFFFF"/>
              </w:rPr>
              <w:t>​​​</w:t>
            </w:r>
          </w:p>
        </w:tc>
        <w:tc>
          <w:tcPr>
            <w:tcW w:w="400" w:type="dxa"/>
            <w:vAlign w:val="bottom"/>
            <w:shd w:val="clear" w:color="auto" w:fill="BF5B5A"/>
          </w:tcPr>
          <w:p>
            <w:pPr>
              <w:spacing w:after="0"/>
              <w:rPr>
                <w:sz w:val="18"/>
                <w:szCs w:val="18"/>
                <w:color w:val="auto"/>
              </w:rPr>
            </w:pPr>
          </w:p>
        </w:tc>
        <w:tc>
          <w:tcPr>
            <w:tcW w:w="200" w:type="dxa"/>
            <w:vAlign w:val="bottom"/>
            <w:shd w:val="clear" w:color="auto" w:fill="BF5B5A"/>
          </w:tcPr>
          <w:p>
            <w:pPr>
              <w:jc w:val="right"/>
              <w:spacing w:after="0"/>
              <w:rPr>
                <w:sz w:val="20"/>
                <w:szCs w:val="20"/>
                <w:color w:val="auto"/>
              </w:rPr>
            </w:pPr>
            <w:r>
              <w:rPr>
                <w:rFonts w:ascii="Arial" w:cs="Arial" w:eastAsia="Arial" w:hAnsi="Arial"/>
                <w:sz w:val="11"/>
                <w:szCs w:val="11"/>
                <w:b w:val="1"/>
                <w:bCs w:val="1"/>
                <w:color w:val="FFFFFF"/>
              </w:rPr>
              <w:t>​​​</w:t>
            </w:r>
          </w:p>
        </w:tc>
        <w:tc>
          <w:tcPr>
            <w:tcW w:w="520" w:type="dxa"/>
            <w:vAlign w:val="bottom"/>
            <w:shd w:val="clear" w:color="auto" w:fill="BF5B5A"/>
          </w:tcPr>
          <w:p>
            <w:pPr>
              <w:spacing w:after="0"/>
              <w:rPr>
                <w:sz w:val="18"/>
                <w:szCs w:val="18"/>
                <w:color w:val="auto"/>
              </w:rPr>
            </w:pPr>
          </w:p>
        </w:tc>
        <w:tc>
          <w:tcPr>
            <w:tcW w:w="180" w:type="dxa"/>
            <w:vAlign w:val="bottom"/>
            <w:shd w:val="clear" w:color="auto" w:fill="BF5B5A"/>
          </w:tcPr>
          <w:p>
            <w:pPr>
              <w:jc w:val="right"/>
              <w:spacing w:after="0"/>
              <w:rPr>
                <w:sz w:val="20"/>
                <w:szCs w:val="20"/>
                <w:color w:val="auto"/>
              </w:rPr>
            </w:pPr>
            <w:r>
              <w:rPr>
                <w:rFonts w:ascii="Arial" w:cs="Arial" w:eastAsia="Arial" w:hAnsi="Arial"/>
                <w:sz w:val="11"/>
                <w:szCs w:val="11"/>
                <w:b w:val="1"/>
                <w:bCs w:val="1"/>
                <w:color w:val="FFFFFF"/>
              </w:rPr>
              <w:t>​​​</w:t>
            </w:r>
          </w:p>
        </w:tc>
        <w:tc>
          <w:tcPr>
            <w:tcW w:w="620" w:type="dxa"/>
            <w:vAlign w:val="bottom"/>
            <w:shd w:val="clear" w:color="auto" w:fill="BF5B5A"/>
          </w:tcPr>
          <w:p>
            <w:pPr>
              <w:spacing w:after="0"/>
              <w:rPr>
                <w:sz w:val="18"/>
                <w:szCs w:val="18"/>
                <w:color w:val="auto"/>
              </w:rPr>
            </w:pPr>
          </w:p>
        </w:tc>
        <w:tc>
          <w:tcPr>
            <w:tcW w:w="180" w:type="dxa"/>
            <w:vAlign w:val="bottom"/>
            <w:gridSpan w:val="2"/>
            <w:shd w:val="clear" w:color="auto" w:fill="BF5B5A"/>
          </w:tcPr>
          <w:p>
            <w:pPr>
              <w:ind w:left="20"/>
              <w:spacing w:after="0"/>
              <w:rPr>
                <w:sz w:val="20"/>
                <w:szCs w:val="20"/>
                <w:color w:val="auto"/>
              </w:rPr>
            </w:pPr>
            <w:r>
              <w:rPr>
                <w:rFonts w:ascii="Arial" w:cs="Arial" w:eastAsia="Arial" w:hAnsi="Arial"/>
                <w:sz w:val="11"/>
                <w:szCs w:val="11"/>
                <w:b w:val="1"/>
                <w:bCs w:val="1"/>
                <w:color w:val="FFFFFF"/>
              </w:rPr>
              <w:t>​​</w:t>
            </w:r>
          </w:p>
        </w:tc>
        <w:tc>
          <w:tcPr>
            <w:tcW w:w="500" w:type="dxa"/>
            <w:vAlign w:val="bottom"/>
            <w:shd w:val="clear" w:color="auto" w:fill="BF5B5A"/>
          </w:tcPr>
          <w:p>
            <w:pPr>
              <w:spacing w:after="0"/>
              <w:rPr>
                <w:sz w:val="18"/>
                <w:szCs w:val="18"/>
                <w:color w:val="auto"/>
              </w:rPr>
            </w:pPr>
          </w:p>
        </w:tc>
        <w:tc>
          <w:tcPr>
            <w:tcW w:w="120" w:type="dxa"/>
            <w:vAlign w:val="bottom"/>
            <w:shd w:val="clear" w:color="auto" w:fill="BF5B5A"/>
          </w:tcPr>
          <w:p>
            <w:pPr>
              <w:spacing w:after="0"/>
              <w:rPr>
                <w:sz w:val="18"/>
                <w:szCs w:val="18"/>
                <w:color w:val="auto"/>
              </w:rPr>
            </w:pPr>
          </w:p>
        </w:tc>
        <w:tc>
          <w:tcPr>
            <w:tcW w:w="60" w:type="dxa"/>
            <w:vAlign w:val="bottom"/>
            <w:shd w:val="clear" w:color="auto" w:fill="BF5B5A"/>
          </w:tcPr>
          <w:p>
            <w:pPr>
              <w:spacing w:after="0"/>
              <w:rPr>
                <w:sz w:val="18"/>
                <w:szCs w:val="18"/>
                <w:color w:val="auto"/>
              </w:rPr>
            </w:pPr>
          </w:p>
        </w:tc>
        <w:tc>
          <w:tcPr>
            <w:tcW w:w="940" w:type="dxa"/>
            <w:vAlign w:val="bottom"/>
            <w:tcBorders>
              <w:right w:val="single" w:sz="8" w:color="BF5B5A"/>
            </w:tcBorders>
            <w:shd w:val="clear" w:color="auto" w:fill="BF5B5A"/>
          </w:tcPr>
          <w:p>
            <w:pPr>
              <w:spacing w:after="0"/>
              <w:rPr>
                <w:sz w:val="18"/>
                <w:szCs w:val="18"/>
                <w:color w:val="auto"/>
              </w:rPr>
            </w:pPr>
          </w:p>
        </w:tc>
        <w:tc>
          <w:tcPr>
            <w:tcW w:w="780" w:type="dxa"/>
            <w:vAlign w:val="bottom"/>
            <w:gridSpan w:val="2"/>
            <w:shd w:val="clear" w:color="auto" w:fill="BF5B5A"/>
          </w:tcPr>
          <w:p>
            <w:pPr>
              <w:spacing w:after="0"/>
              <w:rPr>
                <w:sz w:val="20"/>
                <w:szCs w:val="20"/>
                <w:color w:val="auto"/>
              </w:rPr>
            </w:pPr>
            <w:r>
              <w:rPr>
                <w:rFonts w:ascii="Arial" w:cs="Arial" w:eastAsia="Arial" w:hAnsi="Arial"/>
                <w:sz w:val="11"/>
                <w:szCs w:val="11"/>
                <w:b w:val="1"/>
                <w:bCs w:val="1"/>
                <w:color w:val="FFFFFF"/>
              </w:rPr>
              <w:t>Committees</w:t>
            </w:r>
          </w:p>
        </w:tc>
        <w:tc>
          <w:tcPr>
            <w:tcW w:w="60" w:type="dxa"/>
            <w:vAlign w:val="bottom"/>
            <w:shd w:val="clear" w:color="auto" w:fill="BF5B5A"/>
          </w:tcPr>
          <w:p>
            <w:pPr>
              <w:spacing w:after="0"/>
              <w:rPr>
                <w:sz w:val="18"/>
                <w:szCs w:val="18"/>
                <w:color w:val="auto"/>
              </w:rPr>
            </w:pPr>
          </w:p>
        </w:tc>
        <w:tc>
          <w:tcPr>
            <w:tcW w:w="60" w:type="dxa"/>
            <w:vAlign w:val="bottom"/>
            <w:shd w:val="clear" w:color="auto" w:fill="BF5B5A"/>
          </w:tcPr>
          <w:p>
            <w:pPr>
              <w:spacing w:after="0"/>
              <w:rPr>
                <w:sz w:val="18"/>
                <w:szCs w:val="18"/>
                <w:color w:val="auto"/>
              </w:rPr>
            </w:pPr>
          </w:p>
        </w:tc>
        <w:tc>
          <w:tcPr>
            <w:tcW w:w="860" w:type="dxa"/>
            <w:vAlign w:val="bottom"/>
            <w:tcBorders>
              <w:right w:val="single" w:sz="8" w:color="BF5B5A"/>
            </w:tcBorders>
            <w:shd w:val="clear" w:color="auto" w:fill="BF5B5A"/>
          </w:tcPr>
          <w:p>
            <w:pPr>
              <w:spacing w:after="0"/>
              <w:rPr>
                <w:sz w:val="18"/>
                <w:szCs w:val="18"/>
                <w:color w:val="auto"/>
              </w:rPr>
            </w:pPr>
          </w:p>
        </w:tc>
        <w:tc>
          <w:tcPr>
            <w:tcW w:w="140" w:type="dxa"/>
            <w:vAlign w:val="bottom"/>
            <w:shd w:val="clear" w:color="auto" w:fill="BF5B5A"/>
          </w:tcPr>
          <w:p>
            <w:pPr>
              <w:spacing w:after="0"/>
              <w:rPr>
                <w:sz w:val="18"/>
                <w:szCs w:val="18"/>
                <w:color w:val="auto"/>
              </w:rPr>
            </w:pPr>
          </w:p>
        </w:tc>
        <w:tc>
          <w:tcPr>
            <w:tcW w:w="560" w:type="dxa"/>
            <w:vAlign w:val="bottom"/>
            <w:shd w:val="clear" w:color="auto" w:fill="BF5B5A"/>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1"/>
                <w:szCs w:val="11"/>
                <w:b w:val="1"/>
                <w:bCs w:val="1"/>
                <w:color w:val="FFFFFF"/>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 w:type="dxa"/>
            <w:vAlign w:val="bottom"/>
            <w:tcBorders>
              <w:top w:val="single" w:sz="8" w:color="BF5B5A"/>
            </w:tcBorders>
            <w:shd w:val="clear" w:color="auto" w:fill="BF5B5A"/>
          </w:tcPr>
          <w:p>
            <w:pPr>
              <w:spacing w:after="0"/>
              <w:rPr>
                <w:sz w:val="8"/>
                <w:szCs w:val="8"/>
                <w:color w:val="auto"/>
              </w:rPr>
            </w:pPr>
          </w:p>
        </w:tc>
        <w:tc>
          <w:tcPr>
            <w:tcW w:w="100" w:type="dxa"/>
            <w:vAlign w:val="bottom"/>
            <w:tcBorders>
              <w:top w:val="single" w:sz="8" w:color="BF5B5A"/>
            </w:tcBorders>
            <w:shd w:val="clear" w:color="auto" w:fill="BF5B5A"/>
          </w:tcPr>
          <w:p>
            <w:pPr>
              <w:spacing w:after="0"/>
              <w:rPr>
                <w:sz w:val="8"/>
                <w:szCs w:val="8"/>
                <w:color w:val="auto"/>
              </w:rPr>
            </w:pPr>
          </w:p>
        </w:tc>
        <w:tc>
          <w:tcPr>
            <w:tcW w:w="2280" w:type="dxa"/>
            <w:vAlign w:val="bottom"/>
            <w:tcBorders>
              <w:top w:val="single" w:sz="8" w:color="BF5B5A"/>
            </w:tcBorders>
            <w:shd w:val="clear" w:color="auto" w:fill="BF5B5A"/>
          </w:tcPr>
          <w:p>
            <w:pPr>
              <w:spacing w:after="0"/>
              <w:rPr>
                <w:sz w:val="8"/>
                <w:szCs w:val="8"/>
                <w:color w:val="auto"/>
              </w:rPr>
            </w:pPr>
          </w:p>
        </w:tc>
        <w:tc>
          <w:tcPr>
            <w:tcW w:w="740" w:type="dxa"/>
            <w:vAlign w:val="bottom"/>
            <w:tcBorders>
              <w:top w:val="single" w:sz="8" w:color="BF5B5A"/>
            </w:tcBorders>
            <w:shd w:val="clear" w:color="auto" w:fill="BF5B5A"/>
          </w:tcPr>
          <w:p>
            <w:pPr>
              <w:spacing w:after="0"/>
              <w:rPr>
                <w:sz w:val="8"/>
                <w:szCs w:val="8"/>
                <w:color w:val="auto"/>
              </w:rPr>
            </w:pPr>
          </w:p>
        </w:tc>
        <w:tc>
          <w:tcPr>
            <w:tcW w:w="300" w:type="dxa"/>
            <w:vAlign w:val="bottom"/>
            <w:tcBorders>
              <w:top w:val="single" w:sz="8" w:color="BF5B5A"/>
            </w:tcBorders>
            <w:shd w:val="clear" w:color="auto" w:fill="BF5B5A"/>
          </w:tcPr>
          <w:p>
            <w:pPr>
              <w:spacing w:after="0"/>
              <w:rPr>
                <w:sz w:val="8"/>
                <w:szCs w:val="8"/>
                <w:color w:val="auto"/>
              </w:rPr>
            </w:pPr>
          </w:p>
        </w:tc>
        <w:tc>
          <w:tcPr>
            <w:tcW w:w="400" w:type="dxa"/>
            <w:vAlign w:val="bottom"/>
            <w:tcBorders>
              <w:top w:val="single" w:sz="8" w:color="BF5B5A"/>
            </w:tcBorders>
            <w:shd w:val="clear" w:color="auto" w:fill="BF5B5A"/>
          </w:tcPr>
          <w:p>
            <w:pPr>
              <w:spacing w:after="0"/>
              <w:rPr>
                <w:sz w:val="8"/>
                <w:szCs w:val="8"/>
                <w:color w:val="auto"/>
              </w:rPr>
            </w:pPr>
          </w:p>
        </w:tc>
        <w:tc>
          <w:tcPr>
            <w:tcW w:w="200" w:type="dxa"/>
            <w:vAlign w:val="bottom"/>
            <w:tcBorders>
              <w:top w:val="single" w:sz="8" w:color="BF5B5A"/>
            </w:tcBorders>
            <w:shd w:val="clear" w:color="auto" w:fill="BF5B5A"/>
          </w:tcPr>
          <w:p>
            <w:pPr>
              <w:spacing w:after="0"/>
              <w:rPr>
                <w:sz w:val="8"/>
                <w:szCs w:val="8"/>
                <w:color w:val="auto"/>
              </w:rPr>
            </w:pPr>
          </w:p>
        </w:tc>
        <w:tc>
          <w:tcPr>
            <w:tcW w:w="520" w:type="dxa"/>
            <w:vAlign w:val="bottom"/>
            <w:tcBorders>
              <w:top w:val="single" w:sz="8" w:color="BF5B5A"/>
            </w:tcBorders>
            <w:vMerge w:val="restart"/>
            <w:shd w:val="clear" w:color="auto" w:fill="BF5B5A"/>
          </w:tcPr>
          <w:p>
            <w:pPr>
              <w:jc w:val="center"/>
              <w:spacing w:after="0"/>
              <w:rPr>
                <w:sz w:val="20"/>
                <w:szCs w:val="20"/>
                <w:color w:val="auto"/>
              </w:rPr>
            </w:pPr>
            <w:r>
              <w:rPr>
                <w:rFonts w:ascii="Arial" w:cs="Arial" w:eastAsia="Arial" w:hAnsi="Arial"/>
                <w:sz w:val="11"/>
                <w:szCs w:val="11"/>
                <w:b w:val="1"/>
                <w:bCs w:val="1"/>
                <w:color w:val="FFFFFF"/>
                <w:w w:val="94"/>
              </w:rPr>
              <w:t>Director</w:t>
            </w:r>
          </w:p>
        </w:tc>
        <w:tc>
          <w:tcPr>
            <w:tcW w:w="180" w:type="dxa"/>
            <w:vAlign w:val="bottom"/>
            <w:tcBorders>
              <w:top w:val="single" w:sz="8" w:color="BF5B5A"/>
            </w:tcBorders>
            <w:shd w:val="clear" w:color="auto" w:fill="BF5B5A"/>
          </w:tcPr>
          <w:p>
            <w:pPr>
              <w:spacing w:after="0"/>
              <w:rPr>
                <w:sz w:val="8"/>
                <w:szCs w:val="8"/>
                <w:color w:val="auto"/>
              </w:rPr>
            </w:pPr>
          </w:p>
        </w:tc>
        <w:tc>
          <w:tcPr>
            <w:tcW w:w="620" w:type="dxa"/>
            <w:vAlign w:val="bottom"/>
            <w:tcBorders>
              <w:top w:val="single" w:sz="8" w:color="BF5B5A"/>
            </w:tcBorders>
            <w:shd w:val="clear" w:color="auto" w:fill="BF5B5A"/>
          </w:tcPr>
          <w:p>
            <w:pPr>
              <w:spacing w:after="0"/>
              <w:rPr>
                <w:sz w:val="8"/>
                <w:szCs w:val="8"/>
                <w:color w:val="auto"/>
              </w:rPr>
            </w:pPr>
          </w:p>
        </w:tc>
        <w:tc>
          <w:tcPr>
            <w:tcW w:w="60" w:type="dxa"/>
            <w:vAlign w:val="bottom"/>
            <w:tcBorders>
              <w:top w:val="single" w:sz="8" w:color="BF5B5A"/>
            </w:tcBorders>
            <w:shd w:val="clear" w:color="auto" w:fill="BF5B5A"/>
          </w:tcPr>
          <w:p>
            <w:pPr>
              <w:spacing w:after="0"/>
              <w:rPr>
                <w:sz w:val="8"/>
                <w:szCs w:val="8"/>
                <w:color w:val="auto"/>
              </w:rPr>
            </w:pPr>
          </w:p>
        </w:tc>
        <w:tc>
          <w:tcPr>
            <w:tcW w:w="120" w:type="dxa"/>
            <w:vAlign w:val="bottom"/>
            <w:tcBorders>
              <w:top w:val="single" w:sz="8" w:color="7F7F7F"/>
            </w:tcBorders>
            <w:shd w:val="clear" w:color="auto" w:fill="BF5B5A"/>
          </w:tcPr>
          <w:p>
            <w:pPr>
              <w:spacing w:after="0"/>
              <w:rPr>
                <w:sz w:val="8"/>
                <w:szCs w:val="8"/>
                <w:color w:val="auto"/>
              </w:rPr>
            </w:pPr>
          </w:p>
        </w:tc>
        <w:tc>
          <w:tcPr>
            <w:tcW w:w="500" w:type="dxa"/>
            <w:vAlign w:val="bottom"/>
            <w:tcBorders>
              <w:top w:val="single" w:sz="8" w:color="7F7F7F"/>
            </w:tcBorders>
            <w:shd w:val="clear" w:color="auto" w:fill="BF5B5A"/>
          </w:tcPr>
          <w:p>
            <w:pPr>
              <w:spacing w:after="0"/>
              <w:rPr>
                <w:sz w:val="8"/>
                <w:szCs w:val="8"/>
                <w:color w:val="auto"/>
              </w:rPr>
            </w:pPr>
          </w:p>
        </w:tc>
        <w:tc>
          <w:tcPr>
            <w:tcW w:w="120" w:type="dxa"/>
            <w:vAlign w:val="bottom"/>
            <w:tcBorders>
              <w:top w:val="single" w:sz="8" w:color="7F7F7F"/>
            </w:tcBorders>
            <w:shd w:val="clear" w:color="auto" w:fill="BF5B5A"/>
          </w:tcPr>
          <w:p>
            <w:pPr>
              <w:spacing w:after="0"/>
              <w:rPr>
                <w:sz w:val="8"/>
                <w:szCs w:val="8"/>
                <w:color w:val="auto"/>
              </w:rPr>
            </w:pPr>
          </w:p>
        </w:tc>
        <w:tc>
          <w:tcPr>
            <w:tcW w:w="60" w:type="dxa"/>
            <w:vAlign w:val="bottom"/>
            <w:tcBorders>
              <w:top w:val="single" w:sz="8" w:color="7F7F7F"/>
            </w:tcBorders>
            <w:shd w:val="clear" w:color="auto" w:fill="BF5B5A"/>
          </w:tcPr>
          <w:p>
            <w:pPr>
              <w:spacing w:after="0"/>
              <w:rPr>
                <w:sz w:val="8"/>
                <w:szCs w:val="8"/>
                <w:color w:val="auto"/>
              </w:rPr>
            </w:pPr>
          </w:p>
        </w:tc>
        <w:tc>
          <w:tcPr>
            <w:tcW w:w="940" w:type="dxa"/>
            <w:vAlign w:val="bottom"/>
            <w:tcBorders>
              <w:top w:val="single" w:sz="8" w:color="7F7F7F"/>
              <w:right w:val="single" w:sz="8" w:color="BF5B5A"/>
            </w:tcBorders>
            <w:shd w:val="clear" w:color="auto" w:fill="BF5B5A"/>
          </w:tcPr>
          <w:p>
            <w:pPr>
              <w:spacing w:after="0"/>
              <w:rPr>
                <w:sz w:val="8"/>
                <w:szCs w:val="8"/>
                <w:color w:val="auto"/>
              </w:rPr>
            </w:pPr>
          </w:p>
        </w:tc>
        <w:tc>
          <w:tcPr>
            <w:tcW w:w="260" w:type="dxa"/>
            <w:vAlign w:val="bottom"/>
            <w:tcBorders>
              <w:top w:val="single" w:sz="8" w:color="7F7F7F"/>
            </w:tcBorders>
            <w:shd w:val="clear" w:color="auto" w:fill="BF5B5A"/>
          </w:tcPr>
          <w:p>
            <w:pPr>
              <w:spacing w:after="0"/>
              <w:rPr>
                <w:sz w:val="8"/>
                <w:szCs w:val="8"/>
                <w:color w:val="auto"/>
              </w:rPr>
            </w:pPr>
          </w:p>
        </w:tc>
        <w:tc>
          <w:tcPr>
            <w:tcW w:w="520" w:type="dxa"/>
            <w:vAlign w:val="bottom"/>
            <w:tcBorders>
              <w:top w:val="single" w:sz="8" w:color="7F7F7F"/>
            </w:tcBorders>
            <w:shd w:val="clear" w:color="auto" w:fill="BF5B5A"/>
          </w:tcPr>
          <w:p>
            <w:pPr>
              <w:spacing w:after="0"/>
              <w:rPr>
                <w:sz w:val="8"/>
                <w:szCs w:val="8"/>
                <w:color w:val="auto"/>
              </w:rPr>
            </w:pPr>
          </w:p>
        </w:tc>
        <w:tc>
          <w:tcPr>
            <w:tcW w:w="60" w:type="dxa"/>
            <w:vAlign w:val="bottom"/>
            <w:tcBorders>
              <w:top w:val="single" w:sz="8" w:color="7F7F7F"/>
            </w:tcBorders>
            <w:shd w:val="clear" w:color="auto" w:fill="BF5B5A"/>
          </w:tcPr>
          <w:p>
            <w:pPr>
              <w:spacing w:after="0"/>
              <w:rPr>
                <w:sz w:val="8"/>
                <w:szCs w:val="8"/>
                <w:color w:val="auto"/>
              </w:rPr>
            </w:pPr>
          </w:p>
        </w:tc>
        <w:tc>
          <w:tcPr>
            <w:tcW w:w="60" w:type="dxa"/>
            <w:vAlign w:val="bottom"/>
            <w:tcBorders>
              <w:top w:val="single" w:sz="8" w:color="7F7F7F"/>
            </w:tcBorders>
            <w:shd w:val="clear" w:color="auto" w:fill="BF5B5A"/>
          </w:tcPr>
          <w:p>
            <w:pPr>
              <w:spacing w:after="0"/>
              <w:rPr>
                <w:sz w:val="8"/>
                <w:szCs w:val="8"/>
                <w:color w:val="auto"/>
              </w:rPr>
            </w:pPr>
          </w:p>
        </w:tc>
        <w:tc>
          <w:tcPr>
            <w:tcW w:w="860" w:type="dxa"/>
            <w:vAlign w:val="bottom"/>
            <w:tcBorders>
              <w:top w:val="single" w:sz="8" w:color="7F7F7F"/>
              <w:right w:val="single" w:sz="8" w:color="BF5B5A"/>
            </w:tcBorders>
            <w:shd w:val="clear" w:color="auto" w:fill="BF5B5A"/>
          </w:tcPr>
          <w:p>
            <w:pPr>
              <w:jc w:val="center"/>
              <w:ind w:right="69"/>
              <w:spacing w:after="0" w:line="102" w:lineRule="exact"/>
              <w:rPr>
                <w:sz w:val="20"/>
                <w:szCs w:val="20"/>
                <w:color w:val="auto"/>
              </w:rPr>
            </w:pPr>
            <w:r>
              <w:rPr>
                <w:rFonts w:ascii="Arial" w:cs="Arial" w:eastAsia="Arial" w:hAnsi="Arial"/>
                <w:sz w:val="11"/>
                <w:szCs w:val="11"/>
                <w:b w:val="1"/>
                <w:bCs w:val="1"/>
                <w:color w:val="FFFFFF"/>
                <w:w w:val="91"/>
              </w:rPr>
              <w:t>Corporate</w:t>
            </w:r>
          </w:p>
        </w:tc>
        <w:tc>
          <w:tcPr>
            <w:tcW w:w="140" w:type="dxa"/>
            <w:vAlign w:val="bottom"/>
            <w:tcBorders>
              <w:top w:val="single" w:sz="8" w:color="7F7F7F"/>
            </w:tcBorders>
            <w:shd w:val="clear" w:color="auto" w:fill="BF5B5A"/>
          </w:tcPr>
          <w:p>
            <w:pPr>
              <w:spacing w:after="0"/>
              <w:rPr>
                <w:sz w:val="8"/>
                <w:szCs w:val="8"/>
                <w:color w:val="auto"/>
              </w:rPr>
            </w:pPr>
          </w:p>
        </w:tc>
        <w:tc>
          <w:tcPr>
            <w:tcW w:w="560" w:type="dxa"/>
            <w:vAlign w:val="bottom"/>
            <w:tcBorders>
              <w:top w:val="single" w:sz="8" w:color="7F7F7F"/>
            </w:tcBorders>
            <w:shd w:val="clear" w:color="auto" w:fill="BF5B5A"/>
          </w:tcPr>
          <w:p>
            <w:pPr>
              <w:spacing w:after="0"/>
              <w:rPr>
                <w:sz w:val="8"/>
                <w:szCs w:val="8"/>
                <w:color w:val="auto"/>
              </w:rPr>
            </w:pPr>
          </w:p>
        </w:tc>
        <w:tc>
          <w:tcPr>
            <w:tcW w:w="80" w:type="dxa"/>
            <w:vAlign w:val="bottom"/>
            <w:tcBorders>
              <w:top w:val="single" w:sz="8" w:color="7F7F7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 w:type="dxa"/>
            <w:vAlign w:val="bottom"/>
            <w:shd w:val="clear" w:color="auto" w:fill="BF5B5A"/>
          </w:tcPr>
          <w:p>
            <w:pPr>
              <w:spacing w:after="0"/>
              <w:rPr>
                <w:sz w:val="9"/>
                <w:szCs w:val="9"/>
                <w:color w:val="auto"/>
              </w:rPr>
            </w:pPr>
          </w:p>
        </w:tc>
        <w:tc>
          <w:tcPr>
            <w:tcW w:w="2380" w:type="dxa"/>
            <w:vAlign w:val="bottom"/>
            <w:gridSpan w:val="2"/>
            <w:shd w:val="clear" w:color="auto" w:fill="BF5B5A"/>
          </w:tcPr>
          <w:p>
            <w:pPr>
              <w:spacing w:after="0" w:line="108" w:lineRule="exact"/>
              <w:rPr>
                <w:sz w:val="20"/>
                <w:szCs w:val="20"/>
                <w:color w:val="auto"/>
              </w:rPr>
            </w:pPr>
            <w:r>
              <w:rPr>
                <w:rFonts w:ascii="Arial" w:cs="Arial" w:eastAsia="Arial" w:hAnsi="Arial"/>
                <w:sz w:val="11"/>
                <w:szCs w:val="11"/>
                <w:b w:val="1"/>
                <w:bCs w:val="1"/>
                <w:color w:val="FFFFFF"/>
              </w:rPr>
              <w:t>Director Nominee and</w:t>
            </w:r>
          </w:p>
        </w:tc>
        <w:tc>
          <w:tcPr>
            <w:tcW w:w="740" w:type="dxa"/>
            <w:vAlign w:val="bottom"/>
            <w:shd w:val="clear" w:color="auto" w:fill="BF5B5A"/>
          </w:tcPr>
          <w:p>
            <w:pPr>
              <w:spacing w:after="0"/>
              <w:rPr>
                <w:sz w:val="9"/>
                <w:szCs w:val="9"/>
                <w:color w:val="auto"/>
              </w:rPr>
            </w:pPr>
          </w:p>
        </w:tc>
        <w:tc>
          <w:tcPr>
            <w:tcW w:w="300" w:type="dxa"/>
            <w:vAlign w:val="bottom"/>
            <w:shd w:val="clear" w:color="auto" w:fill="BF5B5A"/>
          </w:tcPr>
          <w:p>
            <w:pPr>
              <w:spacing w:after="0"/>
              <w:rPr>
                <w:sz w:val="9"/>
                <w:szCs w:val="9"/>
                <w:color w:val="auto"/>
              </w:rPr>
            </w:pPr>
          </w:p>
        </w:tc>
        <w:tc>
          <w:tcPr>
            <w:tcW w:w="400" w:type="dxa"/>
            <w:vAlign w:val="bottom"/>
            <w:shd w:val="clear" w:color="auto" w:fill="BF5B5A"/>
          </w:tcPr>
          <w:p>
            <w:pPr>
              <w:spacing w:after="0"/>
              <w:rPr>
                <w:sz w:val="9"/>
                <w:szCs w:val="9"/>
                <w:color w:val="auto"/>
              </w:rPr>
            </w:pPr>
          </w:p>
        </w:tc>
        <w:tc>
          <w:tcPr>
            <w:tcW w:w="200" w:type="dxa"/>
            <w:vAlign w:val="bottom"/>
            <w:shd w:val="clear" w:color="auto" w:fill="BF5B5A"/>
          </w:tcPr>
          <w:p>
            <w:pPr>
              <w:spacing w:after="0"/>
              <w:rPr>
                <w:sz w:val="9"/>
                <w:szCs w:val="9"/>
                <w:color w:val="auto"/>
              </w:rPr>
            </w:pPr>
          </w:p>
        </w:tc>
        <w:tc>
          <w:tcPr>
            <w:tcW w:w="520" w:type="dxa"/>
            <w:vAlign w:val="bottom"/>
            <w:vMerge w:val="continue"/>
            <w:shd w:val="clear" w:color="auto" w:fill="BF5B5A"/>
          </w:tcPr>
          <w:p>
            <w:pPr>
              <w:spacing w:after="0"/>
              <w:rPr>
                <w:sz w:val="9"/>
                <w:szCs w:val="9"/>
                <w:color w:val="auto"/>
              </w:rPr>
            </w:pPr>
          </w:p>
        </w:tc>
        <w:tc>
          <w:tcPr>
            <w:tcW w:w="180" w:type="dxa"/>
            <w:vAlign w:val="bottom"/>
            <w:shd w:val="clear" w:color="auto" w:fill="BF5B5A"/>
          </w:tcPr>
          <w:p>
            <w:pPr>
              <w:spacing w:after="0"/>
              <w:rPr>
                <w:sz w:val="9"/>
                <w:szCs w:val="9"/>
                <w:color w:val="auto"/>
              </w:rPr>
            </w:pPr>
          </w:p>
        </w:tc>
        <w:tc>
          <w:tcPr>
            <w:tcW w:w="620" w:type="dxa"/>
            <w:vAlign w:val="bottom"/>
            <w:shd w:val="clear" w:color="auto" w:fill="BF5B5A"/>
          </w:tcPr>
          <w:p>
            <w:pPr>
              <w:spacing w:after="0"/>
              <w:rPr>
                <w:sz w:val="9"/>
                <w:szCs w:val="9"/>
                <w:color w:val="auto"/>
              </w:rPr>
            </w:pPr>
          </w:p>
        </w:tc>
        <w:tc>
          <w:tcPr>
            <w:tcW w:w="60" w:type="dxa"/>
            <w:vAlign w:val="bottom"/>
            <w:shd w:val="clear" w:color="auto" w:fill="BF5B5A"/>
          </w:tcPr>
          <w:p>
            <w:pPr>
              <w:spacing w:after="0"/>
              <w:rPr>
                <w:sz w:val="9"/>
                <w:szCs w:val="9"/>
                <w:color w:val="auto"/>
              </w:rPr>
            </w:pPr>
          </w:p>
        </w:tc>
        <w:tc>
          <w:tcPr>
            <w:tcW w:w="120" w:type="dxa"/>
            <w:vAlign w:val="bottom"/>
            <w:shd w:val="clear" w:color="auto" w:fill="BF5B5A"/>
          </w:tcPr>
          <w:p>
            <w:pPr>
              <w:spacing w:after="0"/>
              <w:rPr>
                <w:sz w:val="9"/>
                <w:szCs w:val="9"/>
                <w:color w:val="auto"/>
              </w:rPr>
            </w:pPr>
          </w:p>
        </w:tc>
        <w:tc>
          <w:tcPr>
            <w:tcW w:w="500" w:type="dxa"/>
            <w:vAlign w:val="bottom"/>
            <w:shd w:val="clear" w:color="auto" w:fill="BF5B5A"/>
          </w:tcPr>
          <w:p>
            <w:pPr>
              <w:jc w:val="right"/>
              <w:ind w:right="45"/>
              <w:spacing w:after="0" w:line="108" w:lineRule="exact"/>
              <w:rPr>
                <w:sz w:val="20"/>
                <w:szCs w:val="20"/>
                <w:color w:val="auto"/>
              </w:rPr>
            </w:pPr>
            <w:r>
              <w:rPr>
                <w:rFonts w:ascii="Arial" w:cs="Arial" w:eastAsia="Arial" w:hAnsi="Arial"/>
                <w:sz w:val="11"/>
                <w:szCs w:val="11"/>
                <w:b w:val="1"/>
                <w:bCs w:val="1"/>
                <w:color w:val="FFFFFF"/>
              </w:rPr>
              <w:t>Public</w:t>
            </w:r>
          </w:p>
        </w:tc>
        <w:tc>
          <w:tcPr>
            <w:tcW w:w="120" w:type="dxa"/>
            <w:vAlign w:val="bottom"/>
            <w:shd w:val="clear" w:color="auto" w:fill="BF5B5A"/>
          </w:tcPr>
          <w:p>
            <w:pPr>
              <w:spacing w:after="0"/>
              <w:rPr>
                <w:sz w:val="9"/>
                <w:szCs w:val="9"/>
                <w:color w:val="auto"/>
              </w:rPr>
            </w:pPr>
          </w:p>
        </w:tc>
        <w:tc>
          <w:tcPr>
            <w:tcW w:w="60" w:type="dxa"/>
            <w:vAlign w:val="bottom"/>
            <w:shd w:val="clear" w:color="auto" w:fill="BF5B5A"/>
          </w:tcPr>
          <w:p>
            <w:pPr>
              <w:spacing w:after="0"/>
              <w:rPr>
                <w:sz w:val="9"/>
                <w:szCs w:val="9"/>
                <w:color w:val="auto"/>
              </w:rPr>
            </w:pPr>
          </w:p>
        </w:tc>
        <w:tc>
          <w:tcPr>
            <w:tcW w:w="940" w:type="dxa"/>
            <w:vAlign w:val="bottom"/>
            <w:tcBorders>
              <w:right w:val="single" w:sz="8" w:color="BF5B5A"/>
            </w:tcBorders>
            <w:shd w:val="clear" w:color="auto" w:fill="BF5B5A"/>
          </w:tcPr>
          <w:p>
            <w:pPr>
              <w:spacing w:after="0"/>
              <w:rPr>
                <w:sz w:val="9"/>
                <w:szCs w:val="9"/>
                <w:color w:val="auto"/>
              </w:rPr>
            </w:pPr>
          </w:p>
        </w:tc>
        <w:tc>
          <w:tcPr>
            <w:tcW w:w="260" w:type="dxa"/>
            <w:vAlign w:val="bottom"/>
            <w:shd w:val="clear" w:color="auto" w:fill="BF5B5A"/>
          </w:tcPr>
          <w:p>
            <w:pPr>
              <w:spacing w:after="0"/>
              <w:rPr>
                <w:sz w:val="9"/>
                <w:szCs w:val="9"/>
                <w:color w:val="auto"/>
              </w:rPr>
            </w:pPr>
          </w:p>
        </w:tc>
        <w:tc>
          <w:tcPr>
            <w:tcW w:w="520" w:type="dxa"/>
            <w:vAlign w:val="bottom"/>
            <w:shd w:val="clear" w:color="auto" w:fill="BF5B5A"/>
          </w:tcPr>
          <w:p>
            <w:pPr>
              <w:spacing w:after="0"/>
              <w:rPr>
                <w:sz w:val="9"/>
                <w:szCs w:val="9"/>
                <w:color w:val="auto"/>
              </w:rPr>
            </w:pPr>
          </w:p>
        </w:tc>
        <w:tc>
          <w:tcPr>
            <w:tcW w:w="60" w:type="dxa"/>
            <w:vAlign w:val="bottom"/>
            <w:shd w:val="clear" w:color="auto" w:fill="BF5B5A"/>
          </w:tcPr>
          <w:p>
            <w:pPr>
              <w:spacing w:after="0"/>
              <w:rPr>
                <w:sz w:val="9"/>
                <w:szCs w:val="9"/>
                <w:color w:val="auto"/>
              </w:rPr>
            </w:pPr>
          </w:p>
        </w:tc>
        <w:tc>
          <w:tcPr>
            <w:tcW w:w="60" w:type="dxa"/>
            <w:vAlign w:val="bottom"/>
            <w:shd w:val="clear" w:color="auto" w:fill="BF5B5A"/>
          </w:tcPr>
          <w:p>
            <w:pPr>
              <w:spacing w:after="0"/>
              <w:rPr>
                <w:sz w:val="9"/>
                <w:szCs w:val="9"/>
                <w:color w:val="auto"/>
              </w:rPr>
            </w:pPr>
          </w:p>
        </w:tc>
        <w:tc>
          <w:tcPr>
            <w:tcW w:w="860" w:type="dxa"/>
            <w:vAlign w:val="bottom"/>
            <w:tcBorders>
              <w:right w:val="single" w:sz="8" w:color="BF5B5A"/>
            </w:tcBorders>
            <w:shd w:val="clear" w:color="auto" w:fill="BF5B5A"/>
          </w:tcPr>
          <w:p>
            <w:pPr>
              <w:jc w:val="center"/>
              <w:ind w:right="69"/>
              <w:spacing w:after="0" w:line="108" w:lineRule="exact"/>
              <w:rPr>
                <w:sz w:val="20"/>
                <w:szCs w:val="20"/>
                <w:color w:val="auto"/>
              </w:rPr>
            </w:pPr>
            <w:r>
              <w:rPr>
                <w:rFonts w:ascii="Arial" w:cs="Arial" w:eastAsia="Arial" w:hAnsi="Arial"/>
                <w:sz w:val="11"/>
                <w:szCs w:val="11"/>
                <w:b w:val="1"/>
                <w:bCs w:val="1"/>
                <w:color w:val="FFFFFF"/>
                <w:w w:val="91"/>
              </w:rPr>
              <w:t>Governance &amp;</w:t>
            </w:r>
          </w:p>
        </w:tc>
        <w:tc>
          <w:tcPr>
            <w:tcW w:w="140" w:type="dxa"/>
            <w:vAlign w:val="bottom"/>
            <w:shd w:val="clear" w:color="auto" w:fill="BF5B5A"/>
          </w:tcPr>
          <w:p>
            <w:pPr>
              <w:spacing w:after="0"/>
              <w:rPr>
                <w:sz w:val="9"/>
                <w:szCs w:val="9"/>
                <w:color w:val="auto"/>
              </w:rPr>
            </w:pPr>
          </w:p>
        </w:tc>
        <w:tc>
          <w:tcPr>
            <w:tcW w:w="560" w:type="dxa"/>
            <w:vAlign w:val="bottom"/>
            <w:shd w:val="clear" w:color="auto" w:fill="BF5B5A"/>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0" w:type="dxa"/>
            <w:vAlign w:val="bottom"/>
            <w:vMerge w:val="restart"/>
            <w:shd w:val="clear" w:color="auto" w:fill="BF5B5A"/>
          </w:tcPr>
          <w:p>
            <w:pPr>
              <w:ind w:left="20"/>
              <w:spacing w:after="0"/>
              <w:rPr>
                <w:sz w:val="20"/>
                <w:szCs w:val="20"/>
                <w:color w:val="auto"/>
              </w:rPr>
            </w:pPr>
            <w:r>
              <w:rPr>
                <w:rFonts w:ascii="Arial" w:cs="Arial" w:eastAsia="Arial" w:hAnsi="Arial"/>
                <w:sz w:val="11"/>
                <w:szCs w:val="11"/>
                <w:b w:val="1"/>
                <w:bCs w:val="1"/>
                <w:color w:val="FFFFFF"/>
              </w:rPr>
              <w:t>​</w:t>
            </w:r>
          </w:p>
        </w:tc>
        <w:tc>
          <w:tcPr>
            <w:tcW w:w="2380" w:type="dxa"/>
            <w:vAlign w:val="bottom"/>
            <w:gridSpan w:val="2"/>
            <w:shd w:val="clear" w:color="auto" w:fill="BF5B5A"/>
          </w:tcPr>
          <w:p>
            <w:pPr>
              <w:spacing w:after="0" w:line="122" w:lineRule="exact"/>
              <w:rPr>
                <w:sz w:val="20"/>
                <w:szCs w:val="20"/>
                <w:color w:val="auto"/>
              </w:rPr>
            </w:pPr>
            <w:r>
              <w:rPr>
                <w:rFonts w:ascii="Arial" w:cs="Arial" w:eastAsia="Arial" w:hAnsi="Arial"/>
                <w:sz w:val="11"/>
                <w:szCs w:val="11"/>
                <w:b w:val="1"/>
                <w:bCs w:val="1"/>
                <w:color w:val="FFFFFF"/>
              </w:rPr>
              <w:t>Principal Occupation</w:t>
            </w:r>
          </w:p>
        </w:tc>
        <w:tc>
          <w:tcPr>
            <w:tcW w:w="740" w:type="dxa"/>
            <w:vAlign w:val="bottom"/>
            <w:shd w:val="clear" w:color="auto" w:fill="BF5B5A"/>
          </w:tcPr>
          <w:p>
            <w:pPr>
              <w:spacing w:after="0"/>
              <w:rPr>
                <w:sz w:val="10"/>
                <w:szCs w:val="10"/>
                <w:color w:val="auto"/>
              </w:rPr>
            </w:pPr>
          </w:p>
        </w:tc>
        <w:tc>
          <w:tcPr>
            <w:tcW w:w="300" w:type="dxa"/>
            <w:vAlign w:val="bottom"/>
            <w:vMerge w:val="restart"/>
            <w:shd w:val="clear" w:color="auto" w:fill="BF5B5A"/>
          </w:tcPr>
          <w:p>
            <w:pPr>
              <w:jc w:val="right"/>
              <w:ind w:right="124"/>
              <w:spacing w:after="0"/>
              <w:rPr>
                <w:sz w:val="20"/>
                <w:szCs w:val="20"/>
                <w:color w:val="auto"/>
              </w:rPr>
            </w:pPr>
            <w:r>
              <w:rPr>
                <w:rFonts w:ascii="Arial" w:cs="Arial" w:eastAsia="Arial" w:hAnsi="Arial"/>
                <w:sz w:val="11"/>
                <w:szCs w:val="11"/>
                <w:b w:val="1"/>
                <w:bCs w:val="1"/>
                <w:color w:val="FFFFFF"/>
              </w:rPr>
              <w:t>​​</w:t>
            </w:r>
          </w:p>
        </w:tc>
        <w:tc>
          <w:tcPr>
            <w:tcW w:w="400" w:type="dxa"/>
            <w:vAlign w:val="bottom"/>
            <w:shd w:val="clear" w:color="auto" w:fill="BF5B5A"/>
          </w:tcPr>
          <w:p>
            <w:pPr>
              <w:jc w:val="right"/>
              <w:ind w:right="123"/>
              <w:spacing w:after="0" w:line="122" w:lineRule="exact"/>
              <w:rPr>
                <w:sz w:val="20"/>
                <w:szCs w:val="20"/>
                <w:color w:val="auto"/>
              </w:rPr>
            </w:pPr>
            <w:r>
              <w:rPr>
                <w:rFonts w:ascii="Arial" w:cs="Arial" w:eastAsia="Arial" w:hAnsi="Arial"/>
                <w:sz w:val="11"/>
                <w:szCs w:val="11"/>
                <w:b w:val="1"/>
                <w:bCs w:val="1"/>
                <w:color w:val="FFFFFF"/>
                <w:w w:val="86"/>
              </w:rPr>
              <w:t>Age</w:t>
            </w:r>
          </w:p>
        </w:tc>
        <w:tc>
          <w:tcPr>
            <w:tcW w:w="200" w:type="dxa"/>
            <w:vAlign w:val="bottom"/>
            <w:vMerge w:val="restart"/>
            <w:shd w:val="clear" w:color="auto" w:fill="BF5B5A"/>
          </w:tcPr>
          <w:p>
            <w:pPr>
              <w:jc w:val="right"/>
              <w:spacing w:after="0"/>
              <w:rPr>
                <w:sz w:val="20"/>
                <w:szCs w:val="20"/>
                <w:color w:val="auto"/>
              </w:rPr>
            </w:pPr>
            <w:r>
              <w:rPr>
                <w:rFonts w:ascii="Arial" w:cs="Arial" w:eastAsia="Arial" w:hAnsi="Arial"/>
                <w:sz w:val="11"/>
                <w:szCs w:val="11"/>
                <w:b w:val="1"/>
                <w:bCs w:val="1"/>
                <w:color w:val="FFFFFF"/>
              </w:rPr>
              <w:t>​​</w:t>
            </w:r>
          </w:p>
        </w:tc>
        <w:tc>
          <w:tcPr>
            <w:tcW w:w="520" w:type="dxa"/>
            <w:vAlign w:val="bottom"/>
            <w:shd w:val="clear" w:color="auto" w:fill="BF5B5A"/>
          </w:tcPr>
          <w:p>
            <w:pPr>
              <w:jc w:val="center"/>
              <w:spacing w:after="0" w:line="122" w:lineRule="exact"/>
              <w:rPr>
                <w:sz w:val="20"/>
                <w:szCs w:val="20"/>
                <w:color w:val="auto"/>
              </w:rPr>
            </w:pPr>
            <w:r>
              <w:rPr>
                <w:rFonts w:ascii="Arial" w:cs="Arial" w:eastAsia="Arial" w:hAnsi="Arial"/>
                <w:sz w:val="10"/>
                <w:szCs w:val="10"/>
                <w:b w:val="1"/>
                <w:bCs w:val="1"/>
                <w:color w:val="FFFFFF"/>
                <w:w w:val="97"/>
              </w:rPr>
              <w:t>since</w:t>
            </w:r>
            <w:r>
              <w:rPr>
                <w:rFonts w:ascii="Arial" w:cs="Arial" w:eastAsia="Arial" w:hAnsi="Arial"/>
                <w:sz w:val="14"/>
                <w:szCs w:val="14"/>
                <w:b w:val="1"/>
                <w:bCs w:val="1"/>
                <w:color w:val="FFFFFF"/>
                <w:w w:val="97"/>
                <w:vertAlign w:val="superscript"/>
              </w:rPr>
              <w:t>(1)</w:t>
            </w:r>
          </w:p>
        </w:tc>
        <w:tc>
          <w:tcPr>
            <w:tcW w:w="180" w:type="dxa"/>
            <w:vAlign w:val="bottom"/>
            <w:vMerge w:val="restart"/>
            <w:shd w:val="clear" w:color="auto" w:fill="BF5B5A"/>
          </w:tcPr>
          <w:p>
            <w:pPr>
              <w:jc w:val="right"/>
              <w:spacing w:after="0"/>
              <w:rPr>
                <w:sz w:val="20"/>
                <w:szCs w:val="20"/>
                <w:color w:val="auto"/>
              </w:rPr>
            </w:pPr>
            <w:r>
              <w:rPr>
                <w:rFonts w:ascii="Arial" w:cs="Arial" w:eastAsia="Arial" w:hAnsi="Arial"/>
                <w:sz w:val="11"/>
                <w:szCs w:val="11"/>
                <w:b w:val="1"/>
                <w:bCs w:val="1"/>
                <w:color w:val="FFFFFF"/>
              </w:rPr>
              <w:t>​​</w:t>
            </w:r>
          </w:p>
        </w:tc>
        <w:tc>
          <w:tcPr>
            <w:tcW w:w="620" w:type="dxa"/>
            <w:vAlign w:val="bottom"/>
            <w:shd w:val="clear" w:color="auto" w:fill="BF5B5A"/>
          </w:tcPr>
          <w:p>
            <w:pPr>
              <w:spacing w:after="0" w:line="122" w:lineRule="exact"/>
              <w:rPr>
                <w:sz w:val="20"/>
                <w:szCs w:val="20"/>
                <w:color w:val="auto"/>
              </w:rPr>
            </w:pPr>
            <w:r>
              <w:rPr>
                <w:rFonts w:ascii="Arial" w:cs="Arial" w:eastAsia="Arial" w:hAnsi="Arial"/>
                <w:sz w:val="11"/>
                <w:szCs w:val="11"/>
                <w:b w:val="1"/>
                <w:bCs w:val="1"/>
                <w:color w:val="FFFFFF"/>
                <w:w w:val="91"/>
              </w:rPr>
              <w:t>Independent</w:t>
            </w:r>
          </w:p>
        </w:tc>
        <w:tc>
          <w:tcPr>
            <w:tcW w:w="180" w:type="dxa"/>
            <w:vAlign w:val="bottom"/>
            <w:gridSpan w:val="2"/>
            <w:vMerge w:val="restart"/>
            <w:shd w:val="clear" w:color="auto" w:fill="BF5B5A"/>
          </w:tcPr>
          <w:p>
            <w:pPr>
              <w:ind w:left="40"/>
              <w:spacing w:after="0"/>
              <w:rPr>
                <w:sz w:val="20"/>
                <w:szCs w:val="20"/>
                <w:color w:val="auto"/>
              </w:rPr>
            </w:pPr>
            <w:r>
              <w:rPr>
                <w:rFonts w:ascii="Arial" w:cs="Arial" w:eastAsia="Arial" w:hAnsi="Arial"/>
                <w:sz w:val="11"/>
                <w:szCs w:val="11"/>
                <w:b w:val="1"/>
                <w:bCs w:val="1"/>
                <w:color w:val="FFFFFF"/>
              </w:rPr>
              <w:t>​​</w:t>
            </w:r>
          </w:p>
        </w:tc>
        <w:tc>
          <w:tcPr>
            <w:tcW w:w="500" w:type="dxa"/>
            <w:vAlign w:val="bottom"/>
            <w:shd w:val="clear" w:color="auto" w:fill="BF5B5A"/>
          </w:tcPr>
          <w:p>
            <w:pPr>
              <w:jc w:val="right"/>
              <w:ind w:right="5"/>
              <w:spacing w:after="0" w:line="122" w:lineRule="exact"/>
              <w:rPr>
                <w:sz w:val="20"/>
                <w:szCs w:val="20"/>
                <w:color w:val="auto"/>
              </w:rPr>
            </w:pPr>
            <w:r>
              <w:rPr>
                <w:rFonts w:ascii="Arial" w:cs="Arial" w:eastAsia="Arial" w:hAnsi="Arial"/>
                <w:sz w:val="11"/>
                <w:szCs w:val="11"/>
                <w:b w:val="1"/>
                <w:bCs w:val="1"/>
                <w:color w:val="FFFFFF"/>
              </w:rPr>
              <w:t>Boards</w:t>
            </w:r>
          </w:p>
        </w:tc>
        <w:tc>
          <w:tcPr>
            <w:tcW w:w="180" w:type="dxa"/>
            <w:vAlign w:val="bottom"/>
            <w:gridSpan w:val="2"/>
            <w:vMerge w:val="restart"/>
            <w:shd w:val="clear" w:color="auto" w:fill="BF5B5A"/>
          </w:tcPr>
          <w:p>
            <w:pPr>
              <w:ind w:left="100"/>
              <w:spacing w:after="0"/>
              <w:rPr>
                <w:sz w:val="20"/>
                <w:szCs w:val="20"/>
                <w:color w:val="auto"/>
              </w:rPr>
            </w:pPr>
            <w:r>
              <w:rPr>
                <w:rFonts w:ascii="Arial" w:cs="Arial" w:eastAsia="Arial" w:hAnsi="Arial"/>
                <w:sz w:val="11"/>
                <w:szCs w:val="11"/>
                <w:b w:val="1"/>
                <w:bCs w:val="1"/>
                <w:color w:val="FFFFFF"/>
              </w:rPr>
              <w:t>​​</w:t>
            </w:r>
          </w:p>
        </w:tc>
        <w:tc>
          <w:tcPr>
            <w:tcW w:w="940" w:type="dxa"/>
            <w:vAlign w:val="bottom"/>
            <w:tcBorders>
              <w:right w:val="single" w:sz="8" w:color="BF5B5A"/>
            </w:tcBorders>
            <w:shd w:val="clear" w:color="auto" w:fill="BF5B5A"/>
          </w:tcPr>
          <w:p>
            <w:pPr>
              <w:jc w:val="right"/>
              <w:ind w:right="304"/>
              <w:spacing w:after="0" w:line="122" w:lineRule="exact"/>
              <w:rPr>
                <w:sz w:val="20"/>
                <w:szCs w:val="20"/>
                <w:color w:val="auto"/>
              </w:rPr>
            </w:pPr>
            <w:r>
              <w:rPr>
                <w:rFonts w:ascii="Arial" w:cs="Arial" w:eastAsia="Arial" w:hAnsi="Arial"/>
                <w:sz w:val="11"/>
                <w:szCs w:val="11"/>
                <w:b w:val="1"/>
                <w:bCs w:val="1"/>
                <w:color w:val="FFFFFF"/>
              </w:rPr>
              <w:t>Audit</w:t>
            </w:r>
          </w:p>
        </w:tc>
        <w:tc>
          <w:tcPr>
            <w:tcW w:w="780" w:type="dxa"/>
            <w:vAlign w:val="bottom"/>
            <w:gridSpan w:val="2"/>
            <w:shd w:val="clear" w:color="auto" w:fill="BF5B5A"/>
          </w:tcPr>
          <w:p>
            <w:pPr>
              <w:ind w:left="60"/>
              <w:spacing w:after="0" w:line="122" w:lineRule="exact"/>
              <w:rPr>
                <w:sz w:val="20"/>
                <w:szCs w:val="20"/>
                <w:color w:val="auto"/>
              </w:rPr>
            </w:pPr>
            <w:r>
              <w:rPr>
                <w:rFonts w:ascii="Arial" w:cs="Arial" w:eastAsia="Arial" w:hAnsi="Arial"/>
                <w:sz w:val="11"/>
                <w:szCs w:val="11"/>
                <w:b w:val="1"/>
                <w:bCs w:val="1"/>
                <w:color w:val="FFFFFF"/>
                <w:w w:val="91"/>
              </w:rPr>
              <w:t>Compensation</w:t>
            </w:r>
          </w:p>
        </w:tc>
        <w:tc>
          <w:tcPr>
            <w:tcW w:w="120" w:type="dxa"/>
            <w:vAlign w:val="bottom"/>
            <w:gridSpan w:val="2"/>
            <w:vMerge w:val="restart"/>
            <w:shd w:val="clear" w:color="auto" w:fill="BF5B5A"/>
          </w:tcPr>
          <w:p>
            <w:pPr>
              <w:ind w:left="40"/>
              <w:spacing w:after="0"/>
              <w:rPr>
                <w:sz w:val="20"/>
                <w:szCs w:val="20"/>
                <w:color w:val="auto"/>
              </w:rPr>
            </w:pPr>
            <w:r>
              <w:rPr>
                <w:rFonts w:ascii="Arial" w:cs="Arial" w:eastAsia="Arial" w:hAnsi="Arial"/>
                <w:sz w:val="11"/>
                <w:szCs w:val="11"/>
                <w:b w:val="1"/>
                <w:bCs w:val="1"/>
                <w:color w:val="FFFFFF"/>
              </w:rPr>
              <w:t>​​</w:t>
            </w:r>
          </w:p>
        </w:tc>
        <w:tc>
          <w:tcPr>
            <w:tcW w:w="860" w:type="dxa"/>
            <w:vAlign w:val="bottom"/>
            <w:tcBorders>
              <w:right w:val="single" w:sz="8" w:color="BF5B5A"/>
            </w:tcBorders>
            <w:shd w:val="clear" w:color="auto" w:fill="BF5B5A"/>
          </w:tcPr>
          <w:p>
            <w:pPr>
              <w:jc w:val="center"/>
              <w:ind w:right="29"/>
              <w:spacing w:after="0" w:line="122" w:lineRule="exact"/>
              <w:rPr>
                <w:sz w:val="20"/>
                <w:szCs w:val="20"/>
                <w:color w:val="auto"/>
              </w:rPr>
            </w:pPr>
            <w:r>
              <w:rPr>
                <w:rFonts w:ascii="Arial" w:cs="Arial" w:eastAsia="Arial" w:hAnsi="Arial"/>
                <w:sz w:val="11"/>
                <w:szCs w:val="11"/>
                <w:b w:val="1"/>
                <w:bCs w:val="1"/>
                <w:color w:val="FFFFFF"/>
                <w:w w:val="92"/>
              </w:rPr>
              <w:t>Nominating</w:t>
            </w:r>
          </w:p>
        </w:tc>
        <w:tc>
          <w:tcPr>
            <w:tcW w:w="140" w:type="dxa"/>
            <w:vAlign w:val="bottom"/>
            <w:vMerge w:val="restart"/>
            <w:shd w:val="clear" w:color="auto" w:fill="BF5B5A"/>
          </w:tcPr>
          <w:p>
            <w:pPr>
              <w:jc w:val="center"/>
              <w:ind w:right="21"/>
              <w:spacing w:after="0"/>
              <w:rPr>
                <w:sz w:val="20"/>
                <w:szCs w:val="20"/>
                <w:color w:val="auto"/>
              </w:rPr>
            </w:pPr>
            <w:r>
              <w:rPr>
                <w:rFonts w:ascii="Arial" w:cs="Arial" w:eastAsia="Arial" w:hAnsi="Arial"/>
                <w:sz w:val="11"/>
                <w:szCs w:val="11"/>
                <w:b w:val="1"/>
                <w:bCs w:val="1"/>
                <w:color w:val="FFFFFF"/>
              </w:rPr>
              <w:t>​​</w:t>
            </w:r>
          </w:p>
        </w:tc>
        <w:tc>
          <w:tcPr>
            <w:tcW w:w="560" w:type="dxa"/>
            <w:vAlign w:val="bottom"/>
            <w:shd w:val="clear" w:color="auto" w:fill="BF5B5A"/>
          </w:tcPr>
          <w:p>
            <w:pPr>
              <w:jc w:val="right"/>
              <w:ind w:right="164"/>
              <w:spacing w:after="0" w:line="122" w:lineRule="exact"/>
              <w:rPr>
                <w:sz w:val="20"/>
                <w:szCs w:val="20"/>
                <w:color w:val="auto"/>
              </w:rPr>
            </w:pPr>
            <w:r>
              <w:rPr>
                <w:rFonts w:ascii="Arial" w:cs="Arial" w:eastAsia="Arial" w:hAnsi="Arial"/>
                <w:sz w:val="11"/>
                <w:szCs w:val="11"/>
                <w:b w:val="1"/>
                <w:bCs w:val="1"/>
                <w:color w:val="FFFFFF"/>
              </w:rPr>
              <w:t>Risk</w:t>
            </w:r>
          </w:p>
        </w:tc>
        <w:tc>
          <w:tcPr>
            <w:tcW w:w="80" w:type="dxa"/>
            <w:vAlign w:val="bottom"/>
            <w:vMerge w:val="restart"/>
          </w:tcPr>
          <w:p>
            <w:pPr>
              <w:ind w:left="40"/>
              <w:spacing w:after="0"/>
              <w:rPr>
                <w:sz w:val="20"/>
                <w:szCs w:val="20"/>
                <w:color w:val="auto"/>
              </w:rPr>
            </w:pPr>
            <w:r>
              <w:rPr>
                <w:rFonts w:ascii="Arial" w:cs="Arial" w:eastAsia="Arial" w:hAnsi="Arial"/>
                <w:sz w:val="11"/>
                <w:szCs w:val="11"/>
                <w:b w:val="1"/>
                <w:bCs w:val="1"/>
                <w:color w:val="FFFFFF"/>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vMerge w:val="continue"/>
            <w:shd w:val="clear" w:color="auto" w:fill="BF5B5A"/>
          </w:tcPr>
          <w:p>
            <w:pPr>
              <w:spacing w:after="0"/>
              <w:rPr>
                <w:sz w:val="11"/>
                <w:szCs w:val="11"/>
                <w:color w:val="auto"/>
              </w:rPr>
            </w:pPr>
          </w:p>
        </w:tc>
        <w:tc>
          <w:tcPr>
            <w:tcW w:w="100" w:type="dxa"/>
            <w:vAlign w:val="bottom"/>
            <w:shd w:val="clear" w:color="auto" w:fill="BF5B5A"/>
          </w:tcPr>
          <w:p>
            <w:pPr>
              <w:spacing w:after="0"/>
              <w:rPr>
                <w:sz w:val="11"/>
                <w:szCs w:val="11"/>
                <w:color w:val="auto"/>
              </w:rPr>
            </w:pPr>
          </w:p>
        </w:tc>
        <w:tc>
          <w:tcPr>
            <w:tcW w:w="2280" w:type="dxa"/>
            <w:vAlign w:val="bottom"/>
            <w:shd w:val="clear" w:color="auto" w:fill="BF5B5A"/>
          </w:tcPr>
          <w:p>
            <w:pPr>
              <w:spacing w:after="0"/>
              <w:rPr>
                <w:sz w:val="11"/>
                <w:szCs w:val="11"/>
                <w:color w:val="auto"/>
              </w:rPr>
            </w:pPr>
          </w:p>
        </w:tc>
        <w:tc>
          <w:tcPr>
            <w:tcW w:w="740" w:type="dxa"/>
            <w:vAlign w:val="bottom"/>
            <w:shd w:val="clear" w:color="auto" w:fill="BF5B5A"/>
          </w:tcPr>
          <w:p>
            <w:pPr>
              <w:spacing w:after="0"/>
              <w:rPr>
                <w:sz w:val="11"/>
                <w:szCs w:val="11"/>
                <w:color w:val="auto"/>
              </w:rPr>
            </w:pPr>
          </w:p>
        </w:tc>
        <w:tc>
          <w:tcPr>
            <w:tcW w:w="300" w:type="dxa"/>
            <w:vAlign w:val="bottom"/>
            <w:vMerge w:val="continue"/>
            <w:shd w:val="clear" w:color="auto" w:fill="BF5B5A"/>
          </w:tcPr>
          <w:p>
            <w:pPr>
              <w:spacing w:after="0"/>
              <w:rPr>
                <w:sz w:val="11"/>
                <w:szCs w:val="11"/>
                <w:color w:val="auto"/>
              </w:rPr>
            </w:pPr>
          </w:p>
        </w:tc>
        <w:tc>
          <w:tcPr>
            <w:tcW w:w="400" w:type="dxa"/>
            <w:vAlign w:val="bottom"/>
            <w:shd w:val="clear" w:color="auto" w:fill="BF5B5A"/>
          </w:tcPr>
          <w:p>
            <w:pPr>
              <w:spacing w:after="0"/>
              <w:rPr>
                <w:sz w:val="11"/>
                <w:szCs w:val="11"/>
                <w:color w:val="auto"/>
              </w:rPr>
            </w:pPr>
          </w:p>
        </w:tc>
        <w:tc>
          <w:tcPr>
            <w:tcW w:w="200" w:type="dxa"/>
            <w:vAlign w:val="bottom"/>
            <w:vMerge w:val="continue"/>
            <w:shd w:val="clear" w:color="auto" w:fill="BF5B5A"/>
          </w:tcPr>
          <w:p>
            <w:pPr>
              <w:spacing w:after="0"/>
              <w:rPr>
                <w:sz w:val="11"/>
                <w:szCs w:val="11"/>
                <w:color w:val="auto"/>
              </w:rPr>
            </w:pPr>
          </w:p>
        </w:tc>
        <w:tc>
          <w:tcPr>
            <w:tcW w:w="520" w:type="dxa"/>
            <w:vAlign w:val="bottom"/>
            <w:shd w:val="clear" w:color="auto" w:fill="BF5B5A"/>
          </w:tcPr>
          <w:p>
            <w:pPr>
              <w:spacing w:after="0"/>
              <w:rPr>
                <w:sz w:val="11"/>
                <w:szCs w:val="11"/>
                <w:color w:val="auto"/>
              </w:rPr>
            </w:pPr>
          </w:p>
        </w:tc>
        <w:tc>
          <w:tcPr>
            <w:tcW w:w="180" w:type="dxa"/>
            <w:vAlign w:val="bottom"/>
            <w:vMerge w:val="continue"/>
            <w:shd w:val="clear" w:color="auto" w:fill="BF5B5A"/>
          </w:tcPr>
          <w:p>
            <w:pPr>
              <w:spacing w:after="0"/>
              <w:rPr>
                <w:sz w:val="11"/>
                <w:szCs w:val="11"/>
                <w:color w:val="auto"/>
              </w:rPr>
            </w:pPr>
          </w:p>
        </w:tc>
        <w:tc>
          <w:tcPr>
            <w:tcW w:w="620" w:type="dxa"/>
            <w:vAlign w:val="bottom"/>
            <w:shd w:val="clear" w:color="auto" w:fill="BF5B5A"/>
          </w:tcPr>
          <w:p>
            <w:pPr>
              <w:spacing w:after="0"/>
              <w:rPr>
                <w:sz w:val="11"/>
                <w:szCs w:val="11"/>
                <w:color w:val="auto"/>
              </w:rPr>
            </w:pPr>
          </w:p>
        </w:tc>
        <w:tc>
          <w:tcPr>
            <w:tcW w:w="180" w:type="dxa"/>
            <w:vAlign w:val="bottom"/>
            <w:gridSpan w:val="2"/>
            <w:vMerge w:val="continue"/>
            <w:shd w:val="clear" w:color="auto" w:fill="BF5B5A"/>
          </w:tcPr>
          <w:p>
            <w:pPr>
              <w:spacing w:after="0"/>
              <w:rPr>
                <w:sz w:val="11"/>
                <w:szCs w:val="11"/>
                <w:color w:val="auto"/>
              </w:rPr>
            </w:pPr>
          </w:p>
        </w:tc>
        <w:tc>
          <w:tcPr>
            <w:tcW w:w="500" w:type="dxa"/>
            <w:vAlign w:val="bottom"/>
            <w:shd w:val="clear" w:color="auto" w:fill="BF5B5A"/>
          </w:tcPr>
          <w:p>
            <w:pPr>
              <w:spacing w:after="0"/>
              <w:rPr>
                <w:sz w:val="11"/>
                <w:szCs w:val="11"/>
                <w:color w:val="auto"/>
              </w:rPr>
            </w:pPr>
          </w:p>
        </w:tc>
        <w:tc>
          <w:tcPr>
            <w:tcW w:w="180" w:type="dxa"/>
            <w:vAlign w:val="bottom"/>
            <w:gridSpan w:val="2"/>
            <w:vMerge w:val="continue"/>
            <w:shd w:val="clear" w:color="auto" w:fill="BF5B5A"/>
          </w:tcPr>
          <w:p>
            <w:pPr>
              <w:spacing w:after="0"/>
              <w:rPr>
                <w:sz w:val="11"/>
                <w:szCs w:val="11"/>
                <w:color w:val="auto"/>
              </w:rPr>
            </w:pPr>
          </w:p>
        </w:tc>
        <w:tc>
          <w:tcPr>
            <w:tcW w:w="940" w:type="dxa"/>
            <w:vAlign w:val="bottom"/>
            <w:tcBorders>
              <w:right w:val="single" w:sz="8" w:color="BF5B5A"/>
            </w:tcBorders>
            <w:shd w:val="clear" w:color="auto" w:fill="BF5B5A"/>
          </w:tcPr>
          <w:p>
            <w:pPr>
              <w:spacing w:after="0"/>
              <w:rPr>
                <w:sz w:val="11"/>
                <w:szCs w:val="11"/>
                <w:color w:val="auto"/>
              </w:rPr>
            </w:pPr>
          </w:p>
        </w:tc>
        <w:tc>
          <w:tcPr>
            <w:tcW w:w="260" w:type="dxa"/>
            <w:vAlign w:val="bottom"/>
            <w:shd w:val="clear" w:color="auto" w:fill="BF5B5A"/>
          </w:tcPr>
          <w:p>
            <w:pPr>
              <w:spacing w:after="0"/>
              <w:rPr>
                <w:sz w:val="20"/>
                <w:szCs w:val="20"/>
                <w:color w:val="auto"/>
              </w:rPr>
            </w:pPr>
            <w:r>
              <w:rPr>
                <w:rFonts w:ascii="Arial" w:cs="Arial" w:eastAsia="Arial" w:hAnsi="Arial"/>
                <w:sz w:val="11"/>
                <w:szCs w:val="11"/>
                <w:b w:val="1"/>
                <w:bCs w:val="1"/>
                <w:color w:val="FFFFFF"/>
              </w:rPr>
              <w:t>​​</w:t>
            </w:r>
          </w:p>
        </w:tc>
        <w:tc>
          <w:tcPr>
            <w:tcW w:w="520" w:type="dxa"/>
            <w:vAlign w:val="bottom"/>
            <w:shd w:val="clear" w:color="auto" w:fill="BF5B5A"/>
          </w:tcPr>
          <w:p>
            <w:pPr>
              <w:spacing w:after="0"/>
              <w:rPr>
                <w:sz w:val="11"/>
                <w:szCs w:val="11"/>
                <w:color w:val="auto"/>
              </w:rPr>
            </w:pPr>
          </w:p>
        </w:tc>
        <w:tc>
          <w:tcPr>
            <w:tcW w:w="120" w:type="dxa"/>
            <w:vAlign w:val="bottom"/>
            <w:gridSpan w:val="2"/>
            <w:vMerge w:val="continue"/>
            <w:shd w:val="clear" w:color="auto" w:fill="BF5B5A"/>
          </w:tcPr>
          <w:p>
            <w:pPr>
              <w:spacing w:after="0"/>
              <w:rPr>
                <w:sz w:val="11"/>
                <w:szCs w:val="11"/>
                <w:color w:val="auto"/>
              </w:rPr>
            </w:pPr>
          </w:p>
        </w:tc>
        <w:tc>
          <w:tcPr>
            <w:tcW w:w="860" w:type="dxa"/>
            <w:vAlign w:val="bottom"/>
            <w:tcBorders>
              <w:right w:val="single" w:sz="8" w:color="BF5B5A"/>
            </w:tcBorders>
            <w:shd w:val="clear" w:color="auto" w:fill="BF5B5A"/>
          </w:tcPr>
          <w:p>
            <w:pPr>
              <w:spacing w:after="0"/>
              <w:rPr>
                <w:sz w:val="11"/>
                <w:szCs w:val="11"/>
                <w:color w:val="auto"/>
              </w:rPr>
            </w:pPr>
          </w:p>
        </w:tc>
        <w:tc>
          <w:tcPr>
            <w:tcW w:w="140" w:type="dxa"/>
            <w:vAlign w:val="bottom"/>
            <w:vMerge w:val="continue"/>
            <w:shd w:val="clear" w:color="auto" w:fill="BF5B5A"/>
          </w:tcPr>
          <w:p>
            <w:pPr>
              <w:spacing w:after="0"/>
              <w:rPr>
                <w:sz w:val="11"/>
                <w:szCs w:val="11"/>
                <w:color w:val="auto"/>
              </w:rPr>
            </w:pPr>
          </w:p>
        </w:tc>
        <w:tc>
          <w:tcPr>
            <w:tcW w:w="560" w:type="dxa"/>
            <w:vAlign w:val="bottom"/>
            <w:shd w:val="clear" w:color="auto" w:fill="BF5B5A"/>
          </w:tcPr>
          <w:p>
            <w:pPr>
              <w:spacing w:after="0"/>
              <w:rPr>
                <w:sz w:val="11"/>
                <w:szCs w:val="11"/>
                <w:color w:val="auto"/>
              </w:rPr>
            </w:pPr>
          </w:p>
        </w:tc>
        <w:tc>
          <w:tcPr>
            <w:tcW w:w="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w w:val="97"/>
              </w:rPr>
              <w:t>Robert S. Harrison</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940" w:type="dxa"/>
            <w:vAlign w:val="bottom"/>
            <w:tcBorders>
              <w:right w:val="single" w:sz="8" w:color="F2F2F2"/>
            </w:tcBorders>
            <w:shd w:val="clear" w:color="auto" w:fill="F2F2F2"/>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860" w:type="dxa"/>
            <w:vAlign w:val="bottom"/>
            <w:tcBorders>
              <w:right w:val="single" w:sz="8" w:color="F2F2F2"/>
            </w:tcBorders>
            <w:shd w:val="clear" w:color="auto" w:fill="F2F2F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Chairman of the Board,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shd w:val="clear" w:color="auto" w:fill="F2F2F2"/>
          </w:tcPr>
          <w:p>
            <w:pPr>
              <w:spacing w:after="0"/>
              <w:rPr>
                <w:sz w:val="14"/>
                <w:szCs w:val="14"/>
                <w:color w:val="auto"/>
              </w:rPr>
            </w:pPr>
          </w:p>
        </w:tc>
        <w:tc>
          <w:tcPr>
            <w:tcW w:w="940" w:type="dxa"/>
            <w:vAlign w:val="bottom"/>
            <w:tcBorders>
              <w:right w:val="single" w:sz="8" w:color="F2F2F2"/>
            </w:tcBorders>
            <w:shd w:val="clear" w:color="auto" w:fill="F2F2F2"/>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shd w:val="clear" w:color="auto" w:fill="F2F2F2"/>
          </w:tcPr>
          <w:p>
            <w:pPr>
              <w:spacing w:after="0"/>
              <w:rPr>
                <w:sz w:val="14"/>
                <w:szCs w:val="14"/>
                <w:color w:val="auto"/>
              </w:rPr>
            </w:pPr>
          </w:p>
        </w:tc>
        <w:tc>
          <w:tcPr>
            <w:tcW w:w="860" w:type="dxa"/>
            <w:vAlign w:val="bottom"/>
            <w:tcBorders>
              <w:right w:val="single" w:sz="8" w:color="F2F2F2"/>
            </w:tcBorders>
            <w:shd w:val="clear" w:color="auto" w:fill="F2F2F2"/>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President and Chief</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30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shd w:val="clear" w:color="auto" w:fill="F2F2F2"/>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6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shd w:val="clear" w:color="auto" w:fill="F2F2F2"/>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Executive Officer, First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shd w:val="clear" w:color="auto" w:fill="F2F2F2"/>
          </w:tcPr>
          <w:p>
            <w:pPr>
              <w:spacing w:after="0"/>
              <w:rPr>
                <w:sz w:val="18"/>
                <w:szCs w:val="18"/>
                <w:color w:val="auto"/>
              </w:rPr>
            </w:pPr>
          </w:p>
        </w:tc>
        <w:tc>
          <w:tcPr>
            <w:tcW w:w="940" w:type="dxa"/>
            <w:vAlign w:val="bottom"/>
            <w:tcBorders>
              <w:right w:val="single" w:sz="8" w:color="F2F2F2"/>
            </w:tcBorders>
            <w:shd w:val="clear" w:color="auto" w:fill="F2F2F2"/>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shd w:val="clear" w:color="auto" w:fill="F2F2F2"/>
          </w:tcPr>
          <w:p>
            <w:pPr>
              <w:spacing w:after="0"/>
              <w:rPr>
                <w:sz w:val="18"/>
                <w:szCs w:val="18"/>
                <w:color w:val="auto"/>
              </w:rPr>
            </w:pPr>
          </w:p>
        </w:tc>
        <w:tc>
          <w:tcPr>
            <w:tcW w:w="860" w:type="dxa"/>
            <w:vAlign w:val="bottom"/>
            <w:tcBorders>
              <w:right w:val="single" w:sz="8" w:color="F2F2F2"/>
            </w:tcBorders>
            <w:shd w:val="clear" w:color="auto" w:fill="F2F2F2"/>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7F7F7F"/>
            </w:tcBorders>
          </w:tcPr>
          <w:p>
            <w:pPr>
              <w:spacing w:after="0"/>
              <w:rPr>
                <w:sz w:val="18"/>
                <w:szCs w:val="18"/>
                <w:color w:val="auto"/>
              </w:rPr>
            </w:pPr>
          </w:p>
        </w:tc>
        <w:tc>
          <w:tcPr>
            <w:tcW w:w="100" w:type="dxa"/>
            <w:vAlign w:val="bottom"/>
            <w:tcBorders>
              <w:bottom w:val="single" w:sz="8" w:color="7F7F7F"/>
            </w:tcBorders>
          </w:tcPr>
          <w:p>
            <w:pPr>
              <w:spacing w:after="0"/>
              <w:rPr>
                <w:sz w:val="18"/>
                <w:szCs w:val="18"/>
                <w:color w:val="auto"/>
              </w:rPr>
            </w:pPr>
          </w:p>
        </w:tc>
        <w:tc>
          <w:tcPr>
            <w:tcW w:w="228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Hawaiian</w:t>
            </w:r>
          </w:p>
        </w:tc>
        <w:tc>
          <w:tcPr>
            <w:tcW w:w="740" w:type="dxa"/>
            <w:vAlign w:val="bottom"/>
            <w:tcBorders>
              <w:bottom w:val="single" w:sz="8" w:color="7F7F7F"/>
            </w:tcBorders>
          </w:tcPr>
          <w:p>
            <w:pPr>
              <w:spacing w:after="0"/>
              <w:rPr>
                <w:sz w:val="18"/>
                <w:szCs w:val="18"/>
                <w:color w:val="auto"/>
              </w:rPr>
            </w:pPr>
          </w:p>
        </w:tc>
        <w:tc>
          <w:tcPr>
            <w:tcW w:w="300" w:type="dxa"/>
            <w:vAlign w:val="bottom"/>
            <w:tcBorders>
              <w:bottom w:val="single" w:sz="8" w:color="7F7F7F"/>
            </w:tcBorders>
          </w:tcPr>
          <w:p>
            <w:pPr>
              <w:spacing w:after="0"/>
              <w:rPr>
                <w:sz w:val="18"/>
                <w:szCs w:val="18"/>
                <w:color w:val="auto"/>
              </w:rPr>
            </w:pPr>
          </w:p>
        </w:tc>
        <w:tc>
          <w:tcPr>
            <w:tcW w:w="400" w:type="dxa"/>
            <w:vAlign w:val="bottom"/>
            <w:tcBorders>
              <w:bottom w:val="single" w:sz="8" w:color="7F7F7F"/>
            </w:tcBorders>
          </w:tcPr>
          <w:p>
            <w:pPr>
              <w:spacing w:after="0"/>
              <w:rPr>
                <w:sz w:val="18"/>
                <w:szCs w:val="18"/>
                <w:color w:val="auto"/>
              </w:rPr>
            </w:pPr>
          </w:p>
        </w:tc>
        <w:tc>
          <w:tcPr>
            <w:tcW w:w="20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18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50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shd w:val="clear" w:color="auto" w:fill="F2F2F2"/>
          </w:tcPr>
          <w:p>
            <w:pPr>
              <w:spacing w:after="0"/>
              <w:rPr>
                <w:sz w:val="18"/>
                <w:szCs w:val="18"/>
                <w:color w:val="auto"/>
              </w:rPr>
            </w:pPr>
          </w:p>
        </w:tc>
        <w:tc>
          <w:tcPr>
            <w:tcW w:w="940" w:type="dxa"/>
            <w:vAlign w:val="bottom"/>
            <w:tcBorders>
              <w:bottom w:val="single" w:sz="8" w:color="7F7F7F"/>
              <w:right w:val="single" w:sz="8" w:color="F2F2F2"/>
            </w:tcBorders>
            <w:shd w:val="clear" w:color="auto" w:fill="F2F2F2"/>
          </w:tcPr>
          <w:p>
            <w:pPr>
              <w:spacing w:after="0"/>
              <w:rPr>
                <w:sz w:val="18"/>
                <w:szCs w:val="18"/>
                <w:color w:val="auto"/>
              </w:rPr>
            </w:pP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shd w:val="clear" w:color="auto" w:fill="F2F2F2"/>
          </w:tcPr>
          <w:p>
            <w:pPr>
              <w:spacing w:after="0"/>
              <w:rPr>
                <w:sz w:val="18"/>
                <w:szCs w:val="18"/>
                <w:color w:val="auto"/>
              </w:rPr>
            </w:pPr>
          </w:p>
        </w:tc>
        <w:tc>
          <w:tcPr>
            <w:tcW w:w="860" w:type="dxa"/>
            <w:vAlign w:val="bottom"/>
            <w:tcBorders>
              <w:bottom w:val="single" w:sz="8" w:color="7F7F7F"/>
              <w:right w:val="single" w:sz="8" w:color="F2F2F2"/>
            </w:tcBorders>
            <w:shd w:val="clear" w:color="auto" w:fill="F2F2F2"/>
          </w:tcPr>
          <w:p>
            <w:pPr>
              <w:spacing w:after="0"/>
              <w:rPr>
                <w:sz w:val="18"/>
                <w:szCs w:val="18"/>
                <w:color w:val="auto"/>
              </w:rPr>
            </w:pPr>
          </w:p>
        </w:tc>
        <w:tc>
          <w:tcPr>
            <w:tcW w:w="14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b w:val="1"/>
                <w:bCs w:val="1"/>
                <w:color w:val="auto"/>
              </w:rPr>
              <w:t>Michael K. Fujimoto</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Retired Chairman Emeritus,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Hawaii Planing Mill, Ltd. dba</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64"/>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100" w:type="dxa"/>
            <w:vAlign w:val="bottom"/>
            <w:tcBorders>
              <w:bottom w:val="single" w:sz="8" w:color="7F7F7F"/>
            </w:tcBorders>
          </w:tcPr>
          <w:p>
            <w:pPr>
              <w:spacing w:after="0"/>
              <w:rPr>
                <w:sz w:val="19"/>
                <w:szCs w:val="19"/>
                <w:color w:val="auto"/>
              </w:rPr>
            </w:pPr>
          </w:p>
        </w:tc>
        <w:tc>
          <w:tcPr>
            <w:tcW w:w="3020" w:type="dxa"/>
            <w:vAlign w:val="bottom"/>
            <w:tcBorders>
              <w:bottom w:val="single" w:sz="8" w:color="7F7F7F"/>
            </w:tcBorders>
            <w:gridSpan w:val="2"/>
          </w:tcPr>
          <w:p>
            <w:pPr>
              <w:ind w:left="880"/>
              <w:spacing w:after="0"/>
              <w:rPr>
                <w:sz w:val="20"/>
                <w:szCs w:val="20"/>
                <w:color w:val="auto"/>
              </w:rPr>
            </w:pPr>
            <w:r>
              <w:rPr>
                <w:rFonts w:ascii="Arial" w:cs="Arial" w:eastAsia="Arial" w:hAnsi="Arial"/>
                <w:sz w:val="16"/>
                <w:szCs w:val="16"/>
                <w:color w:val="auto"/>
              </w:rPr>
              <w:t>HPM Building Supply</w:t>
            </w:r>
          </w:p>
        </w:tc>
        <w:tc>
          <w:tcPr>
            <w:tcW w:w="300" w:type="dxa"/>
            <w:vAlign w:val="bottom"/>
            <w:tcBorders>
              <w:bottom w:val="single" w:sz="8" w:color="7F7F7F"/>
            </w:tcBorders>
          </w:tcPr>
          <w:p>
            <w:pPr>
              <w:spacing w:after="0"/>
              <w:rPr>
                <w:sz w:val="19"/>
                <w:szCs w:val="19"/>
                <w:color w:val="auto"/>
              </w:rPr>
            </w:pPr>
          </w:p>
        </w:tc>
        <w:tc>
          <w:tcPr>
            <w:tcW w:w="40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18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50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Borders>
              <w:bottom w:val="single" w:sz="8" w:color="7F7F7F"/>
            </w:tcBorders>
          </w:tcPr>
          <w:p>
            <w:pPr>
              <w:spacing w:after="0"/>
              <w:rPr>
                <w:sz w:val="19"/>
                <w:szCs w:val="19"/>
                <w:color w:val="auto"/>
              </w:rPr>
            </w:pPr>
          </w:p>
        </w:tc>
        <w:tc>
          <w:tcPr>
            <w:tcW w:w="56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rPr>
              <w:t>Faye W. Kurren</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Retired President and Chief</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F2F2F2"/>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right w:val="single" w:sz="8" w:color="F2F2F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Executive Officer, Hawaii</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73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64"/>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100" w:type="dxa"/>
            <w:vAlign w:val="bottom"/>
            <w:tcBorders>
              <w:bottom w:val="single" w:sz="8" w:color="7F7F7F"/>
            </w:tcBorders>
          </w:tcPr>
          <w:p>
            <w:pPr>
              <w:spacing w:after="0"/>
              <w:rPr>
                <w:sz w:val="19"/>
                <w:szCs w:val="19"/>
                <w:color w:val="auto"/>
              </w:rPr>
            </w:pPr>
          </w:p>
        </w:tc>
        <w:tc>
          <w:tcPr>
            <w:tcW w:w="228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Dental Service</w:t>
            </w:r>
          </w:p>
        </w:tc>
        <w:tc>
          <w:tcPr>
            <w:tcW w:w="740" w:type="dxa"/>
            <w:vAlign w:val="bottom"/>
            <w:tcBorders>
              <w:bottom w:val="single" w:sz="8" w:color="7F7F7F"/>
            </w:tcBorders>
          </w:tcPr>
          <w:p>
            <w:pPr>
              <w:spacing w:after="0"/>
              <w:rPr>
                <w:sz w:val="19"/>
                <w:szCs w:val="19"/>
                <w:color w:val="auto"/>
              </w:rPr>
            </w:pPr>
          </w:p>
        </w:tc>
        <w:tc>
          <w:tcPr>
            <w:tcW w:w="300" w:type="dxa"/>
            <w:vAlign w:val="bottom"/>
            <w:tcBorders>
              <w:bottom w:val="single" w:sz="8" w:color="7F7F7F"/>
            </w:tcBorders>
          </w:tcPr>
          <w:p>
            <w:pPr>
              <w:spacing w:after="0"/>
              <w:rPr>
                <w:sz w:val="19"/>
                <w:szCs w:val="19"/>
                <w:color w:val="auto"/>
              </w:rPr>
            </w:pPr>
          </w:p>
        </w:tc>
        <w:tc>
          <w:tcPr>
            <w:tcW w:w="40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18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50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right w:val="single" w:sz="8" w:color="F2F2F2"/>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right w:val="single" w:sz="8" w:color="F2F2F2"/>
            </w:tcBorders>
          </w:tcPr>
          <w:p>
            <w:pPr>
              <w:spacing w:after="0"/>
              <w:rPr>
                <w:sz w:val="19"/>
                <w:szCs w:val="19"/>
                <w:color w:val="auto"/>
              </w:rPr>
            </w:pPr>
          </w:p>
        </w:tc>
        <w:tc>
          <w:tcPr>
            <w:tcW w:w="140" w:type="dxa"/>
            <w:vAlign w:val="bottom"/>
            <w:tcBorders>
              <w:bottom w:val="single" w:sz="8" w:color="7F7F7F"/>
            </w:tcBorders>
          </w:tcPr>
          <w:p>
            <w:pPr>
              <w:spacing w:after="0"/>
              <w:rPr>
                <w:sz w:val="19"/>
                <w:szCs w:val="19"/>
                <w:color w:val="auto"/>
              </w:rPr>
            </w:pPr>
          </w:p>
        </w:tc>
        <w:tc>
          <w:tcPr>
            <w:tcW w:w="56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rPr>
              <w:t>James S. Moffatt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Retired Vice Chairman and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F2F2F2"/>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right w:val="single" w:sz="8" w:color="F2F2F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Global CEO, Deloitte</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spacing w:after="0"/>
              <w:rPr>
                <w:sz w:val="23"/>
                <w:szCs w:val="23"/>
                <w:color w:val="auto"/>
              </w:rPr>
            </w:pP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100" w:type="dxa"/>
            <w:vAlign w:val="bottom"/>
            <w:tcBorders>
              <w:bottom w:val="single" w:sz="8" w:color="7F7F7F"/>
            </w:tcBorders>
          </w:tcPr>
          <w:p>
            <w:pPr>
              <w:spacing w:after="0"/>
              <w:rPr>
                <w:sz w:val="19"/>
                <w:szCs w:val="19"/>
                <w:color w:val="auto"/>
              </w:rPr>
            </w:pPr>
          </w:p>
        </w:tc>
        <w:tc>
          <w:tcPr>
            <w:tcW w:w="228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Consulting</w:t>
            </w:r>
          </w:p>
        </w:tc>
        <w:tc>
          <w:tcPr>
            <w:tcW w:w="740" w:type="dxa"/>
            <w:vAlign w:val="bottom"/>
            <w:tcBorders>
              <w:bottom w:val="single" w:sz="8" w:color="7F7F7F"/>
            </w:tcBorders>
          </w:tcPr>
          <w:p>
            <w:pPr>
              <w:spacing w:after="0"/>
              <w:rPr>
                <w:sz w:val="19"/>
                <w:szCs w:val="19"/>
                <w:color w:val="auto"/>
              </w:rPr>
            </w:pPr>
          </w:p>
        </w:tc>
        <w:tc>
          <w:tcPr>
            <w:tcW w:w="300" w:type="dxa"/>
            <w:vAlign w:val="bottom"/>
            <w:tcBorders>
              <w:bottom w:val="single" w:sz="8" w:color="7F7F7F"/>
            </w:tcBorders>
          </w:tcPr>
          <w:p>
            <w:pPr>
              <w:spacing w:after="0"/>
              <w:rPr>
                <w:sz w:val="19"/>
                <w:szCs w:val="19"/>
                <w:color w:val="auto"/>
              </w:rPr>
            </w:pPr>
          </w:p>
        </w:tc>
        <w:tc>
          <w:tcPr>
            <w:tcW w:w="40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18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50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right w:val="single" w:sz="8" w:color="F2F2F2"/>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right w:val="single" w:sz="8" w:color="F2F2F2"/>
            </w:tcBorders>
          </w:tcPr>
          <w:p>
            <w:pPr>
              <w:spacing w:after="0"/>
              <w:rPr>
                <w:sz w:val="19"/>
                <w:szCs w:val="19"/>
                <w:color w:val="auto"/>
              </w:rPr>
            </w:pPr>
          </w:p>
        </w:tc>
        <w:tc>
          <w:tcPr>
            <w:tcW w:w="140" w:type="dxa"/>
            <w:vAlign w:val="bottom"/>
            <w:tcBorders>
              <w:bottom w:val="single" w:sz="8" w:color="7F7F7F"/>
            </w:tcBorders>
          </w:tcPr>
          <w:p>
            <w:pPr>
              <w:spacing w:after="0"/>
              <w:rPr>
                <w:sz w:val="19"/>
                <w:szCs w:val="19"/>
                <w:color w:val="auto"/>
              </w:rPr>
            </w:pPr>
          </w:p>
        </w:tc>
        <w:tc>
          <w:tcPr>
            <w:tcW w:w="56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rPr>
              <w:t>Mark M. Mugiishi</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President and Chief</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F2F2F2"/>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right w:val="single" w:sz="8" w:color="F2F2F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Executive Officer, Hawaii</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100" w:type="dxa"/>
            <w:vAlign w:val="bottom"/>
            <w:tcBorders>
              <w:bottom w:val="single" w:sz="8" w:color="7F7F7F"/>
            </w:tcBorders>
          </w:tcPr>
          <w:p>
            <w:pPr>
              <w:spacing w:after="0"/>
              <w:rPr>
                <w:sz w:val="19"/>
                <w:szCs w:val="19"/>
                <w:color w:val="auto"/>
              </w:rPr>
            </w:pPr>
          </w:p>
        </w:tc>
        <w:tc>
          <w:tcPr>
            <w:tcW w:w="3020" w:type="dxa"/>
            <w:vAlign w:val="bottom"/>
            <w:tcBorders>
              <w:bottom w:val="single" w:sz="8" w:color="7F7F7F"/>
            </w:tcBorders>
            <w:gridSpan w:val="2"/>
          </w:tcPr>
          <w:p>
            <w:pPr>
              <w:ind w:left="880"/>
              <w:spacing w:after="0"/>
              <w:rPr>
                <w:sz w:val="20"/>
                <w:szCs w:val="20"/>
                <w:color w:val="auto"/>
              </w:rPr>
            </w:pPr>
            <w:r>
              <w:rPr>
                <w:rFonts w:ascii="Arial" w:cs="Arial" w:eastAsia="Arial" w:hAnsi="Arial"/>
                <w:sz w:val="16"/>
                <w:szCs w:val="16"/>
                <w:color w:val="auto"/>
              </w:rPr>
              <w:t>Medical Service Association</w:t>
            </w:r>
          </w:p>
        </w:tc>
        <w:tc>
          <w:tcPr>
            <w:tcW w:w="300" w:type="dxa"/>
            <w:vAlign w:val="bottom"/>
            <w:tcBorders>
              <w:bottom w:val="single" w:sz="8" w:color="7F7F7F"/>
            </w:tcBorders>
          </w:tcPr>
          <w:p>
            <w:pPr>
              <w:spacing w:after="0"/>
              <w:rPr>
                <w:sz w:val="19"/>
                <w:szCs w:val="19"/>
                <w:color w:val="auto"/>
              </w:rPr>
            </w:pPr>
          </w:p>
        </w:tc>
        <w:tc>
          <w:tcPr>
            <w:tcW w:w="40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18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50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right w:val="single" w:sz="8" w:color="F2F2F2"/>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right w:val="single" w:sz="8" w:color="F2F2F2"/>
            </w:tcBorders>
          </w:tcPr>
          <w:p>
            <w:pPr>
              <w:spacing w:after="0"/>
              <w:rPr>
                <w:sz w:val="19"/>
                <w:szCs w:val="19"/>
                <w:color w:val="auto"/>
              </w:rPr>
            </w:pPr>
          </w:p>
        </w:tc>
        <w:tc>
          <w:tcPr>
            <w:tcW w:w="140" w:type="dxa"/>
            <w:vAlign w:val="bottom"/>
            <w:tcBorders>
              <w:bottom w:val="single" w:sz="8" w:color="7F7F7F"/>
            </w:tcBorders>
          </w:tcPr>
          <w:p>
            <w:pPr>
              <w:spacing w:after="0"/>
              <w:rPr>
                <w:sz w:val="19"/>
                <w:szCs w:val="19"/>
                <w:color w:val="auto"/>
              </w:rPr>
            </w:pPr>
          </w:p>
        </w:tc>
        <w:tc>
          <w:tcPr>
            <w:tcW w:w="56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b w:val="1"/>
                <w:bCs w:val="1"/>
                <w:color w:val="auto"/>
              </w:rPr>
              <w:t>Kelly A. Thompson</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Retired Senior Vice</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right w:val="single" w:sz="8" w:color="F2F2F2"/>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rPr>
                <w:sz w:val="20"/>
                <w:szCs w:val="20"/>
                <w:color w:val="auto"/>
              </w:rPr>
            </w:pPr>
            <w:r>
              <w:rPr>
                <w:rFonts w:ascii="Arial" w:cs="Arial" w:eastAsia="Arial" w:hAnsi="Arial"/>
                <w:sz w:val="16"/>
                <w:szCs w:val="16"/>
                <w:color w:val="auto"/>
              </w:rPr>
              <w:t>​​President, Chief Operating</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Officer, Samsclub.com, a</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7F7F7F"/>
            </w:tcBorders>
          </w:tcPr>
          <w:p>
            <w:pPr>
              <w:spacing w:after="0"/>
              <w:rPr>
                <w:sz w:val="18"/>
                <w:szCs w:val="18"/>
                <w:color w:val="auto"/>
              </w:rPr>
            </w:pPr>
          </w:p>
        </w:tc>
        <w:tc>
          <w:tcPr>
            <w:tcW w:w="100" w:type="dxa"/>
            <w:vAlign w:val="bottom"/>
            <w:tcBorders>
              <w:bottom w:val="single" w:sz="8" w:color="7F7F7F"/>
            </w:tcBorders>
          </w:tcPr>
          <w:p>
            <w:pPr>
              <w:spacing w:after="0"/>
              <w:rPr>
                <w:sz w:val="18"/>
                <w:szCs w:val="18"/>
                <w:color w:val="auto"/>
              </w:rPr>
            </w:pPr>
          </w:p>
        </w:tc>
        <w:tc>
          <w:tcPr>
            <w:tcW w:w="3020" w:type="dxa"/>
            <w:vAlign w:val="bottom"/>
            <w:tcBorders>
              <w:bottom w:val="single" w:sz="8" w:color="7F7F7F"/>
            </w:tcBorders>
            <w:gridSpan w:val="2"/>
          </w:tcPr>
          <w:p>
            <w:pPr>
              <w:ind w:left="880"/>
              <w:spacing w:after="0"/>
              <w:rPr>
                <w:sz w:val="20"/>
                <w:szCs w:val="20"/>
                <w:color w:val="auto"/>
              </w:rPr>
            </w:pPr>
            <w:r>
              <w:rPr>
                <w:rFonts w:ascii="Arial" w:cs="Arial" w:eastAsia="Arial" w:hAnsi="Arial"/>
                <w:sz w:val="16"/>
                <w:szCs w:val="16"/>
                <w:color w:val="auto"/>
              </w:rPr>
              <w:t>Walmart, Inc. subsidiary</w:t>
            </w:r>
          </w:p>
        </w:tc>
        <w:tc>
          <w:tcPr>
            <w:tcW w:w="300" w:type="dxa"/>
            <w:vAlign w:val="bottom"/>
            <w:tcBorders>
              <w:bottom w:val="single" w:sz="8" w:color="7F7F7F"/>
            </w:tcBorders>
          </w:tcPr>
          <w:p>
            <w:pPr>
              <w:spacing w:after="0"/>
              <w:rPr>
                <w:sz w:val="18"/>
                <w:szCs w:val="18"/>
                <w:color w:val="auto"/>
              </w:rPr>
            </w:pPr>
          </w:p>
        </w:tc>
        <w:tc>
          <w:tcPr>
            <w:tcW w:w="400" w:type="dxa"/>
            <w:vAlign w:val="bottom"/>
            <w:tcBorders>
              <w:bottom w:val="single" w:sz="8" w:color="7F7F7F"/>
            </w:tcBorders>
          </w:tcPr>
          <w:p>
            <w:pPr>
              <w:spacing w:after="0"/>
              <w:rPr>
                <w:sz w:val="18"/>
                <w:szCs w:val="18"/>
                <w:color w:val="auto"/>
              </w:rPr>
            </w:pPr>
          </w:p>
        </w:tc>
        <w:tc>
          <w:tcPr>
            <w:tcW w:w="20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18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50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right w:val="single" w:sz="8" w:color="F2F2F2"/>
            </w:tcBorders>
          </w:tcPr>
          <w:p>
            <w:pPr>
              <w:spacing w:after="0"/>
              <w:rPr>
                <w:sz w:val="18"/>
                <w:szCs w:val="18"/>
                <w:color w:val="auto"/>
              </w:rPr>
            </w:pP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right w:val="single" w:sz="8" w:color="F2F2F2"/>
            </w:tcBorders>
          </w:tcPr>
          <w:p>
            <w:pPr>
              <w:spacing w:after="0"/>
              <w:rPr>
                <w:sz w:val="18"/>
                <w:szCs w:val="18"/>
                <w:color w:val="auto"/>
              </w:rPr>
            </w:pPr>
          </w:p>
        </w:tc>
        <w:tc>
          <w:tcPr>
            <w:tcW w:w="14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rPr>
              <w:t>Allen B. Uyeda</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ind w:left="880"/>
              <w:spacing w:after="0" w:line="163" w:lineRule="exact"/>
              <w:rPr>
                <w:sz w:val="20"/>
                <w:szCs w:val="20"/>
                <w:color w:val="auto"/>
              </w:rPr>
            </w:pPr>
            <w:r>
              <w:rPr>
                <w:rFonts w:ascii="Arial" w:cs="Arial" w:eastAsia="Arial" w:hAnsi="Arial"/>
                <w:sz w:val="16"/>
                <w:szCs w:val="16"/>
                <w:color w:val="auto"/>
              </w:rPr>
              <w:t>Retired Chief Executive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F2F2F2"/>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right w:val="single" w:sz="8" w:color="F2F2F2"/>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Officer, First Insurance</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spacing w:after="0"/>
              <w:rPr>
                <w:sz w:val="23"/>
                <w:szCs w:val="23"/>
                <w:color w:val="auto"/>
              </w:rPr>
            </w:pP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0" w:type="dxa"/>
            <w:vAlign w:val="bottom"/>
            <w:tcBorders>
              <w:bottom w:val="single" w:sz="8" w:color="7F7F7F"/>
            </w:tcBorders>
          </w:tcPr>
          <w:p>
            <w:pPr>
              <w:spacing w:after="0"/>
              <w:rPr>
                <w:sz w:val="19"/>
                <w:szCs w:val="19"/>
                <w:color w:val="auto"/>
              </w:rPr>
            </w:pPr>
          </w:p>
        </w:tc>
        <w:tc>
          <w:tcPr>
            <w:tcW w:w="100" w:type="dxa"/>
            <w:vAlign w:val="bottom"/>
            <w:tcBorders>
              <w:bottom w:val="single" w:sz="8" w:color="7F7F7F"/>
            </w:tcBorders>
          </w:tcPr>
          <w:p>
            <w:pPr>
              <w:spacing w:after="0"/>
              <w:rPr>
                <w:sz w:val="19"/>
                <w:szCs w:val="19"/>
                <w:color w:val="auto"/>
              </w:rPr>
            </w:pPr>
          </w:p>
        </w:tc>
        <w:tc>
          <w:tcPr>
            <w:tcW w:w="3020" w:type="dxa"/>
            <w:vAlign w:val="bottom"/>
            <w:tcBorders>
              <w:bottom w:val="single" w:sz="8" w:color="7F7F7F"/>
            </w:tcBorders>
            <w:gridSpan w:val="2"/>
          </w:tcPr>
          <w:p>
            <w:pPr>
              <w:ind w:left="880"/>
              <w:spacing w:after="0"/>
              <w:rPr>
                <w:sz w:val="20"/>
                <w:szCs w:val="20"/>
                <w:color w:val="auto"/>
              </w:rPr>
            </w:pPr>
            <w:r>
              <w:rPr>
                <w:rFonts w:ascii="Arial" w:cs="Arial" w:eastAsia="Arial" w:hAnsi="Arial"/>
                <w:sz w:val="16"/>
                <w:szCs w:val="16"/>
                <w:color w:val="auto"/>
              </w:rPr>
              <w:t>Company of Hawaii, Ltd.</w:t>
            </w:r>
          </w:p>
        </w:tc>
        <w:tc>
          <w:tcPr>
            <w:tcW w:w="300" w:type="dxa"/>
            <w:vAlign w:val="bottom"/>
            <w:tcBorders>
              <w:bottom w:val="single" w:sz="8" w:color="7F7F7F"/>
            </w:tcBorders>
          </w:tcPr>
          <w:p>
            <w:pPr>
              <w:spacing w:after="0"/>
              <w:rPr>
                <w:sz w:val="19"/>
                <w:szCs w:val="19"/>
                <w:color w:val="auto"/>
              </w:rPr>
            </w:pPr>
          </w:p>
        </w:tc>
        <w:tc>
          <w:tcPr>
            <w:tcW w:w="400" w:type="dxa"/>
            <w:vAlign w:val="bottom"/>
            <w:tcBorders>
              <w:bottom w:val="single" w:sz="8" w:color="7F7F7F"/>
            </w:tcBorders>
          </w:tcPr>
          <w:p>
            <w:pPr>
              <w:spacing w:after="0"/>
              <w:rPr>
                <w:sz w:val="19"/>
                <w:szCs w:val="19"/>
                <w:color w:val="auto"/>
              </w:rPr>
            </w:pPr>
          </w:p>
        </w:tc>
        <w:tc>
          <w:tcPr>
            <w:tcW w:w="20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18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500" w:type="dxa"/>
            <w:vAlign w:val="bottom"/>
            <w:tcBorders>
              <w:bottom w:val="single" w:sz="8" w:color="7F7F7F"/>
            </w:tcBorders>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940" w:type="dxa"/>
            <w:vAlign w:val="bottom"/>
            <w:tcBorders>
              <w:bottom w:val="single" w:sz="8" w:color="7F7F7F"/>
              <w:right w:val="single" w:sz="8" w:color="F2F2F2"/>
            </w:tcBorders>
          </w:tcPr>
          <w:p>
            <w:pPr>
              <w:spacing w:after="0"/>
              <w:rPr>
                <w:sz w:val="19"/>
                <w:szCs w:val="19"/>
                <w:color w:val="auto"/>
              </w:rPr>
            </w:pPr>
          </w:p>
        </w:tc>
        <w:tc>
          <w:tcPr>
            <w:tcW w:w="260" w:type="dxa"/>
            <w:vAlign w:val="bottom"/>
            <w:tcBorders>
              <w:bottom w:val="single" w:sz="8" w:color="7F7F7F"/>
            </w:tcBorders>
          </w:tcPr>
          <w:p>
            <w:pPr>
              <w:spacing w:after="0"/>
              <w:rPr>
                <w:sz w:val="19"/>
                <w:szCs w:val="19"/>
                <w:color w:val="auto"/>
              </w:rPr>
            </w:pPr>
          </w:p>
        </w:tc>
        <w:tc>
          <w:tcPr>
            <w:tcW w:w="52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60" w:type="dxa"/>
            <w:vAlign w:val="bottom"/>
            <w:tcBorders>
              <w:bottom w:val="single" w:sz="8" w:color="7F7F7F"/>
            </w:tcBorders>
          </w:tcPr>
          <w:p>
            <w:pPr>
              <w:spacing w:after="0"/>
              <w:rPr>
                <w:sz w:val="19"/>
                <w:szCs w:val="19"/>
                <w:color w:val="auto"/>
              </w:rPr>
            </w:pPr>
          </w:p>
        </w:tc>
        <w:tc>
          <w:tcPr>
            <w:tcW w:w="860" w:type="dxa"/>
            <w:vAlign w:val="bottom"/>
            <w:tcBorders>
              <w:bottom w:val="single" w:sz="8" w:color="7F7F7F"/>
              <w:right w:val="single" w:sz="8" w:color="F2F2F2"/>
            </w:tcBorders>
          </w:tcPr>
          <w:p>
            <w:pPr>
              <w:spacing w:after="0"/>
              <w:rPr>
                <w:sz w:val="19"/>
                <w:szCs w:val="19"/>
                <w:color w:val="auto"/>
              </w:rPr>
            </w:pPr>
          </w:p>
        </w:tc>
        <w:tc>
          <w:tcPr>
            <w:tcW w:w="140" w:type="dxa"/>
            <w:vAlign w:val="bottom"/>
            <w:tcBorders>
              <w:bottom w:val="single" w:sz="8" w:color="7F7F7F"/>
            </w:tcBorders>
          </w:tcPr>
          <w:p>
            <w:pPr>
              <w:spacing w:after="0"/>
              <w:rPr>
                <w:sz w:val="19"/>
                <w:szCs w:val="19"/>
                <w:color w:val="auto"/>
              </w:rPr>
            </w:pPr>
          </w:p>
        </w:tc>
        <w:tc>
          <w:tcPr>
            <w:tcW w:w="560" w:type="dxa"/>
            <w:vAlign w:val="bottom"/>
            <w:tcBorders>
              <w:bottom w:val="single" w:sz="8" w:color="7F7F7F"/>
            </w:tcBorders>
          </w:tcPr>
          <w:p>
            <w:pPr>
              <w:spacing w:after="0"/>
              <w:rPr>
                <w:sz w:val="19"/>
                <w:szCs w:val="19"/>
                <w:color w:val="auto"/>
              </w:rPr>
            </w:pPr>
          </w:p>
        </w:tc>
        <w:tc>
          <w:tcPr>
            <w:tcW w:w="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b w:val="1"/>
                <w:bCs w:val="1"/>
                <w:color w:val="auto"/>
              </w:rPr>
              <w:t>Vanessa L. Washington</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Retired Senior Executive</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right w:val="single" w:sz="8" w:color="F2F2F2"/>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rPr>
                <w:sz w:val="20"/>
                <w:szCs w:val="20"/>
                <w:color w:val="auto"/>
              </w:rPr>
            </w:pPr>
            <w:r>
              <w:rPr>
                <w:rFonts w:ascii="Arial" w:cs="Arial" w:eastAsia="Arial" w:hAnsi="Arial"/>
                <w:sz w:val="16"/>
                <w:szCs w:val="16"/>
                <w:color w:val="auto"/>
              </w:rPr>
              <w:t>​​Vice President, General</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spacing w:after="0"/>
              <w:rPr>
                <w:sz w:val="19"/>
                <w:szCs w:val="19"/>
                <w:color w:val="auto"/>
              </w:rPr>
            </w:pP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Counsel and Secretary,</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7F7F7F"/>
            </w:tcBorders>
          </w:tcPr>
          <w:p>
            <w:pPr>
              <w:spacing w:after="0"/>
              <w:rPr>
                <w:sz w:val="18"/>
                <w:szCs w:val="18"/>
                <w:color w:val="auto"/>
              </w:rPr>
            </w:pPr>
          </w:p>
        </w:tc>
        <w:tc>
          <w:tcPr>
            <w:tcW w:w="100" w:type="dxa"/>
            <w:vAlign w:val="bottom"/>
            <w:tcBorders>
              <w:bottom w:val="single" w:sz="8" w:color="7F7F7F"/>
            </w:tcBorders>
          </w:tcPr>
          <w:p>
            <w:pPr>
              <w:spacing w:after="0"/>
              <w:rPr>
                <w:sz w:val="18"/>
                <w:szCs w:val="18"/>
                <w:color w:val="auto"/>
              </w:rPr>
            </w:pPr>
          </w:p>
        </w:tc>
        <w:tc>
          <w:tcPr>
            <w:tcW w:w="2280" w:type="dxa"/>
            <w:vAlign w:val="bottom"/>
            <w:tcBorders>
              <w:bottom w:val="single" w:sz="8" w:color="7F7F7F"/>
            </w:tcBorders>
          </w:tcPr>
          <w:p>
            <w:pPr>
              <w:ind w:left="880"/>
              <w:spacing w:after="0"/>
              <w:rPr>
                <w:sz w:val="20"/>
                <w:szCs w:val="20"/>
                <w:color w:val="auto"/>
              </w:rPr>
            </w:pPr>
            <w:r>
              <w:rPr>
                <w:rFonts w:ascii="Arial" w:cs="Arial" w:eastAsia="Arial" w:hAnsi="Arial"/>
                <w:sz w:val="16"/>
                <w:szCs w:val="16"/>
                <w:color w:val="auto"/>
              </w:rPr>
              <w:t>Bank of the West</w:t>
            </w:r>
          </w:p>
        </w:tc>
        <w:tc>
          <w:tcPr>
            <w:tcW w:w="740" w:type="dxa"/>
            <w:vAlign w:val="bottom"/>
            <w:tcBorders>
              <w:bottom w:val="single" w:sz="8" w:color="7F7F7F"/>
            </w:tcBorders>
          </w:tcPr>
          <w:p>
            <w:pPr>
              <w:spacing w:after="0"/>
              <w:rPr>
                <w:sz w:val="18"/>
                <w:szCs w:val="18"/>
                <w:color w:val="auto"/>
              </w:rPr>
            </w:pPr>
          </w:p>
        </w:tc>
        <w:tc>
          <w:tcPr>
            <w:tcW w:w="300" w:type="dxa"/>
            <w:vAlign w:val="bottom"/>
            <w:tcBorders>
              <w:bottom w:val="single" w:sz="8" w:color="7F7F7F"/>
            </w:tcBorders>
          </w:tcPr>
          <w:p>
            <w:pPr>
              <w:spacing w:after="0"/>
              <w:rPr>
                <w:sz w:val="18"/>
                <w:szCs w:val="18"/>
                <w:color w:val="auto"/>
              </w:rPr>
            </w:pPr>
          </w:p>
        </w:tc>
        <w:tc>
          <w:tcPr>
            <w:tcW w:w="400" w:type="dxa"/>
            <w:vAlign w:val="bottom"/>
            <w:tcBorders>
              <w:bottom w:val="single" w:sz="8" w:color="7F7F7F"/>
            </w:tcBorders>
          </w:tcPr>
          <w:p>
            <w:pPr>
              <w:spacing w:after="0"/>
              <w:rPr>
                <w:sz w:val="18"/>
                <w:szCs w:val="18"/>
                <w:color w:val="auto"/>
              </w:rPr>
            </w:pPr>
          </w:p>
        </w:tc>
        <w:tc>
          <w:tcPr>
            <w:tcW w:w="20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180" w:type="dxa"/>
            <w:vAlign w:val="bottom"/>
            <w:tcBorders>
              <w:bottom w:val="single" w:sz="8" w:color="7F7F7F"/>
            </w:tcBorders>
          </w:tcPr>
          <w:p>
            <w:pPr>
              <w:spacing w:after="0"/>
              <w:rPr>
                <w:sz w:val="18"/>
                <w:szCs w:val="18"/>
                <w:color w:val="auto"/>
              </w:rPr>
            </w:pPr>
          </w:p>
        </w:tc>
        <w:tc>
          <w:tcPr>
            <w:tcW w:w="6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50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right w:val="single" w:sz="8" w:color="F2F2F2"/>
            </w:tcBorders>
          </w:tcPr>
          <w:p>
            <w:pPr>
              <w:spacing w:after="0"/>
              <w:rPr>
                <w:sz w:val="18"/>
                <w:szCs w:val="18"/>
                <w:color w:val="auto"/>
              </w:rPr>
            </w:pPr>
          </w:p>
        </w:tc>
        <w:tc>
          <w:tcPr>
            <w:tcW w:w="260" w:type="dxa"/>
            <w:vAlign w:val="bottom"/>
            <w:tcBorders>
              <w:bottom w:val="single" w:sz="8" w:color="7F7F7F"/>
            </w:tcBorders>
          </w:tcPr>
          <w:p>
            <w:pPr>
              <w:spacing w:after="0"/>
              <w:rPr>
                <w:sz w:val="18"/>
                <w:szCs w:val="18"/>
                <w:color w:val="auto"/>
              </w:rPr>
            </w:pPr>
          </w:p>
        </w:tc>
        <w:tc>
          <w:tcPr>
            <w:tcW w:w="52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6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right w:val="single" w:sz="8" w:color="F2F2F2"/>
            </w:tcBorders>
          </w:tcPr>
          <w:p>
            <w:pPr>
              <w:spacing w:after="0"/>
              <w:rPr>
                <w:sz w:val="18"/>
                <w:szCs w:val="18"/>
                <w:color w:val="auto"/>
              </w:rPr>
            </w:pPr>
          </w:p>
        </w:tc>
        <w:tc>
          <w:tcPr>
            <w:tcW w:w="140" w:type="dxa"/>
            <w:vAlign w:val="bottom"/>
            <w:tcBorders>
              <w:bottom w:val="single" w:sz="8" w:color="7F7F7F"/>
            </w:tcBorders>
          </w:tcPr>
          <w:p>
            <w:pPr>
              <w:spacing w:after="0"/>
              <w:rPr>
                <w:sz w:val="18"/>
                <w:szCs w:val="18"/>
                <w:color w:val="auto"/>
              </w:rPr>
            </w:pPr>
          </w:p>
        </w:tc>
        <w:tc>
          <w:tcPr>
            <w:tcW w:w="560" w:type="dxa"/>
            <w:vAlign w:val="bottom"/>
            <w:tcBorders>
              <w:bottom w:val="single" w:sz="8" w:color="7F7F7F"/>
            </w:tcBorders>
          </w:tcPr>
          <w:p>
            <w:pPr>
              <w:spacing w:after="0"/>
              <w:rPr>
                <w:sz w:val="18"/>
                <w:szCs w:val="18"/>
                <w:color w:val="auto"/>
              </w:rPr>
            </w:pPr>
          </w:p>
        </w:tc>
        <w:tc>
          <w:tcPr>
            <w:tcW w:w="80" w:type="dxa"/>
            <w:vAlign w:val="bottom"/>
            <w:tcBorders>
              <w:bottom w:val="single" w:sz="8" w:color="7F7F7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ind w:left="880"/>
              <w:spacing w:after="0"/>
              <w:rPr>
                <w:sz w:val="20"/>
                <w:szCs w:val="20"/>
                <w:color w:val="auto"/>
              </w:rPr>
            </w:pPr>
            <w:r>
              <w:rPr>
                <w:rFonts w:ascii="Arial" w:cs="Arial" w:eastAsia="Arial" w:hAnsi="Arial"/>
                <w:sz w:val="16"/>
                <w:szCs w:val="16"/>
                <w:b w:val="1"/>
                <w:bCs w:val="1"/>
                <w:color w:val="auto"/>
              </w:rPr>
              <w:t>C. Scott Wo</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right w:val="single" w:sz="8" w:color="F2F2F2"/>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right w:val="single" w:sz="8" w:color="F2F2F2"/>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Owner/Executive Team, C.S.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Wo &amp; Sons, Ltd; Partner/​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780"/>
              <w:spacing w:after="0" w:line="259"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Manager, Kunia Country</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3"/>
              <w:spacing w:after="0"/>
              <w:rPr>
                <w:sz w:val="20"/>
                <w:szCs w:val="20"/>
                <w:color w:val="auto"/>
              </w:rPr>
            </w:pPr>
            <w:r>
              <w:rPr>
                <w:rFonts w:ascii="Arial" w:cs="Arial" w:eastAsia="Arial" w:hAnsi="Arial"/>
                <w:sz w:val="16"/>
                <w:szCs w:val="16"/>
                <w:color w:val="auto"/>
              </w:rPr>
              <w:t>58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center"/>
              <w:spacing w:after="0"/>
              <w:rPr>
                <w:sz w:val="20"/>
                <w:szCs w:val="20"/>
                <w:color w:val="auto"/>
              </w:rPr>
            </w:pPr>
            <w:r>
              <w:rPr>
                <w:rFonts w:ascii="Arial" w:cs="Arial" w:eastAsia="Arial" w:hAnsi="Arial"/>
                <w:sz w:val="16"/>
                <w:szCs w:val="16"/>
                <w:color w:val="auto"/>
              </w:rPr>
              <w:t>2018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vMerge w:val="restart"/>
          </w:tcPr>
          <w:p>
            <w:pPr>
              <w:jc w:val="right"/>
              <w:ind w:right="364"/>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jc w:val="right"/>
              <w:ind w:right="349"/>
              <w:spacing w:after="0"/>
              <w:rPr>
                <w:sz w:val="20"/>
                <w:szCs w:val="20"/>
                <w:color w:val="auto"/>
              </w:rPr>
            </w:pPr>
            <w:r>
              <w:rPr>
                <w:rFonts w:ascii="Arial" w:cs="Arial" w:eastAsia="Arial" w:hAnsi="Arial"/>
                <w:sz w:val="16"/>
                <w:szCs w:val="16"/>
                <w:color w:val="auto"/>
              </w:rPr>
              <w:t>​</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2"/>
            <w:vMerge w:val="restart"/>
          </w:tcPr>
          <w:p>
            <w:pPr>
              <w:ind w:left="880"/>
              <w:spacing w:after="0" w:line="175" w:lineRule="exact"/>
              <w:rPr>
                <w:sz w:val="20"/>
                <w:szCs w:val="20"/>
                <w:color w:val="auto"/>
              </w:rPr>
            </w:pPr>
            <w:r>
              <w:rPr>
                <w:rFonts w:ascii="Arial" w:cs="Arial" w:eastAsia="Arial" w:hAnsi="Arial"/>
                <w:sz w:val="16"/>
                <w:szCs w:val="16"/>
                <w:color w:val="auto"/>
              </w:rPr>
              <w:t>Farms; and Adjunct</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right w:val="single" w:sz="8" w:color="F2F2F2"/>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right w:val="single" w:sz="8" w:color="F2F2F2"/>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right w:val="single" w:sz="8" w:color="F2F2F2"/>
            </w:tcBorders>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right w:val="single" w:sz="8" w:color="F2F2F2"/>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Professor of Management,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80"/>
              <w:spacing w:after="0"/>
              <w:rPr>
                <w:sz w:val="20"/>
                <w:szCs w:val="20"/>
                <w:color w:val="auto"/>
              </w:rPr>
            </w:pPr>
            <w:r>
              <w:rPr>
                <w:rFonts w:ascii="Arial" w:cs="Arial" w:eastAsia="Arial" w:hAnsi="Arial"/>
                <w:sz w:val="16"/>
                <w:szCs w:val="16"/>
                <w:color w:val="auto"/>
              </w:rPr>
              <w:t>Columbia Business School</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Borders>
              <w:right w:val="single" w:sz="8" w:color="F2F2F2"/>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right w:val="single" w:sz="8" w:color="F2F2F2"/>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DFADAC"/>
            </w:tcBorders>
          </w:tcPr>
          <w:p>
            <w:pPr>
              <w:spacing w:after="0"/>
              <w:rPr>
                <w:sz w:val="18"/>
                <w:szCs w:val="18"/>
                <w:color w:val="auto"/>
              </w:rPr>
            </w:pPr>
          </w:p>
        </w:tc>
        <w:tc>
          <w:tcPr>
            <w:tcW w:w="100" w:type="dxa"/>
            <w:vAlign w:val="bottom"/>
            <w:tcBorders>
              <w:bottom w:val="single" w:sz="8" w:color="DFADAC"/>
            </w:tcBorders>
          </w:tcPr>
          <w:p>
            <w:pPr>
              <w:spacing w:after="0"/>
              <w:rPr>
                <w:sz w:val="18"/>
                <w:szCs w:val="18"/>
                <w:color w:val="auto"/>
              </w:rPr>
            </w:pPr>
          </w:p>
        </w:tc>
        <w:tc>
          <w:tcPr>
            <w:tcW w:w="2280" w:type="dxa"/>
            <w:vAlign w:val="bottom"/>
            <w:tcBorders>
              <w:bottom w:val="single" w:sz="8" w:color="DFADAC"/>
            </w:tcBorders>
          </w:tcPr>
          <w:p>
            <w:pPr>
              <w:ind w:left="880"/>
              <w:spacing w:after="0"/>
              <w:rPr>
                <w:sz w:val="20"/>
                <w:szCs w:val="20"/>
                <w:color w:val="auto"/>
              </w:rPr>
            </w:pPr>
            <w:r>
              <w:rPr>
                <w:rFonts w:ascii="Arial" w:cs="Arial" w:eastAsia="Arial" w:hAnsi="Arial"/>
                <w:sz w:val="16"/>
                <w:szCs w:val="16"/>
                <w:color w:val="auto"/>
              </w:rPr>
              <w:t>in New York City</w:t>
            </w:r>
          </w:p>
        </w:tc>
        <w:tc>
          <w:tcPr>
            <w:tcW w:w="740" w:type="dxa"/>
            <w:vAlign w:val="bottom"/>
            <w:tcBorders>
              <w:bottom w:val="single" w:sz="8" w:color="DFADAC"/>
            </w:tcBorders>
          </w:tcPr>
          <w:p>
            <w:pPr>
              <w:spacing w:after="0"/>
              <w:rPr>
                <w:sz w:val="18"/>
                <w:szCs w:val="18"/>
                <w:color w:val="auto"/>
              </w:rPr>
            </w:pPr>
          </w:p>
        </w:tc>
        <w:tc>
          <w:tcPr>
            <w:tcW w:w="300" w:type="dxa"/>
            <w:vAlign w:val="bottom"/>
            <w:tcBorders>
              <w:bottom w:val="single" w:sz="8" w:color="DFADAC"/>
            </w:tcBorders>
          </w:tcPr>
          <w:p>
            <w:pPr>
              <w:spacing w:after="0"/>
              <w:rPr>
                <w:sz w:val="18"/>
                <w:szCs w:val="18"/>
                <w:color w:val="auto"/>
              </w:rPr>
            </w:pPr>
          </w:p>
        </w:tc>
        <w:tc>
          <w:tcPr>
            <w:tcW w:w="400" w:type="dxa"/>
            <w:vAlign w:val="bottom"/>
            <w:tcBorders>
              <w:bottom w:val="single" w:sz="8" w:color="DFADAC"/>
            </w:tcBorders>
          </w:tcPr>
          <w:p>
            <w:pPr>
              <w:spacing w:after="0"/>
              <w:rPr>
                <w:sz w:val="18"/>
                <w:szCs w:val="18"/>
                <w:color w:val="auto"/>
              </w:rPr>
            </w:pPr>
          </w:p>
        </w:tc>
        <w:tc>
          <w:tcPr>
            <w:tcW w:w="200" w:type="dxa"/>
            <w:vAlign w:val="bottom"/>
            <w:tcBorders>
              <w:bottom w:val="single" w:sz="8" w:color="DFADAC"/>
            </w:tcBorders>
          </w:tcPr>
          <w:p>
            <w:pPr>
              <w:spacing w:after="0"/>
              <w:rPr>
                <w:sz w:val="18"/>
                <w:szCs w:val="18"/>
                <w:color w:val="auto"/>
              </w:rPr>
            </w:pPr>
          </w:p>
        </w:tc>
        <w:tc>
          <w:tcPr>
            <w:tcW w:w="520" w:type="dxa"/>
            <w:vAlign w:val="bottom"/>
            <w:tcBorders>
              <w:bottom w:val="single" w:sz="8" w:color="DFADAC"/>
            </w:tcBorders>
          </w:tcPr>
          <w:p>
            <w:pPr>
              <w:spacing w:after="0"/>
              <w:rPr>
                <w:sz w:val="18"/>
                <w:szCs w:val="18"/>
                <w:color w:val="auto"/>
              </w:rPr>
            </w:pPr>
          </w:p>
        </w:tc>
        <w:tc>
          <w:tcPr>
            <w:tcW w:w="180" w:type="dxa"/>
            <w:vAlign w:val="bottom"/>
            <w:tcBorders>
              <w:bottom w:val="single" w:sz="8" w:color="DFADAC"/>
            </w:tcBorders>
          </w:tcPr>
          <w:p>
            <w:pPr>
              <w:spacing w:after="0"/>
              <w:rPr>
                <w:sz w:val="18"/>
                <w:szCs w:val="18"/>
                <w:color w:val="auto"/>
              </w:rPr>
            </w:pPr>
          </w:p>
        </w:tc>
        <w:tc>
          <w:tcPr>
            <w:tcW w:w="620" w:type="dxa"/>
            <w:vAlign w:val="bottom"/>
            <w:tcBorders>
              <w:bottom w:val="single" w:sz="8" w:color="DFADAC"/>
            </w:tcBorders>
          </w:tcPr>
          <w:p>
            <w:pPr>
              <w:spacing w:after="0"/>
              <w:rPr>
                <w:sz w:val="18"/>
                <w:szCs w:val="18"/>
                <w:color w:val="auto"/>
              </w:rPr>
            </w:pPr>
          </w:p>
        </w:tc>
        <w:tc>
          <w:tcPr>
            <w:tcW w:w="60" w:type="dxa"/>
            <w:vAlign w:val="bottom"/>
            <w:tcBorders>
              <w:bottom w:val="single" w:sz="8" w:color="DFADAC"/>
            </w:tcBorders>
          </w:tcPr>
          <w:p>
            <w:pPr>
              <w:spacing w:after="0"/>
              <w:rPr>
                <w:sz w:val="18"/>
                <w:szCs w:val="18"/>
                <w:color w:val="auto"/>
              </w:rPr>
            </w:pPr>
          </w:p>
        </w:tc>
        <w:tc>
          <w:tcPr>
            <w:tcW w:w="120" w:type="dxa"/>
            <w:vAlign w:val="bottom"/>
            <w:tcBorders>
              <w:bottom w:val="single" w:sz="8" w:color="DFADAC"/>
            </w:tcBorders>
          </w:tcPr>
          <w:p>
            <w:pPr>
              <w:spacing w:after="0"/>
              <w:rPr>
                <w:sz w:val="18"/>
                <w:szCs w:val="18"/>
                <w:color w:val="auto"/>
              </w:rPr>
            </w:pPr>
          </w:p>
        </w:tc>
        <w:tc>
          <w:tcPr>
            <w:tcW w:w="500" w:type="dxa"/>
            <w:vAlign w:val="bottom"/>
            <w:tcBorders>
              <w:bottom w:val="single" w:sz="8" w:color="DFADAC"/>
            </w:tcBorders>
          </w:tcPr>
          <w:p>
            <w:pPr>
              <w:spacing w:after="0"/>
              <w:rPr>
                <w:sz w:val="18"/>
                <w:szCs w:val="18"/>
                <w:color w:val="auto"/>
              </w:rPr>
            </w:pPr>
          </w:p>
        </w:tc>
        <w:tc>
          <w:tcPr>
            <w:tcW w:w="120" w:type="dxa"/>
            <w:vAlign w:val="bottom"/>
            <w:tcBorders>
              <w:bottom w:val="single" w:sz="8" w:color="DFADAC"/>
            </w:tcBorders>
          </w:tcPr>
          <w:p>
            <w:pPr>
              <w:spacing w:after="0"/>
              <w:rPr>
                <w:sz w:val="18"/>
                <w:szCs w:val="18"/>
                <w:color w:val="auto"/>
              </w:rPr>
            </w:pPr>
          </w:p>
        </w:tc>
        <w:tc>
          <w:tcPr>
            <w:tcW w:w="60" w:type="dxa"/>
            <w:vAlign w:val="bottom"/>
            <w:tcBorders>
              <w:bottom w:val="single" w:sz="8" w:color="DFADAC"/>
            </w:tcBorders>
          </w:tcPr>
          <w:p>
            <w:pPr>
              <w:spacing w:after="0"/>
              <w:rPr>
                <w:sz w:val="18"/>
                <w:szCs w:val="18"/>
                <w:color w:val="auto"/>
              </w:rPr>
            </w:pPr>
          </w:p>
        </w:tc>
        <w:tc>
          <w:tcPr>
            <w:tcW w:w="940" w:type="dxa"/>
            <w:vAlign w:val="bottom"/>
            <w:tcBorders>
              <w:bottom w:val="single" w:sz="8" w:color="DFADAC"/>
              <w:right w:val="single" w:sz="8" w:color="F2F2F2"/>
            </w:tcBorders>
          </w:tcPr>
          <w:p>
            <w:pPr>
              <w:spacing w:after="0"/>
              <w:rPr>
                <w:sz w:val="18"/>
                <w:szCs w:val="18"/>
                <w:color w:val="auto"/>
              </w:rPr>
            </w:pPr>
          </w:p>
        </w:tc>
        <w:tc>
          <w:tcPr>
            <w:tcW w:w="260" w:type="dxa"/>
            <w:vAlign w:val="bottom"/>
            <w:tcBorders>
              <w:bottom w:val="single" w:sz="8" w:color="DFADAC"/>
            </w:tcBorders>
          </w:tcPr>
          <w:p>
            <w:pPr>
              <w:spacing w:after="0"/>
              <w:rPr>
                <w:sz w:val="18"/>
                <w:szCs w:val="18"/>
                <w:color w:val="auto"/>
              </w:rPr>
            </w:pPr>
          </w:p>
        </w:tc>
        <w:tc>
          <w:tcPr>
            <w:tcW w:w="520" w:type="dxa"/>
            <w:vAlign w:val="bottom"/>
            <w:tcBorders>
              <w:bottom w:val="single" w:sz="8" w:color="DFADAC"/>
            </w:tcBorders>
          </w:tcPr>
          <w:p>
            <w:pPr>
              <w:spacing w:after="0"/>
              <w:rPr>
                <w:sz w:val="18"/>
                <w:szCs w:val="18"/>
                <w:color w:val="auto"/>
              </w:rPr>
            </w:pPr>
          </w:p>
        </w:tc>
        <w:tc>
          <w:tcPr>
            <w:tcW w:w="60" w:type="dxa"/>
            <w:vAlign w:val="bottom"/>
            <w:tcBorders>
              <w:bottom w:val="single" w:sz="8" w:color="DFADAC"/>
            </w:tcBorders>
          </w:tcPr>
          <w:p>
            <w:pPr>
              <w:spacing w:after="0"/>
              <w:rPr>
                <w:sz w:val="18"/>
                <w:szCs w:val="18"/>
                <w:color w:val="auto"/>
              </w:rPr>
            </w:pPr>
          </w:p>
        </w:tc>
        <w:tc>
          <w:tcPr>
            <w:tcW w:w="60" w:type="dxa"/>
            <w:vAlign w:val="bottom"/>
            <w:tcBorders>
              <w:bottom w:val="single" w:sz="8" w:color="DFADAC"/>
            </w:tcBorders>
          </w:tcPr>
          <w:p>
            <w:pPr>
              <w:spacing w:after="0"/>
              <w:rPr>
                <w:sz w:val="18"/>
                <w:szCs w:val="18"/>
                <w:color w:val="auto"/>
              </w:rPr>
            </w:pPr>
          </w:p>
        </w:tc>
        <w:tc>
          <w:tcPr>
            <w:tcW w:w="860" w:type="dxa"/>
            <w:vAlign w:val="bottom"/>
            <w:tcBorders>
              <w:bottom w:val="single" w:sz="8" w:color="DFADAC"/>
              <w:right w:val="single" w:sz="8" w:color="F2F2F2"/>
            </w:tcBorders>
          </w:tcPr>
          <w:p>
            <w:pPr>
              <w:spacing w:after="0"/>
              <w:rPr>
                <w:sz w:val="18"/>
                <w:szCs w:val="18"/>
                <w:color w:val="auto"/>
              </w:rPr>
            </w:pPr>
          </w:p>
        </w:tc>
        <w:tc>
          <w:tcPr>
            <w:tcW w:w="140" w:type="dxa"/>
            <w:vAlign w:val="bottom"/>
            <w:tcBorders>
              <w:bottom w:val="single" w:sz="8" w:color="DFADAC"/>
            </w:tcBorders>
          </w:tcPr>
          <w:p>
            <w:pPr>
              <w:spacing w:after="0"/>
              <w:rPr>
                <w:sz w:val="18"/>
                <w:szCs w:val="18"/>
                <w:color w:val="auto"/>
              </w:rPr>
            </w:pPr>
          </w:p>
        </w:tc>
        <w:tc>
          <w:tcPr>
            <w:tcW w:w="560" w:type="dxa"/>
            <w:vAlign w:val="bottom"/>
            <w:tcBorders>
              <w:bottom w:val="single" w:sz="8" w:color="DFADAC"/>
            </w:tcBorders>
          </w:tcPr>
          <w:p>
            <w:pPr>
              <w:spacing w:after="0"/>
              <w:rPr>
                <w:sz w:val="18"/>
                <w:szCs w:val="18"/>
                <w:color w:val="auto"/>
              </w:rPr>
            </w:pPr>
          </w:p>
        </w:tc>
        <w:tc>
          <w:tcPr>
            <w:tcW w:w="80" w:type="dxa"/>
            <w:vAlign w:val="bottom"/>
            <w:tcBorders>
              <w:bottom w:val="single" w:sz="8" w:color="DFADA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60"/>
              <w:spacing w:after="0"/>
              <w:rPr>
                <w:sz w:val="20"/>
                <w:szCs w:val="20"/>
                <w:color w:val="auto"/>
              </w:rPr>
            </w:pPr>
            <w:r>
              <w:rPr>
                <w:rFonts w:ascii="Arial" w:cs="Arial" w:eastAsia="Arial" w:hAnsi="Arial"/>
                <w:sz w:val="16"/>
                <w:szCs w:val="16"/>
                <w:color w:val="auto"/>
              </w:rPr>
              <w:t>Meetings in 2023           Board―9</w:t>
            </w:r>
          </w:p>
        </w:tc>
        <w:tc>
          <w:tcPr>
            <w:tcW w:w="300" w:type="dxa"/>
            <w:vAlign w:val="bottom"/>
          </w:tcPr>
          <w:p>
            <w:pPr>
              <w:jc w:val="right"/>
              <w:ind w:right="124"/>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ind w:left="30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F2F2F2"/>
            </w:tcBorders>
          </w:tcPr>
          <w:p>
            <w:pPr>
              <w:jc w:val="right"/>
              <w:ind w:right="384"/>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42"/>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F2F2F2"/>
            </w:tcBorders>
          </w:tcPr>
          <w:p>
            <w:pPr>
              <w:jc w:val="right"/>
              <w:ind w:right="349"/>
              <w:spacing w:after="0"/>
              <w:rPr>
                <w:sz w:val="20"/>
                <w:szCs w:val="20"/>
                <w:color w:val="auto"/>
              </w:rPr>
            </w:pPr>
            <w:r>
              <w:rPr>
                <w:rFonts w:ascii="Arial" w:cs="Arial" w:eastAsia="Arial" w:hAnsi="Arial"/>
                <w:sz w:val="16"/>
                <w:szCs w:val="16"/>
                <w:color w:val="auto"/>
              </w:rPr>
              <w:t>3</w:t>
            </w:r>
          </w:p>
        </w:tc>
        <w:tc>
          <w:tcPr>
            <w:tcW w:w="140" w:type="dxa"/>
            <w:vAlign w:val="bottom"/>
          </w:tcPr>
          <w:p>
            <w:pPr>
              <w:jc w:val="center"/>
              <w:ind w:right="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4"/>
              <w:spacing w:after="0"/>
              <w:rPr>
                <w:sz w:val="20"/>
                <w:szCs w:val="20"/>
                <w:color w:val="auto"/>
              </w:rPr>
            </w:pPr>
            <w:r>
              <w:rPr>
                <w:rFonts w:ascii="Arial" w:cs="Arial" w:eastAsia="Arial" w:hAnsi="Arial"/>
                <w:sz w:val="16"/>
                <w:szCs w:val="16"/>
                <w:color w:val="auto"/>
              </w:rPr>
              <w:t>5</w:t>
            </w:r>
          </w:p>
        </w:tc>
        <w:tc>
          <w:tcPr>
            <w:tcW w:w="1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60" w:type="dxa"/>
            <w:vAlign w:val="bottom"/>
            <w:tcBorders>
              <w:top w:val="single" w:sz="8" w:color="BF5B5A"/>
            </w:tcBorders>
          </w:tcPr>
          <w:p>
            <w:pPr>
              <w:spacing w:after="0"/>
              <w:rPr>
                <w:sz w:val="24"/>
                <w:szCs w:val="24"/>
                <w:color w:val="auto"/>
              </w:rPr>
            </w:pPr>
          </w:p>
        </w:tc>
        <w:tc>
          <w:tcPr>
            <w:tcW w:w="100" w:type="dxa"/>
            <w:vAlign w:val="bottom"/>
            <w:tcBorders>
              <w:top w:val="single" w:sz="8" w:color="BF5B5A"/>
            </w:tcBorders>
          </w:tcPr>
          <w:p>
            <w:pPr>
              <w:spacing w:after="0"/>
              <w:rPr>
                <w:sz w:val="24"/>
                <w:szCs w:val="24"/>
                <w:color w:val="auto"/>
              </w:rPr>
            </w:pPr>
          </w:p>
        </w:tc>
        <w:tc>
          <w:tcPr>
            <w:tcW w:w="2280" w:type="dxa"/>
            <w:vAlign w:val="bottom"/>
            <w:tcBorders>
              <w:top w:val="single" w:sz="8" w:color="BF5B5A"/>
            </w:tcBorders>
          </w:tcPr>
          <w:p>
            <w:pPr>
              <w:spacing w:after="0"/>
              <w:rPr>
                <w:sz w:val="24"/>
                <w:szCs w:val="24"/>
                <w:color w:val="auto"/>
              </w:rPr>
            </w:pPr>
          </w:p>
        </w:tc>
        <w:tc>
          <w:tcPr>
            <w:tcW w:w="740" w:type="dxa"/>
            <w:vAlign w:val="bottom"/>
            <w:tcBorders>
              <w:top w:val="single" w:sz="8" w:color="BF5B5A"/>
            </w:tcBorders>
          </w:tcPr>
          <w:p>
            <w:pPr>
              <w:spacing w:after="0"/>
              <w:rPr>
                <w:sz w:val="24"/>
                <w:szCs w:val="24"/>
                <w:color w:val="auto"/>
              </w:rPr>
            </w:pPr>
          </w:p>
        </w:tc>
        <w:tc>
          <w:tcPr>
            <w:tcW w:w="300" w:type="dxa"/>
            <w:vAlign w:val="bottom"/>
            <w:tcBorders>
              <w:top w:val="single" w:sz="8" w:color="BF5B5A"/>
            </w:tcBorders>
          </w:tcPr>
          <w:p>
            <w:pPr>
              <w:spacing w:after="0"/>
              <w:rPr>
                <w:sz w:val="24"/>
                <w:szCs w:val="24"/>
                <w:color w:val="auto"/>
              </w:rPr>
            </w:pPr>
          </w:p>
        </w:tc>
        <w:tc>
          <w:tcPr>
            <w:tcW w:w="400" w:type="dxa"/>
            <w:vAlign w:val="bottom"/>
            <w:tcBorders>
              <w:top w:val="single" w:sz="8" w:color="BF5B5A"/>
            </w:tcBorders>
          </w:tcPr>
          <w:p>
            <w:pPr>
              <w:spacing w:after="0"/>
              <w:rPr>
                <w:sz w:val="24"/>
                <w:szCs w:val="24"/>
                <w:color w:val="auto"/>
              </w:rPr>
            </w:pPr>
          </w:p>
        </w:tc>
        <w:tc>
          <w:tcPr>
            <w:tcW w:w="200" w:type="dxa"/>
            <w:vAlign w:val="bottom"/>
            <w:tcBorders>
              <w:top w:val="single" w:sz="8" w:color="BF5B5A"/>
            </w:tcBorders>
          </w:tcPr>
          <w:p>
            <w:pPr>
              <w:spacing w:after="0"/>
              <w:rPr>
                <w:sz w:val="24"/>
                <w:szCs w:val="24"/>
                <w:color w:val="auto"/>
              </w:rPr>
            </w:pPr>
          </w:p>
        </w:tc>
        <w:tc>
          <w:tcPr>
            <w:tcW w:w="520" w:type="dxa"/>
            <w:vAlign w:val="bottom"/>
            <w:tcBorders>
              <w:top w:val="single" w:sz="8" w:color="BF5B5A"/>
            </w:tcBorders>
          </w:tcPr>
          <w:p>
            <w:pPr>
              <w:spacing w:after="0"/>
              <w:rPr>
                <w:sz w:val="24"/>
                <w:szCs w:val="24"/>
                <w:color w:val="auto"/>
              </w:rPr>
            </w:pPr>
          </w:p>
        </w:tc>
        <w:tc>
          <w:tcPr>
            <w:tcW w:w="180" w:type="dxa"/>
            <w:vAlign w:val="bottom"/>
            <w:tcBorders>
              <w:top w:val="single" w:sz="8" w:color="BF5B5A"/>
            </w:tcBorders>
          </w:tcPr>
          <w:p>
            <w:pPr>
              <w:spacing w:after="0"/>
              <w:rPr>
                <w:sz w:val="24"/>
                <w:szCs w:val="24"/>
                <w:color w:val="auto"/>
              </w:rPr>
            </w:pPr>
          </w:p>
        </w:tc>
        <w:tc>
          <w:tcPr>
            <w:tcW w:w="620" w:type="dxa"/>
            <w:vAlign w:val="bottom"/>
            <w:tcBorders>
              <w:top w:val="single" w:sz="8" w:color="BF5B5A"/>
            </w:tcBorders>
          </w:tcPr>
          <w:p>
            <w:pPr>
              <w:spacing w:after="0"/>
              <w:rPr>
                <w:sz w:val="24"/>
                <w:szCs w:val="24"/>
                <w:color w:val="auto"/>
              </w:rPr>
            </w:pPr>
          </w:p>
        </w:tc>
        <w:tc>
          <w:tcPr>
            <w:tcW w:w="60" w:type="dxa"/>
            <w:vAlign w:val="bottom"/>
            <w:tcBorders>
              <w:top w:val="single" w:sz="8" w:color="BF5B5A"/>
            </w:tcBorders>
          </w:tcPr>
          <w:p>
            <w:pPr>
              <w:spacing w:after="0"/>
              <w:rPr>
                <w:sz w:val="24"/>
                <w:szCs w:val="24"/>
                <w:color w:val="auto"/>
              </w:rPr>
            </w:pPr>
          </w:p>
        </w:tc>
        <w:tc>
          <w:tcPr>
            <w:tcW w:w="120" w:type="dxa"/>
            <w:vAlign w:val="bottom"/>
            <w:tcBorders>
              <w:top w:val="single" w:sz="8" w:color="BF5B5A"/>
            </w:tcBorders>
          </w:tcPr>
          <w:p>
            <w:pPr>
              <w:spacing w:after="0"/>
              <w:rPr>
                <w:sz w:val="24"/>
                <w:szCs w:val="24"/>
                <w:color w:val="auto"/>
              </w:rPr>
            </w:pPr>
          </w:p>
        </w:tc>
        <w:tc>
          <w:tcPr>
            <w:tcW w:w="500" w:type="dxa"/>
            <w:vAlign w:val="bottom"/>
            <w:tcBorders>
              <w:top w:val="single" w:sz="8" w:color="BF5B5A"/>
            </w:tcBorders>
          </w:tcPr>
          <w:p>
            <w:pPr>
              <w:spacing w:after="0"/>
              <w:rPr>
                <w:sz w:val="24"/>
                <w:szCs w:val="24"/>
                <w:color w:val="auto"/>
              </w:rPr>
            </w:pPr>
          </w:p>
        </w:tc>
        <w:tc>
          <w:tcPr>
            <w:tcW w:w="120" w:type="dxa"/>
            <w:vAlign w:val="bottom"/>
            <w:tcBorders>
              <w:top w:val="single" w:sz="8" w:color="BF5B5A"/>
            </w:tcBorders>
          </w:tcPr>
          <w:p>
            <w:pPr>
              <w:spacing w:after="0"/>
              <w:rPr>
                <w:sz w:val="24"/>
                <w:szCs w:val="24"/>
                <w:color w:val="auto"/>
              </w:rPr>
            </w:pPr>
          </w:p>
        </w:tc>
        <w:tc>
          <w:tcPr>
            <w:tcW w:w="60" w:type="dxa"/>
            <w:vAlign w:val="bottom"/>
            <w:tcBorders>
              <w:top w:val="single" w:sz="8" w:color="BF5B5A"/>
            </w:tcBorders>
          </w:tcPr>
          <w:p>
            <w:pPr>
              <w:spacing w:after="0"/>
              <w:rPr>
                <w:sz w:val="24"/>
                <w:szCs w:val="24"/>
                <w:color w:val="auto"/>
              </w:rPr>
            </w:pPr>
          </w:p>
        </w:tc>
        <w:tc>
          <w:tcPr>
            <w:tcW w:w="1200" w:type="dxa"/>
            <w:vAlign w:val="bottom"/>
            <w:tcBorders>
              <w:top w:val="single" w:sz="8" w:color="BF5B5A"/>
            </w:tcBorders>
            <w:gridSpan w:val="2"/>
          </w:tcPr>
          <w:p>
            <w:pPr>
              <w:ind w:left="60"/>
              <w:spacing w:after="0"/>
              <w:rPr>
                <w:sz w:val="20"/>
                <w:szCs w:val="20"/>
                <w:color w:val="auto"/>
              </w:rPr>
            </w:pPr>
            <w:r>
              <w:rPr>
                <w:rFonts w:ascii="Arial" w:cs="Arial" w:eastAsia="Arial" w:hAnsi="Arial"/>
                <w:sz w:val="13"/>
                <w:szCs w:val="13"/>
                <w:color w:val="auto"/>
              </w:rPr>
              <w:t>Lead Independent</w:t>
            </w:r>
          </w:p>
        </w:tc>
        <w:tc>
          <w:tcPr>
            <w:tcW w:w="520" w:type="dxa"/>
            <w:vAlign w:val="bottom"/>
            <w:tcBorders>
              <w:top w:val="single" w:sz="8" w:color="BF5B5A"/>
            </w:tcBorders>
          </w:tcPr>
          <w:p>
            <w:pPr>
              <w:spacing w:after="0"/>
              <w:rPr>
                <w:sz w:val="24"/>
                <w:szCs w:val="24"/>
                <w:color w:val="auto"/>
              </w:rPr>
            </w:pPr>
          </w:p>
        </w:tc>
        <w:tc>
          <w:tcPr>
            <w:tcW w:w="60" w:type="dxa"/>
            <w:vAlign w:val="bottom"/>
            <w:tcBorders>
              <w:top w:val="single" w:sz="8" w:color="BF5B5A"/>
            </w:tcBorders>
          </w:tcPr>
          <w:p>
            <w:pPr>
              <w:spacing w:after="0"/>
              <w:rPr>
                <w:sz w:val="24"/>
                <w:szCs w:val="24"/>
                <w:color w:val="auto"/>
              </w:rPr>
            </w:pPr>
          </w:p>
        </w:tc>
        <w:tc>
          <w:tcPr>
            <w:tcW w:w="60" w:type="dxa"/>
            <w:vAlign w:val="bottom"/>
            <w:tcBorders>
              <w:top w:val="single" w:sz="8" w:color="BF5B5A"/>
            </w:tcBorders>
          </w:tcPr>
          <w:p>
            <w:pPr>
              <w:spacing w:after="0"/>
              <w:rPr>
                <w:sz w:val="24"/>
                <w:szCs w:val="24"/>
                <w:color w:val="auto"/>
              </w:rPr>
            </w:pPr>
          </w:p>
        </w:tc>
        <w:tc>
          <w:tcPr>
            <w:tcW w:w="1640" w:type="dxa"/>
            <w:vAlign w:val="bottom"/>
            <w:tcBorders>
              <w:top w:val="single" w:sz="8" w:color="BF5B5A"/>
            </w:tcBorders>
            <w:gridSpan w:val="4"/>
          </w:tcPr>
          <w:p>
            <w:pPr>
              <w:jc w:val="center"/>
              <w:ind w:left="49"/>
              <w:spacing w:after="0"/>
              <w:rPr>
                <w:sz w:val="20"/>
                <w:szCs w:val="20"/>
                <w:color w:val="auto"/>
              </w:rPr>
            </w:pPr>
            <w:r>
              <w:rPr>
                <w:rFonts w:ascii="Arial" w:cs="Arial" w:eastAsia="Arial" w:hAnsi="Arial"/>
                <w:sz w:val="13"/>
                <w:szCs w:val="13"/>
                <w:color w:val="auto"/>
              </w:rPr>
              <w:t>Audit Committee financial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80" w:type="dxa"/>
            <w:vAlign w:val="bottom"/>
          </w:tcPr>
          <w:p>
            <w:pPr>
              <w:ind w:left="240"/>
              <w:spacing w:after="0"/>
              <w:rPr>
                <w:sz w:val="20"/>
                <w:szCs w:val="20"/>
                <w:color w:val="auto"/>
              </w:rPr>
            </w:pPr>
            <w:r>
              <w:rPr>
                <w:rFonts w:ascii="Arial" w:cs="Arial" w:eastAsia="Arial" w:hAnsi="Arial"/>
                <w:sz w:val="13"/>
                <w:szCs w:val="13"/>
                <w:color w:val="auto"/>
              </w:rPr>
              <w:t>​​Chairman of the Board    ​ ​</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​​Committee Chair</w:t>
            </w:r>
          </w:p>
        </w:tc>
        <w:tc>
          <w:tcPr>
            <w:tcW w:w="400" w:type="dxa"/>
            <w:vAlign w:val="bottom"/>
          </w:tcPr>
          <w:p>
            <w:pPr>
              <w:jc w:val="right"/>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24"/>
                <w:szCs w:val="24"/>
                <w:color w:val="auto"/>
              </w:rPr>
            </w:pPr>
          </w:p>
        </w:tc>
        <w:tc>
          <w:tcPr>
            <w:tcW w:w="1320" w:type="dxa"/>
            <w:vAlign w:val="bottom"/>
            <w:gridSpan w:val="3"/>
          </w:tcPr>
          <w:p>
            <w:pPr>
              <w:ind w:left="120"/>
              <w:spacing w:after="0"/>
              <w:rPr>
                <w:sz w:val="20"/>
                <w:szCs w:val="20"/>
                <w:color w:val="auto"/>
              </w:rPr>
            </w:pPr>
            <w:r>
              <w:rPr>
                <w:rFonts w:ascii="Arial" w:cs="Arial" w:eastAsia="Arial" w:hAnsi="Arial"/>
                <w:sz w:val="13"/>
                <w:szCs w:val="13"/>
                <w:color w:val="auto"/>
              </w:rPr>
              <w:t>​​Committee Member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05"/>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Director</w:t>
            </w:r>
          </w:p>
        </w:tc>
        <w:tc>
          <w:tcPr>
            <w:tcW w:w="260" w:type="dxa"/>
            <w:vAlign w:val="bottom"/>
          </w:tcPr>
          <w:p>
            <w:pPr>
              <w:spacing w:after="0"/>
              <w:rPr>
                <w:sz w:val="24"/>
                <w:szCs w:val="24"/>
                <w:color w:val="auto"/>
              </w:rPr>
            </w:pPr>
          </w:p>
        </w:tc>
        <w:tc>
          <w:tcPr>
            <w:tcW w:w="520" w:type="dxa"/>
            <w:vAlign w:val="bottom"/>
          </w:tcPr>
          <w:p>
            <w:pPr>
              <w:jc w:val="right"/>
              <w:ind w:right="162"/>
              <w:spacing w:after="0"/>
              <w:rPr>
                <w:sz w:val="20"/>
                <w:szCs w:val="20"/>
                <w:color w:val="auto"/>
              </w:rPr>
            </w:pPr>
            <w:r>
              <w:rPr>
                <w:rFonts w:ascii="Arial" w:cs="Arial" w:eastAsia="Arial" w:hAnsi="Arial"/>
                <w:sz w:val="13"/>
                <w:szCs w:val="13"/>
                <w:color w:val="auto"/>
              </w:rPr>
              <w:t>​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ind w:right="289"/>
              <w:spacing w:after="0"/>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expert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-6745605</wp:posOffset>
            </wp:positionV>
            <wp:extent cx="6009005" cy="6866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09005" cy="6866255"/>
                    </a:xfrm>
                    <a:prstGeom prst="rect">
                      <a:avLst/>
                    </a:prstGeom>
                    <a:noFill/>
                  </pic:spPr>
                </pic:pic>
              </a:graphicData>
            </a:graphic>
          </wp:anchor>
        </w:drawing>
      </w:r>
    </w:p>
    <w:p>
      <w:pPr>
        <w:spacing w:after="0" w:line="358" w:lineRule="exact"/>
        <w:rPr>
          <w:sz w:val="20"/>
          <w:szCs w:val="20"/>
          <w:color w:val="auto"/>
        </w:rPr>
      </w:pPr>
    </w:p>
    <w:p>
      <w:pPr>
        <w:ind w:left="860" w:hanging="359"/>
        <w:spacing w:after="0"/>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Refers to the period from the completion of our IPO in August 2016.</w:t>
      </w:r>
    </w:p>
    <w:p>
      <w:pPr>
        <w:spacing w:after="0" w:line="302"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Snapshot of the Board</w:t>
      </w:r>
    </w:p>
    <w:p>
      <w:pPr>
        <w:spacing w:after="0" w:line="35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Board Diversity, Director Independence and Tenure (as of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3617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40"/>
        <w:spacing w:after="0"/>
        <w:tabs>
          <w:tab w:leader="none" w:pos="6800" w:val="left"/>
        </w:tabs>
        <w:rPr>
          <w:sz w:val="20"/>
          <w:szCs w:val="20"/>
          <w:color w:val="auto"/>
        </w:rPr>
      </w:pPr>
      <w:r>
        <w:rPr>
          <w:rFonts w:ascii="Arial" w:cs="Arial" w:eastAsia="Arial" w:hAnsi="Arial"/>
          <w:sz w:val="14"/>
          <w:szCs w:val="14"/>
          <w:color w:val="auto"/>
        </w:rPr>
        <w:t>*</w:t>
        <w:tab/>
        <w:t>Refers to the period from the completion of our</w:t>
      </w:r>
    </w:p>
    <w:p>
      <w:pPr>
        <w:spacing w:after="0" w:line="42"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IPO in August 2016.</w:t>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tabs>
          <w:tab w:leader="none" w:pos="9420" w:val="left"/>
          <w:tab w:leader="none" w:pos="976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w:t>
      </w:r>
      <w:r>
        <w:rPr>
          <w:sz w:val="20"/>
          <w:szCs w:val="20"/>
          <w:color w:val="auto"/>
        </w:rPr>
        <w:tab/>
      </w:r>
      <w:r>
        <w:rPr>
          <w:rFonts w:ascii="Arial" w:cs="Arial" w:eastAsia="Arial" w:hAnsi="Arial"/>
          <w:sz w:val="16"/>
          <w:szCs w:val="16"/>
          <w:b w:val="1"/>
          <w:bCs w:val="1"/>
          <w:color w:val="BF5B5A"/>
        </w:rPr>
        <w:t>5</w:t>
      </w:r>
      <w:r>
        <w:rPr>
          <w:rFonts w:ascii="Arial" w:cs="Arial" w:eastAsia="Arial" w:hAnsi="Arial"/>
          <w:sz w:val="32"/>
          <w:szCs w:val="32"/>
          <w:b w:val="1"/>
          <w:bCs w:val="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2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9"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3880" w:type="dxa"/>
            <w:vAlign w:val="bottom"/>
            <w:shd w:val="clear" w:color="auto" w:fill="BF5B5A"/>
          </w:tcPr>
          <w:p>
            <w:pPr>
              <w:jc w:val="right"/>
              <w:ind w:right="3665"/>
              <w:spacing w:after="0"/>
              <w:rPr>
                <w:sz w:val="20"/>
                <w:szCs w:val="20"/>
                <w:color w:val="auto"/>
              </w:rPr>
            </w:pPr>
            <w:r>
              <w:rPr>
                <w:rFonts w:ascii="Arial" w:cs="Arial" w:eastAsia="Arial" w:hAnsi="Arial"/>
                <w:sz w:val="16"/>
                <w:szCs w:val="16"/>
                <w:b w:val="1"/>
                <w:bCs w:val="1"/>
                <w:color w:val="FFFFFF"/>
              </w:rPr>
              <w:t>​ ​</w:t>
            </w:r>
          </w:p>
        </w:tc>
        <w:tc>
          <w:tcPr>
            <w:tcW w:w="900" w:type="dxa"/>
            <w:vAlign w:val="bottom"/>
            <w:shd w:val="clear" w:color="auto" w:fill="BF5B5A"/>
          </w:tcPr>
          <w:p>
            <w:pPr>
              <w:ind w:left="580"/>
              <w:spacing w:after="0"/>
              <w:rPr>
                <w:sz w:val="20"/>
                <w:szCs w:val="20"/>
                <w:color w:val="auto"/>
              </w:rPr>
            </w:pPr>
            <w:r>
              <w:rPr>
                <w:rFonts w:ascii="Arial" w:cs="Arial" w:eastAsia="Arial" w:hAnsi="Arial"/>
                <w:sz w:val="16"/>
                <w:szCs w:val="16"/>
                <w:b w:val="1"/>
                <w:bCs w:val="1"/>
                <w:color w:val="FFFFFF"/>
              </w:rPr>
              <w:t>​ ​</w:t>
            </w:r>
          </w:p>
        </w:tc>
        <w:tc>
          <w:tcPr>
            <w:tcW w:w="300" w:type="dxa"/>
            <w:vAlign w:val="bottom"/>
            <w:shd w:val="clear" w:color="auto" w:fill="BF5B5A"/>
          </w:tcPr>
          <w:p>
            <w:pPr>
              <w:spacing w:after="0"/>
              <w:rPr>
                <w:sz w:val="21"/>
                <w:szCs w:val="21"/>
                <w:color w:val="auto"/>
              </w:rPr>
            </w:pPr>
          </w:p>
        </w:tc>
        <w:tc>
          <w:tcPr>
            <w:tcW w:w="3880" w:type="dxa"/>
            <w:vAlign w:val="bottom"/>
            <w:gridSpan w:val="6"/>
            <w:shd w:val="clear" w:color="auto" w:fill="BF5B5A"/>
          </w:tcPr>
          <w:p>
            <w:pPr>
              <w:ind w:left="40"/>
              <w:spacing w:after="0"/>
              <w:rPr>
                <w:sz w:val="20"/>
                <w:szCs w:val="20"/>
                <w:color w:val="auto"/>
              </w:rPr>
            </w:pPr>
            <w:r>
              <w:rPr>
                <w:rFonts w:ascii="Arial" w:cs="Arial" w:eastAsia="Arial" w:hAnsi="Arial"/>
                <w:sz w:val="16"/>
                <w:szCs w:val="16"/>
                <w:b w:val="1"/>
                <w:bCs w:val="1"/>
                <w:color w:val="FFFFFF"/>
              </w:rPr>
              <w:t>Board Diversity Matrix (as of March 14, 2024)</w:t>
            </w:r>
          </w:p>
        </w:tc>
        <w:tc>
          <w:tcPr>
            <w:tcW w:w="22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r>
      <w:tr>
        <w:trPr>
          <w:trHeight w:val="257"/>
        </w:trPr>
        <w:tc>
          <w:tcPr>
            <w:tcW w:w="388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Total Number of Directors</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spacing w:after="0"/>
              <w:rPr>
                <w:sz w:val="22"/>
                <w:szCs w:val="22"/>
                <w:color w:val="auto"/>
              </w:rPr>
            </w:pPr>
          </w:p>
        </w:tc>
        <w:tc>
          <w:tcPr>
            <w:tcW w:w="4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7F7F7F"/>
            </w:tcBorders>
          </w:tcPr>
          <w:p>
            <w:pPr>
              <w:spacing w:after="0"/>
              <w:rPr>
                <w:sz w:val="22"/>
                <w:szCs w:val="22"/>
                <w:color w:val="auto"/>
              </w:rPr>
            </w:pP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2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jc w:val="right"/>
              <w:ind w:right="3665"/>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080" w:type="dxa"/>
            <w:vAlign w:val="bottom"/>
            <w:tcBorders>
              <w:bottom w:val="single" w:sz="8" w:color="7F7F7F"/>
            </w:tcBorders>
            <w:gridSpan w:val="8"/>
          </w:tcPr>
          <w:p>
            <w:pPr>
              <w:ind w:left="6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Female </w:t>
            </w:r>
            <w:r>
              <w:rPr>
                <w:rFonts w:ascii="Arial" w:cs="Arial" w:eastAsia="Arial" w:hAnsi="Arial"/>
                <w:sz w:val="28"/>
                <w:szCs w:val="28"/>
                <w:color w:val="auto"/>
                <w:vertAlign w:val="subscript"/>
              </w:rPr>
              <w:t>​ ​</w:t>
            </w:r>
            <w:r>
              <w:rPr>
                <w:rFonts w:ascii="Arial" w:cs="Arial" w:eastAsia="Arial" w:hAnsi="Arial"/>
                <w:sz w:val="15"/>
                <w:szCs w:val="15"/>
                <w:color w:val="auto"/>
              </w:rPr>
              <w:t xml:space="preserve">Male </w:t>
            </w:r>
            <w:r>
              <w:rPr>
                <w:rFonts w:ascii="Arial" w:cs="Arial" w:eastAsia="Arial" w:hAnsi="Arial"/>
                <w:sz w:val="28"/>
                <w:szCs w:val="28"/>
                <w:color w:val="auto"/>
                <w:vertAlign w:val="subscript"/>
              </w:rPr>
              <w:t>​ ​</w:t>
            </w:r>
            <w:r>
              <w:rPr>
                <w:rFonts w:ascii="Arial" w:cs="Arial" w:eastAsia="Arial" w:hAnsi="Arial"/>
                <w:sz w:val="15"/>
                <w:szCs w:val="15"/>
                <w:color w:val="auto"/>
              </w:rPr>
              <w:t xml:space="preserve">Non-Binary </w:t>
            </w:r>
            <w:r>
              <w:rPr>
                <w:rFonts w:ascii="Arial" w:cs="Arial" w:eastAsia="Arial" w:hAnsi="Arial"/>
                <w:sz w:val="28"/>
                <w:szCs w:val="28"/>
                <w:color w:val="auto"/>
                <w:vertAlign w:val="subscript"/>
              </w:rPr>
              <w:t>​ ​</w:t>
            </w:r>
            <w:r>
              <w:rPr>
                <w:rFonts w:ascii="Arial" w:cs="Arial" w:eastAsia="Arial" w:hAnsi="Arial"/>
                <w:sz w:val="15"/>
                <w:szCs w:val="15"/>
                <w:color w:val="auto"/>
              </w:rPr>
              <w:t>Did Not Disclose Gender</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 Gender Identity</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7F7F7F"/>
            </w:tcBorders>
          </w:tcPr>
          <w:p>
            <w:pPr>
              <w:ind w:left="1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b w:val="1"/>
                <w:bCs w:val="1"/>
                <w:color w:val="auto"/>
              </w:rPr>
              <w:t>​ ​</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b w:val="1"/>
                <w:bCs w:val="1"/>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tcBorders>
              <w:bottom w:val="single" w:sz="8" w:color="7F7F7F"/>
            </w:tcBorders>
          </w:tcPr>
          <w:p>
            <w:pPr>
              <w:jc w:val="center"/>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b w:val="1"/>
                <w:bCs w:val="1"/>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Directors</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II: Demographic Background</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7F7F7F"/>
            </w:tcBorders>
          </w:tcPr>
          <w:p>
            <w:pPr>
              <w:ind w:left="1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b w:val="1"/>
                <w:bCs w:val="1"/>
                <w:color w:val="auto"/>
              </w:rPr>
              <w:t>​ ​</w:t>
            </w:r>
          </w:p>
        </w:tc>
        <w:tc>
          <w:tcPr>
            <w:tcW w:w="280" w:type="dxa"/>
            <w:vAlign w:val="bottom"/>
            <w:tcBorders>
              <w:bottom w:val="single" w:sz="8" w:color="7F7F7F"/>
            </w:tcBorders>
          </w:tcPr>
          <w:p>
            <w:pPr>
              <w:ind w:left="12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b w:val="1"/>
                <w:bCs w:val="1"/>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b w:val="1"/>
                <w:bCs w:val="1"/>
                <w:color w:val="auto"/>
              </w:rPr>
              <w:t>​ ​</w:t>
            </w:r>
          </w:p>
        </w:tc>
        <w:tc>
          <w:tcPr>
            <w:tcW w:w="1420" w:type="dxa"/>
            <w:vAlign w:val="bottom"/>
            <w:tcBorders>
              <w:bottom w:val="single" w:sz="8" w:color="7F7F7F"/>
            </w:tcBorders>
          </w:tcPr>
          <w:p>
            <w:pPr>
              <w:jc w:val="center"/>
              <w:ind w:right="29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b w:val="1"/>
                <w:bCs w:val="1"/>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African American or Black</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Alaskan Native or Native American</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Asian</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Hispanic or Latinx</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Native Hawaiian or Pacific Islander</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White</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Two or More Races or Ethnicities</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LGBTQ+</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50"/>
        </w:trPr>
        <w:tc>
          <w:tcPr>
            <w:tcW w:w="38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Did Not Disclose Demographic Background</w:t>
            </w:r>
          </w:p>
        </w:tc>
        <w:tc>
          <w:tcPr>
            <w:tcW w:w="900" w:type="dxa"/>
            <w:vAlign w:val="bottom"/>
            <w:tcBorders>
              <w:bottom w:val="single" w:sz="8" w:color="7F7F7F"/>
            </w:tcBorders>
          </w:tcPr>
          <w:p>
            <w:pPr>
              <w:ind w:left="64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220"/>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tcPr>
          <w:p>
            <w:pPr>
              <w:jc w:val="center"/>
              <w:ind w:right="339"/>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120015</wp:posOffset>
            </wp:positionV>
            <wp:extent cx="5854700" cy="1577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54700" cy="157734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7F7F7F"/>
        </w:rPr>
        <w:t>PROXY STATEMENT SUMMARY</w:t>
      </w:r>
    </w:p>
    <w:p>
      <w:pPr>
        <w:spacing w:after="0" w:line="32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Board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0" w:lineRule="exact"/>
        <w:rPr>
          <w:sz w:val="20"/>
          <w:szCs w:val="20"/>
          <w:color w:val="auto"/>
        </w:rPr>
      </w:pPr>
    </w:p>
    <w:p>
      <w:pPr>
        <w:ind w:left="780" w:right="100"/>
        <w:spacing w:after="0" w:line="281" w:lineRule="auto"/>
        <w:rPr>
          <w:sz w:val="20"/>
          <w:szCs w:val="20"/>
          <w:color w:val="auto"/>
        </w:rPr>
      </w:pPr>
      <w:r>
        <w:rPr>
          <w:rFonts w:ascii="Arial" w:cs="Arial" w:eastAsia="Arial" w:hAnsi="Arial"/>
          <w:sz w:val="18"/>
          <w:szCs w:val="18"/>
          <w:color w:val="auto"/>
        </w:rPr>
        <w:t>The following section summarizes the specific skills, professional experience and background information of each director nominee that led the Board of Directors to conclude that each such person should serve on the Board of Directors. This matrix is intended to provide a summary of our director nominees’ qualifications and is not a complete list of each director nominee’s strengths or contributions to the Board of Directors. Additional details on each director nominee’s experiences, qualifications, skills and attributes are set forth in their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297180</wp:posOffset>
            </wp:positionV>
            <wp:extent cx="1774190" cy="11226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74190" cy="1122680"/>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0" w:hanging="160"/>
        <w:spacing w:after="0"/>
        <w:tabs>
          <w:tab w:leader="none" w:pos="940" w:val="left"/>
        </w:tabs>
        <w:numPr>
          <w:ilvl w:val="0"/>
          <w:numId w:val="22"/>
        </w:numPr>
        <w:rPr>
          <w:rFonts w:ascii="Arial" w:cs="Arial" w:eastAsia="Arial" w:hAnsi="Arial"/>
          <w:sz w:val="29"/>
          <w:szCs w:val="29"/>
          <w:b w:val="1"/>
          <w:bCs w:val="1"/>
          <w:color w:val="FFFFFF"/>
          <w:vertAlign w:val="subscript"/>
        </w:rPr>
      </w:pPr>
      <w:r>
        <w:rPr>
          <w:rFonts w:ascii="Arial" w:cs="Arial" w:eastAsia="Arial" w:hAnsi="Arial"/>
          <w:sz w:val="14"/>
          <w:szCs w:val="14"/>
          <w:b w:val="1"/>
          <w:bCs w:val="1"/>
          <w:color w:val="FFFFFF"/>
        </w:rPr>
        <w:t>Director Skills and Experience</w:t>
      </w:r>
    </w:p>
    <w:p>
      <w:pPr>
        <w:spacing w:after="0" w:line="336" w:lineRule="exact"/>
        <w:rPr>
          <w:rFonts w:ascii="Arial" w:cs="Arial" w:eastAsia="Arial" w:hAnsi="Arial"/>
          <w:sz w:val="29"/>
          <w:szCs w:val="29"/>
          <w:b w:val="1"/>
          <w:bCs w:val="1"/>
          <w:color w:val="FFFFFF"/>
          <w:vertAlign w:val="subscript"/>
        </w:rPr>
      </w:pPr>
    </w:p>
    <w:p>
      <w:pPr>
        <w:ind w:left="960" w:hanging="126"/>
        <w:spacing w:after="0"/>
        <w:tabs>
          <w:tab w:leader="none" w:pos="960" w:val="left"/>
        </w:tabs>
        <w:numPr>
          <w:ilvl w:val="1"/>
          <w:numId w:val="22"/>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231140" cy="2311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140" cy="231140"/>
                    </a:xfrm>
                    <a:prstGeom prst="rect">
                      <a:avLst/>
                    </a:prstGeom>
                    <a:noFill/>
                    <a:ln>
                      <a:noFill/>
                    </a:ln>
                  </pic:spPr>
                </pic:pic>
              </a:graphicData>
            </a:graphic>
          </wp:inline>
        </w:drawing>
      </w:r>
      <w:r>
        <w:rPr>
          <w:rFonts w:ascii="Arial" w:cs="Arial" w:eastAsia="Arial" w:hAnsi="Arial"/>
          <w:sz w:val="14"/>
          <w:szCs w:val="14"/>
          <w:color w:val="auto"/>
        </w:rPr>
        <w:t xml:space="preserve"> ​</w:t>
      </w:r>
      <w:r>
        <w:rPr>
          <w:rFonts w:ascii="Arial" w:cs="Arial" w:eastAsia="Arial" w:hAnsi="Arial"/>
          <w:sz w:val="14"/>
          <w:szCs w:val="14"/>
          <w:b w:val="1"/>
          <w:bCs w:val="1"/>
          <w:color w:val="auto"/>
        </w:rPr>
        <w:t>Audit and finance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900" w:hanging="120"/>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248285" cy="2317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8285" cy="231775"/>
                    </a:xfrm>
                    <a:prstGeom prst="rect">
                      <a:avLst/>
                    </a:prstGeom>
                    <a:noFill/>
                    <a:ln>
                      <a:noFill/>
                    </a:ln>
                  </pic:spPr>
                </pic:pic>
              </a:graphicData>
            </a:graphic>
          </wp:inline>
        </w:drawing>
      </w:r>
      <w:r>
        <w:rPr>
          <w:rFonts w:ascii="Arial" w:cs="Arial" w:eastAsia="Arial" w:hAnsi="Arial"/>
          <w:sz w:val="14"/>
          <w:szCs w:val="14"/>
          <w:color w:val="auto"/>
        </w:rPr>
        <w:t xml:space="preserve">  ​</w:t>
      </w:r>
      <w:r>
        <w:rPr>
          <w:rFonts w:ascii="Arial" w:cs="Arial" w:eastAsia="Arial" w:hAnsi="Arial"/>
          <w:sz w:val="14"/>
          <w:szCs w:val="14"/>
          <w:b w:val="1"/>
          <w:bCs w:val="1"/>
          <w:color w:val="auto"/>
        </w:rPr>
        <w:t>Banking</w:t>
      </w:r>
    </w:p>
    <w:p>
      <w:pPr>
        <w:spacing w:after="0" w:line="200" w:lineRule="exact"/>
        <w:rPr>
          <w:rFonts w:ascii="Arial" w:cs="Arial" w:eastAsia="Arial" w:hAnsi="Arial"/>
          <w:sz w:val="14"/>
          <w:szCs w:val="14"/>
          <w:color w:val="auto"/>
        </w:rPr>
      </w:pPr>
    </w:p>
    <w:p>
      <w:pPr>
        <w:spacing w:after="0" w:line="296" w:lineRule="exact"/>
        <w:rPr>
          <w:rFonts w:ascii="Arial" w:cs="Arial" w:eastAsia="Arial" w:hAnsi="Arial"/>
          <w:sz w:val="14"/>
          <w:szCs w:val="14"/>
          <w:color w:val="auto"/>
        </w:rPr>
      </w:pPr>
    </w:p>
    <w:p>
      <w:pPr>
        <w:ind w:left="900" w:hanging="120"/>
        <w:spacing w:after="0"/>
        <w:tabs>
          <w:tab w:leader="none" w:pos="900" w:val="left"/>
        </w:tabs>
        <w:numPr>
          <w:ilvl w:val="0"/>
          <w:numId w:val="22"/>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240030" cy="2400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0030" cy="240030"/>
                    </a:xfrm>
                    <a:prstGeom prst="rect">
                      <a:avLst/>
                    </a:prstGeom>
                    <a:noFill/>
                    <a:ln>
                      <a:noFill/>
                    </a:ln>
                  </pic:spPr>
                </pic:pic>
              </a:graphicData>
            </a:graphic>
          </wp:inline>
        </w:drawing>
      </w:r>
      <w:r>
        <w:rPr>
          <w:rFonts w:ascii="Arial" w:cs="Arial" w:eastAsia="Arial" w:hAnsi="Arial"/>
          <w:sz w:val="14"/>
          <w:szCs w:val="14"/>
          <w:color w:val="auto"/>
        </w:rPr>
        <w:t xml:space="preserve">  ​</w:t>
      </w:r>
      <w:r>
        <w:rPr>
          <w:rFonts w:ascii="Arial" w:cs="Arial" w:eastAsia="Arial" w:hAnsi="Arial"/>
          <w:sz w:val="14"/>
          <w:szCs w:val="14"/>
          <w:b w:val="1"/>
          <w:bCs w:val="1"/>
          <w:color w:val="auto"/>
        </w:rPr>
        <w:t>Public company</w:t>
      </w:r>
    </w:p>
    <w:p>
      <w:pPr>
        <w:spacing w:after="0" w:line="200" w:lineRule="exact"/>
        <w:rPr>
          <w:sz w:val="20"/>
          <w:szCs w:val="20"/>
          <w:color w:val="auto"/>
        </w:rPr>
      </w:pPr>
    </w:p>
    <w:p>
      <w:pPr>
        <w:spacing w:after="0" w:line="279" w:lineRule="exact"/>
        <w:rPr>
          <w:sz w:val="20"/>
          <w:szCs w:val="20"/>
          <w:color w:val="auto"/>
        </w:rPr>
      </w:pPr>
    </w:p>
    <w:tbl>
      <w:tblPr>
        <w:tblLayout w:type="fixed"/>
        <w:tblInd w:w="780" w:type="dxa"/>
        <w:tblCellMar>
          <w:top w:w="0" w:type="dxa"/>
          <w:left w:w="0" w:type="dxa"/>
          <w:bottom w:w="0" w:type="dxa"/>
          <w:right w:w="0" w:type="dxa"/>
        </w:tblCellMar>
      </w:tblPr>
      <w:tr>
        <w:trPr>
          <w:trHeight w:val="322"/>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2000" w:type="dxa"/>
            <w:vAlign w:val="bottom"/>
          </w:tcPr>
          <w:p>
            <w:pPr>
              <w:ind w:left="3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Community affairs /</w:t>
            </w:r>
          </w:p>
        </w:tc>
      </w:tr>
      <w:tr>
        <w:trPr>
          <w:trHeight w:val="196"/>
        </w:trPr>
        <w:tc>
          <w:tcPr>
            <w:tcW w:w="340" w:type="dxa"/>
            <w:vAlign w:val="bottom"/>
          </w:tcPr>
          <w:p>
            <w:pPr>
              <w:spacing w:after="0"/>
              <w:rPr>
                <w:sz w:val="17"/>
                <w:szCs w:val="17"/>
                <w:color w:val="auto"/>
              </w:rPr>
            </w:pPr>
          </w:p>
        </w:tc>
        <w:tc>
          <w:tcPr>
            <w:tcW w:w="2000" w:type="dxa"/>
            <w:vAlign w:val="bottom"/>
          </w:tcPr>
          <w:p>
            <w:pPr>
              <w:ind w:left="300"/>
              <w:spacing w:after="0"/>
              <w:rPr>
                <w:sz w:val="20"/>
                <w:szCs w:val="20"/>
                <w:color w:val="auto"/>
              </w:rPr>
            </w:pPr>
            <w:r>
              <w:rPr>
                <w:rFonts w:ascii="Arial" w:cs="Arial" w:eastAsia="Arial" w:hAnsi="Arial"/>
                <w:sz w:val="14"/>
                <w:szCs w:val="14"/>
                <w:b w:val="1"/>
                <w:bCs w:val="1"/>
                <w:color w:val="auto"/>
              </w:rPr>
              <w:t>engagement</w:t>
            </w:r>
          </w:p>
        </w:tc>
      </w:tr>
      <w:tr>
        <w:trPr>
          <w:trHeight w:val="985"/>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2000" w:type="dxa"/>
            <w:vAlign w:val="bottom"/>
          </w:tcPr>
          <w:p>
            <w:pPr>
              <w:ind w:left="30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Senior management / CEO</w:t>
            </w:r>
          </w:p>
        </w:tc>
      </w:tr>
      <w:tr>
        <w:trPr>
          <w:trHeight w:val="1093"/>
        </w:trPr>
        <w:tc>
          <w:tcPr>
            <w:tcW w:w="340" w:type="dxa"/>
            <w:vAlign w:val="bottom"/>
          </w:tcPr>
          <w:p>
            <w:pPr>
              <w:spacing w:after="0"/>
              <w:rPr>
                <w:sz w:val="20"/>
                <w:szCs w:val="20"/>
                <w:color w:val="auto"/>
              </w:rPr>
            </w:pPr>
            <w:r>
              <w:rPr>
                <w:rFonts w:ascii="Arial" w:cs="Arial" w:eastAsia="Arial" w:hAnsi="Arial"/>
                <w:sz w:val="14"/>
                <w:szCs w:val="14"/>
                <w:color w:val="auto"/>
              </w:rPr>
              <w:t>​</w:t>
            </w:r>
          </w:p>
        </w:tc>
        <w:tc>
          <w:tcPr>
            <w:tcW w:w="2000" w:type="dxa"/>
            <w:vAlign w:val="bottom"/>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Real estate</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00" w:hanging="120"/>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
          <w:szCs w:val="1"/>
          <w:color w:val="auto"/>
        </w:rPr>
        <w:drawing>
          <wp:inline distT="0" distB="0" distL="0" distR="0">
            <wp:extent cx="248285"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8285" cy="240030"/>
                    </a:xfrm>
                    <a:prstGeom prst="rect">
                      <a:avLst/>
                    </a:prstGeom>
                    <a:noFill/>
                    <a:ln>
                      <a:noFill/>
                    </a:ln>
                  </pic:spPr>
                </pic:pic>
              </a:graphicData>
            </a:graphic>
          </wp:inline>
        </w:drawing>
      </w:r>
      <w:r>
        <w:rPr>
          <w:rFonts w:ascii="Arial" w:cs="Arial" w:eastAsia="Arial" w:hAnsi="Arial"/>
          <w:sz w:val="13"/>
          <w:szCs w:val="13"/>
          <w:color w:val="auto"/>
        </w:rPr>
        <w:t xml:space="preserve">  ​</w:t>
      </w:r>
      <w:r>
        <w:rPr>
          <w:rFonts w:ascii="Arial" w:cs="Arial" w:eastAsia="Arial" w:hAnsi="Arial"/>
          <w:sz w:val="13"/>
          <w:szCs w:val="13"/>
          <w:b w:val="1"/>
          <w:bCs w:val="1"/>
          <w:color w:val="auto"/>
        </w:rPr>
        <w:t>Legal and regulatory oversight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99" w:lineRule="exact"/>
        <w:rPr>
          <w:rFonts w:ascii="Arial" w:cs="Arial" w:eastAsia="Arial" w:hAnsi="Arial"/>
          <w:sz w:val="13"/>
          <w:szCs w:val="13"/>
          <w:color w:val="auto"/>
        </w:rPr>
      </w:pPr>
    </w:p>
    <w:p>
      <w:pPr>
        <w:ind w:left="900" w:hanging="120"/>
        <w:spacing w:after="0"/>
        <w:tabs>
          <w:tab w:leader="none" w:pos="900" w:val="left"/>
        </w:tabs>
        <w:numPr>
          <w:ilvl w:val="0"/>
          <w:numId w:val="23"/>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248285" cy="1968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8285" cy="196850"/>
                    </a:xfrm>
                    <a:prstGeom prst="rect">
                      <a:avLst/>
                    </a:prstGeom>
                    <a:noFill/>
                    <a:ln>
                      <a:noFill/>
                    </a:ln>
                  </pic:spPr>
                </pic:pic>
              </a:graphicData>
            </a:graphic>
          </wp:inline>
        </w:drawing>
      </w:r>
      <w:r>
        <w:rPr>
          <w:rFonts w:ascii="Arial" w:cs="Arial" w:eastAsia="Arial" w:hAnsi="Arial"/>
          <w:sz w:val="14"/>
          <w:szCs w:val="14"/>
          <w:color w:val="auto"/>
        </w:rPr>
        <w:t xml:space="preserve">  ​</w:t>
      </w:r>
      <w:r>
        <w:rPr>
          <w:rFonts w:ascii="Arial" w:cs="Arial" w:eastAsia="Arial" w:hAnsi="Arial"/>
          <w:sz w:val="14"/>
          <w:szCs w:val="14"/>
          <w:b w:val="1"/>
          <w:bCs w:val="1"/>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231775</wp:posOffset>
            </wp:positionV>
            <wp:extent cx="2143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0"/>
        </w:trPr>
        <w:tc>
          <w:tcPr>
            <w:tcW w:w="120" w:type="dxa"/>
            <w:vAlign w:val="bottom"/>
            <w:tcBorders>
              <w:right w:val="single" w:sz="8" w:color="FEFEFE"/>
            </w:tcBorders>
            <w:vMerge w:val="restart"/>
          </w:tcPr>
          <w:p>
            <w:pPr>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7"/>
              <w:spacing w:after="0"/>
              <w:rPr>
                <w:sz w:val="20"/>
                <w:szCs w:val="20"/>
                <w:color w:val="auto"/>
              </w:rPr>
            </w:pPr>
            <w:r>
              <w:rPr>
                <w:rFonts w:ascii="Arial" w:cs="Arial" w:eastAsia="Arial" w:hAnsi="Arial"/>
                <w:sz w:val="14"/>
                <w:szCs w:val="14"/>
                <w:b w:val="1"/>
                <w:bCs w:val="1"/>
                <w:color w:val="FFFFFF"/>
                <w:w w:val="96"/>
              </w:rPr>
              <w:t>MICHAEL K. FUJIMOTO</w:t>
            </w:r>
          </w:p>
        </w:tc>
        <w:tc>
          <w:tcPr>
            <w:tcW w:w="180" w:type="dxa"/>
            <w:vAlign w:val="bottom"/>
            <w:tcBorders>
              <w:right w:val="single" w:sz="8" w:color="FEFEFE"/>
            </w:tcBorders>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7"/>
              <w:spacing w:after="0"/>
              <w:rPr>
                <w:sz w:val="20"/>
                <w:szCs w:val="20"/>
                <w:color w:val="auto"/>
              </w:rPr>
            </w:pPr>
            <w:r>
              <w:rPr>
                <w:rFonts w:ascii="Arial" w:cs="Arial" w:eastAsia="Arial" w:hAnsi="Arial"/>
                <w:sz w:val="14"/>
                <w:szCs w:val="14"/>
                <w:b w:val="1"/>
                <w:bCs w:val="1"/>
                <w:color w:val="FFFFFF"/>
                <w:w w:val="96"/>
              </w:rPr>
              <w:t>ROBERT S. HARRISON</w:t>
            </w:r>
          </w:p>
        </w:tc>
        <w:tc>
          <w:tcPr>
            <w:tcW w:w="180" w:type="dxa"/>
            <w:vAlign w:val="bottom"/>
            <w:tcBorders>
              <w:right w:val="single" w:sz="8" w:color="FEFEFE"/>
            </w:tcBorders>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8"/>
              <w:spacing w:after="0"/>
              <w:rPr>
                <w:sz w:val="20"/>
                <w:szCs w:val="20"/>
                <w:color w:val="auto"/>
              </w:rPr>
            </w:pPr>
            <w:r>
              <w:rPr>
                <w:rFonts w:ascii="Arial" w:cs="Arial" w:eastAsia="Arial" w:hAnsi="Arial"/>
                <w:sz w:val="14"/>
                <w:szCs w:val="14"/>
                <w:b w:val="1"/>
                <w:bCs w:val="1"/>
                <w:color w:val="FFFFFF"/>
                <w:w w:val="94"/>
              </w:rPr>
              <w:t>FAYE W. KURREN</w:t>
            </w:r>
          </w:p>
        </w:tc>
        <w:tc>
          <w:tcPr>
            <w:tcW w:w="180" w:type="dxa"/>
            <w:vAlign w:val="bottom"/>
            <w:tcBorders>
              <w:right w:val="single" w:sz="8" w:color="FEFEFE"/>
            </w:tcBorders>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8"/>
              <w:spacing w:after="0"/>
              <w:rPr>
                <w:sz w:val="20"/>
                <w:szCs w:val="20"/>
                <w:color w:val="auto"/>
              </w:rPr>
            </w:pPr>
            <w:r>
              <w:rPr>
                <w:rFonts w:ascii="Arial" w:cs="Arial" w:eastAsia="Arial" w:hAnsi="Arial"/>
                <w:sz w:val="14"/>
                <w:szCs w:val="14"/>
                <w:b w:val="1"/>
                <w:bCs w:val="1"/>
                <w:color w:val="FFFFFF"/>
                <w:w w:val="95"/>
              </w:rPr>
              <w:t>JAMES S. MOFFATT</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9"/>
              <w:spacing w:after="0"/>
              <w:rPr>
                <w:sz w:val="20"/>
                <w:szCs w:val="20"/>
                <w:color w:val="auto"/>
              </w:rPr>
            </w:pPr>
            <w:r>
              <w:rPr>
                <w:rFonts w:ascii="Arial" w:cs="Arial" w:eastAsia="Arial" w:hAnsi="Arial"/>
                <w:sz w:val="14"/>
                <w:szCs w:val="14"/>
                <w:b w:val="1"/>
                <w:bCs w:val="1"/>
                <w:color w:val="FFFFFF"/>
                <w:w w:val="97"/>
              </w:rPr>
              <w:t>MARK M. MUGIISHI</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99"/>
              <w:spacing w:after="0"/>
              <w:rPr>
                <w:sz w:val="20"/>
                <w:szCs w:val="20"/>
                <w:color w:val="auto"/>
              </w:rPr>
            </w:pPr>
            <w:r>
              <w:rPr>
                <w:rFonts w:ascii="Arial" w:cs="Arial" w:eastAsia="Arial" w:hAnsi="Arial"/>
                <w:sz w:val="14"/>
                <w:szCs w:val="14"/>
                <w:b w:val="1"/>
                <w:bCs w:val="1"/>
                <w:color w:val="FFFFFF"/>
                <w:w w:val="96"/>
              </w:rPr>
              <w:t>KELLY A. THOMPSON</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100"/>
              <w:spacing w:after="0"/>
              <w:rPr>
                <w:sz w:val="20"/>
                <w:szCs w:val="20"/>
                <w:color w:val="auto"/>
              </w:rPr>
            </w:pPr>
            <w:r>
              <w:rPr>
                <w:rFonts w:ascii="Arial" w:cs="Arial" w:eastAsia="Arial" w:hAnsi="Arial"/>
                <w:sz w:val="14"/>
                <w:szCs w:val="14"/>
                <w:b w:val="1"/>
                <w:bCs w:val="1"/>
                <w:color w:val="FFFFFF"/>
                <w:w w:val="97"/>
              </w:rPr>
              <w:t>ALLEN B. UYEDA</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8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extDirection w:val="btLr"/>
            <w:shd w:val="clear" w:color="auto" w:fill="BF5B5A"/>
          </w:tcPr>
          <w:p>
            <w:pPr>
              <w:spacing w:after="0"/>
              <w:rPr>
                <w:sz w:val="20"/>
                <w:szCs w:val="20"/>
                <w:color w:val="auto"/>
              </w:rPr>
            </w:pPr>
            <w:r>
              <w:rPr>
                <w:rFonts w:ascii="Arial" w:cs="Arial" w:eastAsia="Arial" w:hAnsi="Arial"/>
                <w:sz w:val="14"/>
                <w:szCs w:val="14"/>
                <w:b w:val="1"/>
                <w:bCs w:val="1"/>
                <w:color w:val="FFFFFF"/>
                <w:w w:val="95"/>
              </w:rPr>
              <w:t>VANESSA L.</w:t>
            </w:r>
          </w:p>
        </w:tc>
        <w:tc>
          <w:tcPr>
            <w:tcW w:w="200" w:type="dxa"/>
            <w:vAlign w:val="bottom"/>
            <w:textDirection w:val="btLr"/>
            <w:shd w:val="clear" w:color="auto" w:fill="BF5B5A"/>
          </w:tcPr>
          <w:p>
            <w:pPr>
              <w:ind w:left="35"/>
              <w:spacing w:after="0"/>
              <w:rPr>
                <w:sz w:val="20"/>
                <w:szCs w:val="20"/>
                <w:color w:val="auto"/>
              </w:rPr>
            </w:pPr>
            <w:r>
              <w:rPr>
                <w:rFonts w:ascii="Arial" w:cs="Arial" w:eastAsia="Arial" w:hAnsi="Arial"/>
                <w:sz w:val="14"/>
                <w:szCs w:val="14"/>
                <w:b w:val="1"/>
                <w:bCs w:val="1"/>
                <w:color w:val="FFFFFF"/>
                <w:w w:val="96"/>
              </w:rPr>
              <w:t>WASHINGTON</w:t>
            </w:r>
          </w:p>
        </w:tc>
        <w:tc>
          <w:tcPr>
            <w:tcW w:w="140" w:type="dxa"/>
            <w:vAlign w:val="bottom"/>
            <w:vMerge w:val="restart"/>
            <w:shd w:val="clear" w:color="auto" w:fill="BF5B5A"/>
          </w:tcPr>
          <w:p>
            <w:pPr>
              <w:ind w:left="4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101"/>
              <w:spacing w:after="0"/>
              <w:rPr>
                <w:sz w:val="20"/>
                <w:szCs w:val="20"/>
                <w:color w:val="auto"/>
              </w:rPr>
            </w:pPr>
            <w:r>
              <w:rPr>
                <w:rFonts w:ascii="Arial" w:cs="Arial" w:eastAsia="Arial" w:hAnsi="Arial"/>
                <w:sz w:val="14"/>
                <w:szCs w:val="14"/>
                <w:b w:val="1"/>
                <w:bCs w:val="1"/>
                <w:color w:val="FFFFFF"/>
                <w:w w:val="96"/>
              </w:rPr>
              <w:t>C. SCOTT WO</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280" w:type="dxa"/>
            <w:vAlign w:val="bottom"/>
            <w:textDirection w:val="btLr"/>
            <w:shd w:val="clear" w:color="auto" w:fill="BF5B5A"/>
          </w:tcPr>
          <w:p>
            <w:pPr>
              <w:ind w:left="101"/>
              <w:spacing w:after="0"/>
              <w:rPr>
                <w:sz w:val="20"/>
                <w:szCs w:val="20"/>
                <w:color w:val="auto"/>
              </w:rPr>
            </w:pPr>
            <w:r>
              <w:rPr>
                <w:rFonts w:ascii="Arial" w:cs="Arial" w:eastAsia="Arial" w:hAnsi="Arial"/>
                <w:sz w:val="14"/>
                <w:szCs w:val="14"/>
                <w:b w:val="1"/>
                <w:bCs w:val="1"/>
                <w:color w:val="FFFFFF"/>
              </w:rPr>
              <w:t># of 9 nominees</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BF5B5A"/>
          </w:tcPr>
          <w:p>
            <w:pPr>
              <w:ind w:left="20"/>
              <w:spacing w:after="0"/>
              <w:rPr>
                <w:sz w:val="20"/>
                <w:szCs w:val="20"/>
                <w:color w:val="auto"/>
              </w:rPr>
            </w:pPr>
            <w:r>
              <w:rPr>
                <w:rFonts w:ascii="Arial" w:cs="Arial" w:eastAsia="Arial" w:hAnsi="Arial"/>
                <w:sz w:val="14"/>
                <w:szCs w:val="14"/>
                <w:b w:val="1"/>
                <w:bCs w:val="1"/>
                <w:color w:val="FFFFFF"/>
              </w:rPr>
              <w:t>​</w:t>
            </w:r>
          </w:p>
        </w:tc>
        <w:tc>
          <w:tcPr>
            <w:tcW w:w="460" w:type="dxa"/>
            <w:vAlign w:val="bottom"/>
            <w:textDirection w:val="btLr"/>
            <w:shd w:val="clear" w:color="auto" w:fill="BF5B5A"/>
          </w:tcPr>
          <w:p>
            <w:pPr>
              <w:ind w:left="102"/>
              <w:spacing w:after="0"/>
              <w:rPr>
                <w:sz w:val="20"/>
                <w:szCs w:val="20"/>
                <w:color w:val="auto"/>
              </w:rPr>
            </w:pPr>
            <w:r>
              <w:rPr>
                <w:rFonts w:ascii="Arial" w:cs="Arial" w:eastAsia="Arial" w:hAnsi="Arial"/>
                <w:sz w:val="14"/>
                <w:szCs w:val="14"/>
                <w:b w:val="1"/>
                <w:bCs w:val="1"/>
                <w:color w:val="FFFFFF"/>
                <w:w w:val="99"/>
              </w:rPr>
              <w:t>% of 9 nominees</w:t>
            </w:r>
          </w:p>
        </w:tc>
        <w:tc>
          <w:tcPr>
            <w:tcW w:w="0" w:type="dxa"/>
            <w:vAlign w:val="bottom"/>
          </w:tcPr>
          <w:p>
            <w:pPr>
              <w:spacing w:after="0"/>
              <w:rPr>
                <w:sz w:val="1"/>
                <w:szCs w:val="1"/>
                <w:color w:val="auto"/>
              </w:rPr>
            </w:pPr>
          </w:p>
        </w:tc>
      </w:tr>
      <w:tr>
        <w:trPr>
          <w:trHeight w:val="122"/>
        </w:trPr>
        <w:tc>
          <w:tcPr>
            <w:tcW w:w="120" w:type="dxa"/>
            <w:vAlign w:val="bottom"/>
            <w:tcBorders>
              <w:right w:val="single" w:sz="8" w:color="FEFEFE"/>
            </w:tcBorders>
            <w:vMerge w:val="continue"/>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tcBorders>
              <w:right w:val="single" w:sz="8" w:color="FEFEFE"/>
            </w:tcBorders>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tcBorders>
              <w:right w:val="single" w:sz="8" w:color="FEFEFE"/>
            </w:tcBorders>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tcBorders>
              <w:right w:val="single" w:sz="8" w:color="FEFEFE"/>
            </w:tcBorders>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80" w:type="dxa"/>
            <w:vAlign w:val="bottom"/>
            <w:vMerge w:val="continue"/>
            <w:shd w:val="clear" w:color="auto" w:fill="BF5B5A"/>
          </w:tcPr>
          <w:p>
            <w:pPr>
              <w:spacing w:after="0"/>
              <w:rPr>
                <w:sz w:val="10"/>
                <w:szCs w:val="10"/>
                <w:color w:val="auto"/>
              </w:rPr>
            </w:pPr>
          </w:p>
        </w:tc>
        <w:tc>
          <w:tcPr>
            <w:tcW w:w="160" w:type="dxa"/>
            <w:vAlign w:val="bottom"/>
            <w:shd w:val="clear" w:color="auto" w:fill="BF5B5A"/>
          </w:tcPr>
          <w:p>
            <w:pPr>
              <w:spacing w:after="0"/>
              <w:rPr>
                <w:sz w:val="10"/>
                <w:szCs w:val="10"/>
                <w:color w:val="auto"/>
              </w:rPr>
            </w:pPr>
          </w:p>
        </w:tc>
        <w:tc>
          <w:tcPr>
            <w:tcW w:w="200" w:type="dxa"/>
            <w:vAlign w:val="bottom"/>
            <w:shd w:val="clear" w:color="auto" w:fill="BF5B5A"/>
          </w:tcPr>
          <w:p>
            <w:pPr>
              <w:spacing w:after="0"/>
              <w:rPr>
                <w:sz w:val="10"/>
                <w:szCs w:val="10"/>
                <w:color w:val="auto"/>
              </w:rPr>
            </w:pPr>
          </w:p>
        </w:tc>
        <w:tc>
          <w:tcPr>
            <w:tcW w:w="14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280" w:type="dxa"/>
            <w:vAlign w:val="bottom"/>
            <w:shd w:val="clear" w:color="auto" w:fill="BF5B5A"/>
          </w:tcPr>
          <w:p>
            <w:pPr>
              <w:spacing w:after="0"/>
              <w:rPr>
                <w:sz w:val="10"/>
                <w:szCs w:val="10"/>
                <w:color w:val="auto"/>
              </w:rPr>
            </w:pPr>
          </w:p>
        </w:tc>
        <w:tc>
          <w:tcPr>
            <w:tcW w:w="180" w:type="dxa"/>
            <w:vAlign w:val="bottom"/>
            <w:vMerge w:val="continue"/>
            <w:shd w:val="clear" w:color="auto" w:fill="BF5B5A"/>
          </w:tcPr>
          <w:p>
            <w:pPr>
              <w:spacing w:after="0"/>
              <w:rPr>
                <w:sz w:val="10"/>
                <w:szCs w:val="10"/>
                <w:color w:val="auto"/>
              </w:rPr>
            </w:pPr>
          </w:p>
        </w:tc>
        <w:tc>
          <w:tcPr>
            <w:tcW w:w="120" w:type="dxa"/>
            <w:vAlign w:val="bottom"/>
            <w:vMerge w:val="continue"/>
            <w:shd w:val="clear" w:color="auto" w:fill="BF5B5A"/>
          </w:tcPr>
          <w:p>
            <w:pPr>
              <w:spacing w:after="0"/>
              <w:rPr>
                <w:sz w:val="10"/>
                <w:szCs w:val="10"/>
                <w:color w:val="auto"/>
              </w:rPr>
            </w:pPr>
          </w:p>
        </w:tc>
        <w:tc>
          <w:tcPr>
            <w:tcW w:w="460" w:type="dxa"/>
            <w:vAlign w:val="bottom"/>
            <w:shd w:val="clear" w:color="auto" w:fill="BF5B5A"/>
          </w:tcPr>
          <w:p>
            <w:pPr>
              <w:ind w:left="360"/>
              <w:spacing w:after="0" w:line="108" w:lineRule="exact"/>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-1704975</wp:posOffset>
            </wp:positionH>
            <wp:positionV relativeFrom="paragraph">
              <wp:posOffset>-7620</wp:posOffset>
            </wp:positionV>
            <wp:extent cx="5829300" cy="52546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5254625"/>
                    </a:xfrm>
                    <a:prstGeom prst="rect">
                      <a:avLst/>
                    </a:prstGeom>
                    <a:noFill/>
                  </pic:spPr>
                </pic:pic>
              </a:graphicData>
            </a:graphic>
          </wp:anchor>
        </w:drawing>
      </w:r>
    </w:p>
    <w:p>
      <w:pPr>
        <w:spacing w:after="0" w:line="38" w:lineRule="exact"/>
        <w:rPr>
          <w:sz w:val="20"/>
          <w:szCs w:val="20"/>
          <w:color w:val="auto"/>
        </w:rPr>
      </w:pPr>
    </w:p>
    <w:p>
      <w:pPr>
        <w:ind w:left="180" w:right="20" w:firstLine="47"/>
        <w:spacing w:after="0" w:line="282" w:lineRule="auto"/>
        <w:rPr>
          <w:sz w:val="20"/>
          <w:szCs w:val="20"/>
          <w:color w:val="auto"/>
        </w:rPr>
      </w:pPr>
      <w:r>
        <w:rPr>
          <w:rFonts w:ascii="Arial" w:cs="Arial" w:eastAsia="Arial" w:hAnsi="Arial"/>
          <w:sz w:val="14"/>
          <w:szCs w:val="14"/>
          <w:color w:val="auto"/>
        </w:rPr>
        <w:t>Having familiarity with accounting and financial analysis enables in-depth analysis of our ​financial statements and informed decision-making regarding our capital structure, financial ​</w:t>
      </w:r>
    </w:p>
    <w:p>
      <w:pPr>
        <w:spacing w:after="0" w:line="1" w:lineRule="exact"/>
        <w:rPr>
          <w:sz w:val="20"/>
          <w:szCs w:val="20"/>
          <w:color w:val="auto"/>
        </w:rPr>
      </w:pPr>
    </w:p>
    <w:p>
      <w:pPr>
        <w:ind w:left="60"/>
        <w:spacing w:after="0"/>
        <w:tabs>
          <w:tab w:leader="none" w:pos="200" w:val="left"/>
        </w:tabs>
        <w:rPr>
          <w:sz w:val="20"/>
          <w:szCs w:val="20"/>
          <w:color w:val="auto"/>
        </w:rPr>
      </w:pPr>
      <w:r>
        <w:rPr>
          <w:rFonts w:ascii="Arial" w:cs="Arial" w:eastAsia="Arial" w:hAnsi="Arial"/>
          <w:sz w:val="14"/>
          <w:szCs w:val="14"/>
          <w:color w:val="auto"/>
        </w:rPr>
        <w:t>​</w:t>
        <w:tab/>
        <w:t>transactions and financial reporting processes.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1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c>
          <w:tcPr>
            <w:tcW w:w="360" w:type="dxa"/>
            <w:vAlign w:val="bottom"/>
            <w:shd w:val="clear" w:color="auto" w:fill="F2F2F2"/>
          </w:tcPr>
          <w:p>
            <w:pPr>
              <w:jc w:val="center"/>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ind w:left="4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tcPr>
          <w:p>
            <w:pPr>
              <w:ind w:left="60"/>
              <w:spacing w:after="0"/>
              <w:rPr>
                <w:sz w:val="20"/>
                <w:szCs w:val="20"/>
                <w:color w:val="auto"/>
              </w:rPr>
            </w:pPr>
            <w:r>
              <w:rPr>
                <w:rFonts w:ascii="Arial" w:cs="Arial" w:eastAsia="Arial" w:hAnsi="Arial"/>
                <w:sz w:val="14"/>
                <w:szCs w:val="1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740" w:type="dxa"/>
            <w:vAlign w:val="bottom"/>
            <w:gridSpan w:val="3"/>
          </w:tcPr>
          <w:p>
            <w:pPr>
              <w:ind w:left="10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78%</w:t>
            </w:r>
            <w:r>
              <w:rPr>
                <w:rFonts w:ascii="Arial" w:cs="Arial" w:eastAsia="Arial" w:hAnsi="Arial"/>
                <w:sz w:val="14"/>
                <w:szCs w:val="14"/>
                <w:color w:val="auto"/>
              </w:rPr>
              <w:t xml:space="preserve"> ​</w:t>
            </w:r>
          </w:p>
        </w:tc>
      </w:tr>
      <w:tr>
        <w:trPr>
          <w:trHeight w:val="40"/>
        </w:trPr>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11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8"/>
        </w:trPr>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20" w:type="dxa"/>
            <w:vAlign w:val="bottom"/>
            <w:gridSpan w:val="29"/>
            <w:shd w:val="clear" w:color="auto" w:fill="F2F2F2"/>
          </w:tcPr>
          <w:p>
            <w:pPr>
              <w:spacing w:after="0" w:line="288" w:lineRule="exact"/>
              <w:rPr>
                <w:sz w:val="20"/>
                <w:szCs w:val="20"/>
                <w:color w:val="auto"/>
              </w:rPr>
            </w:pPr>
            <w:r>
              <w:rPr>
                <w:rFonts w:ascii="Arial" w:cs="Arial" w:eastAsia="Arial" w:hAnsi="Arial"/>
                <w:sz w:val="14"/>
                <w:szCs w:val="14"/>
                <w:color w:val="auto"/>
              </w:rPr>
              <w:t>Experience at the senior management level at a banking institution provides knowledge of the</w:t>
            </w:r>
            <w:r>
              <w:rPr>
                <w:rFonts w:ascii="Arial" w:cs="Arial" w:eastAsia="Arial" w:hAnsi="Arial"/>
                <w:sz w:val="28"/>
                <w:szCs w:val="28"/>
                <w:color w:val="auto"/>
                <w:vertAlign w:val="subscript"/>
              </w:rPr>
              <w:t>​</w:t>
            </w:r>
          </w:p>
        </w:tc>
        <w:tc>
          <w:tcPr>
            <w:tcW w:w="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000" w:type="dxa"/>
            <w:vAlign w:val="bottom"/>
            <w:tcBorders>
              <w:bottom w:val="single" w:sz="8" w:color="F2F2F2"/>
            </w:tcBorders>
            <w:gridSpan w:val="25"/>
            <w:shd w:val="clear" w:color="auto" w:fill="F2F2F2"/>
          </w:tcPr>
          <w:p>
            <w:pPr>
              <w:spacing w:after="0"/>
              <w:rPr>
                <w:sz w:val="20"/>
                <w:szCs w:val="20"/>
                <w:color w:val="auto"/>
              </w:rPr>
            </w:pPr>
            <w:r>
              <w:rPr>
                <w:rFonts w:ascii="Arial" w:cs="Arial" w:eastAsia="Arial" w:hAnsi="Arial"/>
                <w:sz w:val="14"/>
                <w:szCs w:val="14"/>
                <w:color w:val="auto"/>
              </w:rPr>
              <w:t>banking business so as to effectively challenge management viewpoints.</w:t>
            </w:r>
          </w:p>
        </w:tc>
        <w:tc>
          <w:tcPr>
            <w:tcW w:w="120" w:type="dxa"/>
            <w:vAlign w:val="bottom"/>
            <w:tcBorders>
              <w:bottom w:val="single" w:sz="8" w:color="F2F2F2"/>
            </w:tcBorders>
            <w:shd w:val="clear" w:color="auto" w:fill="F2F2F2"/>
          </w:tcPr>
          <w:p>
            <w:pPr>
              <w:spacing w:after="0"/>
              <w:rPr>
                <w:sz w:val="19"/>
                <w:szCs w:val="19"/>
                <w:color w:val="auto"/>
              </w:rPr>
            </w:pPr>
          </w:p>
        </w:tc>
        <w:tc>
          <w:tcPr>
            <w:tcW w:w="180" w:type="dxa"/>
            <w:vAlign w:val="bottom"/>
            <w:tcBorders>
              <w:bottom w:val="single" w:sz="8" w:color="F2F2F2"/>
            </w:tcBorders>
            <w:shd w:val="clear" w:color="auto" w:fill="F2F2F2"/>
          </w:tcPr>
          <w:p>
            <w:pPr>
              <w:spacing w:after="0"/>
              <w:rPr>
                <w:sz w:val="19"/>
                <w:szCs w:val="19"/>
                <w:color w:val="auto"/>
              </w:rPr>
            </w:pPr>
          </w:p>
        </w:tc>
        <w:tc>
          <w:tcPr>
            <w:tcW w:w="260" w:type="dxa"/>
            <w:vAlign w:val="bottom"/>
            <w:tcBorders>
              <w:bottom w:val="single" w:sz="8" w:color="F2F2F2"/>
            </w:tcBorders>
            <w:shd w:val="clear" w:color="auto" w:fill="F2F2F2"/>
          </w:tcPr>
          <w:p>
            <w:pPr>
              <w:spacing w:after="0"/>
              <w:rPr>
                <w:sz w:val="19"/>
                <w:szCs w:val="19"/>
                <w:color w:val="auto"/>
              </w:rPr>
            </w:pPr>
          </w:p>
        </w:tc>
        <w:tc>
          <w:tcPr>
            <w:tcW w:w="660" w:type="dxa"/>
            <w:vAlign w:val="bottom"/>
            <w:tcBorders>
              <w:bottom w:val="single" w:sz="8" w:color="F2F2F2"/>
            </w:tcBorders>
            <w:shd w:val="clear" w:color="auto" w:fill="F2F2F2"/>
          </w:tcPr>
          <w:p>
            <w:pPr>
              <w:spacing w:after="0"/>
              <w:rPr>
                <w:sz w:val="19"/>
                <w:szCs w:val="19"/>
                <w:color w:val="auto"/>
              </w:rPr>
            </w:pPr>
          </w:p>
        </w:tc>
        <w:tc>
          <w:tcPr>
            <w:tcW w:w="60" w:type="dxa"/>
            <w:vAlign w:val="bottom"/>
            <w:tcBorders>
              <w:bottom w:val="single" w:sz="8" w:color="F2F2F2"/>
            </w:tcBorders>
            <w:shd w:val="clear" w:color="auto" w:fill="F2F2F2"/>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120" w:type="dxa"/>
            <w:vAlign w:val="bottom"/>
          </w:tcPr>
          <w:p>
            <w:pPr>
              <w:spacing w:after="0"/>
              <w:rPr>
                <w:sz w:val="24"/>
                <w:szCs w:val="24"/>
                <w:color w:val="auto"/>
              </w:rPr>
            </w:pPr>
          </w:p>
        </w:tc>
        <w:tc>
          <w:tcPr>
            <w:tcW w:w="10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7F7F7F"/>
            </w:tcBorders>
            <w:shd w:val="clear" w:color="auto" w:fill="F2F2F2"/>
          </w:tcPr>
          <w:p>
            <w:pPr>
              <w:jc w:val="center"/>
              <w:ind w:left="2"/>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ind w:left="4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shd w:val="clear" w:color="auto" w:fill="F2F2F2"/>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shd w:val="clear" w:color="auto" w:fill="F2F2F2"/>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shd w:val="clear" w:color="auto" w:fill="F2F2F2"/>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ind w:left="60"/>
              <w:spacing w:after="0"/>
              <w:rPr>
                <w:sz w:val="20"/>
                <w:szCs w:val="20"/>
                <w:color w:val="auto"/>
              </w:rPr>
            </w:pPr>
            <w:r>
              <w:rPr>
                <w:rFonts w:ascii="Arial" w:cs="Arial" w:eastAsia="Arial" w:hAnsi="Arial"/>
                <w:sz w:val="22"/>
                <w:szCs w:val="22"/>
                <w:color w:val="BF5B5A"/>
              </w:rPr>
              <w:t>●</w:t>
            </w:r>
            <w:r>
              <w:rPr>
                <w:rFonts w:ascii="Arial" w:cs="Arial" w:eastAsia="Arial" w:hAnsi="Arial"/>
                <w:sz w:val="14"/>
                <w:szCs w:val="14"/>
                <w:color w:val="000000"/>
              </w:rPr>
              <w:t>​</w:t>
            </w:r>
          </w:p>
        </w:tc>
        <w:tc>
          <w:tcPr>
            <w:tcW w:w="12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shd w:val="clear" w:color="auto" w:fill="F2F2F2"/>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7F7F7F"/>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66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22%</w:t>
            </w:r>
          </w:p>
        </w:tc>
        <w:tc>
          <w:tcPr>
            <w:tcW w:w="60" w:type="dxa"/>
            <w:vAlign w:val="bottom"/>
            <w:tcBorders>
              <w:top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40"/>
        </w:trPr>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580" w:type="dxa"/>
            <w:vAlign w:val="bottom"/>
            <w:gridSpan w:val="3"/>
          </w:tcPr>
          <w:p>
            <w:pPr>
              <w:spacing w:after="0"/>
              <w:rPr>
                <w:sz w:val="3"/>
                <w:szCs w:val="3"/>
                <w:color w:val="auto"/>
              </w:rPr>
            </w:pPr>
          </w:p>
        </w:tc>
        <w:tc>
          <w:tcPr>
            <w:tcW w:w="580" w:type="dxa"/>
            <w:vAlign w:val="bottom"/>
            <w:gridSpan w:val="3"/>
            <w:shd w:val="clear" w:color="auto" w:fill="F2F2F2"/>
          </w:tcPr>
          <w:p>
            <w:pPr>
              <w:spacing w:after="0"/>
              <w:rPr>
                <w:sz w:val="3"/>
                <w:szCs w:val="3"/>
                <w:color w:val="auto"/>
              </w:rPr>
            </w:pPr>
          </w:p>
        </w:tc>
        <w:tc>
          <w:tcPr>
            <w:tcW w:w="11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8"/>
        </w:trPr>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20" w:type="dxa"/>
            <w:vAlign w:val="bottom"/>
            <w:gridSpan w:val="29"/>
            <w:shd w:val="clear" w:color="auto" w:fill="F2F2F2"/>
          </w:tcPr>
          <w:p>
            <w:pPr>
              <w:spacing w:after="0" w:line="288" w:lineRule="exact"/>
              <w:rPr>
                <w:sz w:val="20"/>
                <w:szCs w:val="20"/>
                <w:color w:val="auto"/>
              </w:rPr>
            </w:pPr>
            <w:r>
              <w:rPr>
                <w:rFonts w:ascii="Arial" w:cs="Arial" w:eastAsia="Arial" w:hAnsi="Arial"/>
                <w:sz w:val="14"/>
                <w:szCs w:val="14"/>
                <w:color w:val="auto"/>
              </w:rPr>
              <w:t>Experience at the senior management level at a public company provides insights with</w:t>
            </w:r>
            <w:r>
              <w:rPr>
                <w:rFonts w:ascii="Arial" w:cs="Arial" w:eastAsia="Arial" w:hAnsi="Arial"/>
                <w:sz w:val="28"/>
                <w:szCs w:val="28"/>
                <w:color w:val="auto"/>
                <w:vertAlign w:val="subscript"/>
              </w:rPr>
              <w:t>​</w:t>
            </w:r>
          </w:p>
        </w:tc>
        <w:tc>
          <w:tcPr>
            <w:tcW w:w="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720" w:type="dxa"/>
            <w:vAlign w:val="bottom"/>
            <w:tcBorders>
              <w:bottom w:val="single" w:sz="8" w:color="F2F2F2"/>
            </w:tcBorders>
            <w:gridSpan w:val="24"/>
            <w:shd w:val="clear" w:color="auto" w:fill="F2F2F2"/>
          </w:tcPr>
          <w:p>
            <w:pPr>
              <w:spacing w:after="0"/>
              <w:rPr>
                <w:sz w:val="20"/>
                <w:szCs w:val="20"/>
                <w:color w:val="auto"/>
              </w:rPr>
            </w:pPr>
            <w:r>
              <w:rPr>
                <w:rFonts w:ascii="Arial" w:cs="Arial" w:eastAsia="Arial" w:hAnsi="Arial"/>
                <w:sz w:val="14"/>
                <w:szCs w:val="14"/>
                <w:color w:val="auto"/>
              </w:rPr>
              <w:t>respect to the expectations of sophisticated public company investors.</w:t>
            </w:r>
          </w:p>
        </w:tc>
        <w:tc>
          <w:tcPr>
            <w:tcW w:w="28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260" w:type="dxa"/>
            <w:vAlign w:val="bottom"/>
            <w:tcBorders>
              <w:bottom w:val="single" w:sz="8" w:color="F2F2F2"/>
            </w:tcBorders>
            <w:shd w:val="clear" w:color="auto" w:fill="F2F2F2"/>
          </w:tcPr>
          <w:p>
            <w:pPr>
              <w:spacing w:after="0"/>
              <w:rPr>
                <w:sz w:val="17"/>
                <w:szCs w:val="17"/>
                <w:color w:val="auto"/>
              </w:rPr>
            </w:pPr>
          </w:p>
        </w:tc>
        <w:tc>
          <w:tcPr>
            <w:tcW w:w="660" w:type="dxa"/>
            <w:vAlign w:val="bottom"/>
            <w:tcBorders>
              <w:bottom w:val="single" w:sz="8" w:color="F2F2F2"/>
            </w:tcBorders>
            <w:shd w:val="clear" w:color="auto" w:fill="F2F2F2"/>
          </w:tcPr>
          <w:p>
            <w:pPr>
              <w:spacing w:after="0"/>
              <w:rPr>
                <w:sz w:val="17"/>
                <w:szCs w:val="17"/>
                <w:color w:val="auto"/>
              </w:rPr>
            </w:pPr>
          </w:p>
        </w:tc>
        <w:tc>
          <w:tcPr>
            <w:tcW w:w="60" w:type="dxa"/>
            <w:vAlign w:val="bottom"/>
            <w:tcBorders>
              <w:bottom w:val="single" w:sz="8" w:color="F2F2F2"/>
            </w:tcBorders>
            <w:shd w:val="clear" w:color="auto" w:fill="F2F2F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Arial" w:cs="Arial" w:eastAsia="Arial" w:hAnsi="Arial"/>
                <w:sz w:val="22"/>
                <w:szCs w:val="22"/>
                <w:color w:val="BF5B5A"/>
              </w:rPr>
              <w:t>​  ​</w:t>
            </w:r>
          </w:p>
        </w:tc>
        <w:tc>
          <w:tcPr>
            <w:tcW w:w="120" w:type="dxa"/>
            <w:vAlign w:val="bottom"/>
          </w:tcPr>
          <w:p>
            <w:pPr>
              <w:ind w:left="60"/>
              <w:spacing w:after="0"/>
              <w:rPr>
                <w:sz w:val="20"/>
                <w:szCs w:val="20"/>
                <w:color w:val="auto"/>
              </w:rPr>
            </w:pPr>
            <w:r>
              <w:rPr>
                <w:rFonts w:ascii="Arial" w:cs="Arial" w:eastAsia="Arial" w:hAnsi="Arial"/>
                <w:sz w:val="22"/>
                <w:szCs w:val="22"/>
                <w:color w:val="BF5B5A"/>
              </w:rPr>
              <w:t>​</w:t>
            </w:r>
          </w:p>
        </w:tc>
        <w:tc>
          <w:tcPr>
            <w:tcW w:w="180" w:type="dxa"/>
            <w:vAlign w:val="bottom"/>
          </w:tcPr>
          <w:p>
            <w:pPr>
              <w:ind w:left="60"/>
              <w:spacing w:after="0"/>
              <w:rPr>
                <w:sz w:val="20"/>
                <w:szCs w:val="20"/>
                <w:color w:val="auto"/>
              </w:rPr>
            </w:pPr>
            <w:r>
              <w:rPr>
                <w:rFonts w:ascii="Arial" w:cs="Arial" w:eastAsia="Arial" w:hAnsi="Arial"/>
                <w:sz w:val="22"/>
                <w:szCs w:val="22"/>
                <w:color w:val="BF5B5A"/>
              </w:rPr>
              <w:t>​</w:t>
            </w:r>
          </w:p>
        </w:tc>
        <w:tc>
          <w:tcPr>
            <w:tcW w:w="280" w:type="dxa"/>
            <w:vAlign w:val="bottom"/>
          </w:tcPr>
          <w:p>
            <w:pPr>
              <w:ind w:left="40"/>
              <w:spacing w:after="0"/>
              <w:rPr>
                <w:sz w:val="20"/>
                <w:szCs w:val="20"/>
                <w:color w:val="auto"/>
              </w:rPr>
            </w:pPr>
            <w:r>
              <w:rPr>
                <w:rFonts w:ascii="Arial" w:cs="Arial" w:eastAsia="Arial" w:hAnsi="Arial"/>
                <w:sz w:val="22"/>
                <w:szCs w:val="22"/>
                <w:color w:val="BF5B5A"/>
              </w:rPr>
              <w:t>●</w:t>
            </w:r>
          </w:p>
        </w:tc>
        <w:tc>
          <w:tcPr>
            <w:tcW w:w="120" w:type="dxa"/>
            <w:vAlign w:val="bottom"/>
          </w:tcPr>
          <w:p>
            <w:pPr>
              <w:ind w:left="60"/>
              <w:spacing w:after="0"/>
              <w:rPr>
                <w:sz w:val="20"/>
                <w:szCs w:val="20"/>
                <w:color w:val="auto"/>
              </w:rPr>
            </w:pPr>
            <w:r>
              <w:rPr>
                <w:rFonts w:ascii="Arial" w:cs="Arial" w:eastAsia="Arial" w:hAnsi="Arial"/>
                <w:sz w:val="22"/>
                <w:szCs w:val="22"/>
                <w:color w:val="BF5B5A"/>
              </w:rPr>
              <w:t>​</w:t>
            </w:r>
          </w:p>
        </w:tc>
        <w:tc>
          <w:tcPr>
            <w:tcW w:w="1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280" w:type="dxa"/>
            <w:vAlign w:val="bottom"/>
            <w:shd w:val="clear" w:color="auto" w:fill="F2F2F2"/>
          </w:tcPr>
          <w:p>
            <w:pPr>
              <w:ind w:left="120"/>
              <w:spacing w:after="0"/>
              <w:rPr>
                <w:sz w:val="20"/>
                <w:szCs w:val="20"/>
                <w:color w:val="auto"/>
              </w:rPr>
            </w:pPr>
            <w:r>
              <w:rPr>
                <w:rFonts w:ascii="Arial" w:cs="Arial" w:eastAsia="Arial" w:hAnsi="Arial"/>
                <w:sz w:val="22"/>
                <w:szCs w:val="22"/>
                <w:color w:val="BF5B5A"/>
              </w:rPr>
              <w:t>​</w:t>
            </w:r>
          </w:p>
        </w:tc>
        <w:tc>
          <w:tcPr>
            <w:tcW w:w="12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180" w:type="dxa"/>
            <w:vAlign w:val="bottom"/>
          </w:tcPr>
          <w:p>
            <w:pPr>
              <w:ind w:left="60"/>
              <w:spacing w:after="0"/>
              <w:rPr>
                <w:sz w:val="20"/>
                <w:szCs w:val="20"/>
                <w:color w:val="auto"/>
              </w:rPr>
            </w:pPr>
            <w:r>
              <w:rPr>
                <w:rFonts w:ascii="Arial" w:cs="Arial" w:eastAsia="Arial" w:hAnsi="Arial"/>
                <w:sz w:val="22"/>
                <w:szCs w:val="22"/>
                <w:color w:val="BF5B5A"/>
              </w:rPr>
              <w:t>​</w:t>
            </w:r>
          </w:p>
        </w:tc>
        <w:tc>
          <w:tcPr>
            <w:tcW w:w="280" w:type="dxa"/>
            <w:vAlign w:val="bottom"/>
          </w:tcPr>
          <w:p>
            <w:pPr>
              <w:ind w:left="60"/>
              <w:spacing w:after="0"/>
              <w:rPr>
                <w:sz w:val="20"/>
                <w:szCs w:val="20"/>
                <w:color w:val="auto"/>
              </w:rPr>
            </w:pPr>
            <w:r>
              <w:rPr>
                <w:rFonts w:ascii="Arial" w:cs="Arial" w:eastAsia="Arial" w:hAnsi="Arial"/>
                <w:sz w:val="22"/>
                <w:szCs w:val="22"/>
                <w:color w:val="BF5B5A"/>
              </w:rPr>
              <w:t>●</w:t>
            </w:r>
          </w:p>
        </w:tc>
        <w:tc>
          <w:tcPr>
            <w:tcW w:w="120" w:type="dxa"/>
            <w:vAlign w:val="bottom"/>
          </w:tcPr>
          <w:p>
            <w:pPr>
              <w:ind w:left="60"/>
              <w:spacing w:after="0"/>
              <w:rPr>
                <w:sz w:val="20"/>
                <w:szCs w:val="20"/>
                <w:color w:val="auto"/>
              </w:rPr>
            </w:pPr>
            <w:r>
              <w:rPr>
                <w:rFonts w:ascii="Arial" w:cs="Arial" w:eastAsia="Arial" w:hAnsi="Arial"/>
                <w:sz w:val="22"/>
                <w:szCs w:val="22"/>
                <w:color w:val="BF5B5A"/>
              </w:rPr>
              <w:t>​</w:t>
            </w:r>
          </w:p>
        </w:tc>
        <w:tc>
          <w:tcPr>
            <w:tcW w:w="1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280" w:type="dxa"/>
            <w:vAlign w:val="bottom"/>
            <w:shd w:val="clear" w:color="auto" w:fill="F2F2F2"/>
          </w:tcPr>
          <w:p>
            <w:pPr>
              <w:ind w:left="120"/>
              <w:spacing w:after="0"/>
              <w:rPr>
                <w:sz w:val="20"/>
                <w:szCs w:val="20"/>
                <w:color w:val="auto"/>
              </w:rPr>
            </w:pPr>
            <w:r>
              <w:rPr>
                <w:rFonts w:ascii="Arial" w:cs="Arial" w:eastAsia="Arial" w:hAnsi="Arial"/>
                <w:sz w:val="22"/>
                <w:szCs w:val="22"/>
                <w:color w:val="BF5B5A"/>
              </w:rPr>
              <w:t>​</w:t>
            </w:r>
          </w:p>
        </w:tc>
        <w:tc>
          <w:tcPr>
            <w:tcW w:w="12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200" w:type="dxa"/>
            <w:vAlign w:val="bottom"/>
          </w:tcPr>
          <w:p>
            <w:pPr>
              <w:ind w:left="60"/>
              <w:spacing w:after="0"/>
              <w:rPr>
                <w:sz w:val="20"/>
                <w:szCs w:val="20"/>
                <w:color w:val="auto"/>
              </w:rPr>
            </w:pPr>
            <w:r>
              <w:rPr>
                <w:rFonts w:ascii="Arial" w:cs="Arial" w:eastAsia="Arial" w:hAnsi="Arial"/>
                <w:sz w:val="22"/>
                <w:szCs w:val="22"/>
                <w:color w:val="BF5B5A"/>
              </w:rPr>
              <w:t>​</w:t>
            </w:r>
          </w:p>
        </w:tc>
        <w:tc>
          <w:tcPr>
            <w:tcW w:w="240" w:type="dxa"/>
            <w:vAlign w:val="bottom"/>
          </w:tcPr>
          <w:p>
            <w:pPr>
              <w:ind w:left="100"/>
              <w:spacing w:after="0"/>
              <w:rPr>
                <w:sz w:val="20"/>
                <w:szCs w:val="20"/>
                <w:color w:val="auto"/>
              </w:rPr>
            </w:pPr>
            <w:r>
              <w:rPr>
                <w:rFonts w:ascii="Arial" w:cs="Arial" w:eastAsia="Arial" w:hAnsi="Arial"/>
                <w:sz w:val="22"/>
                <w:szCs w:val="22"/>
                <w:color w:val="BF5B5A"/>
              </w:rPr>
              <w:t>​</w:t>
            </w:r>
          </w:p>
        </w:tc>
        <w:tc>
          <w:tcPr>
            <w:tcW w:w="140" w:type="dxa"/>
            <w:vAlign w:val="bottom"/>
          </w:tcPr>
          <w:p>
            <w:pPr>
              <w:ind w:left="100"/>
              <w:spacing w:after="0"/>
              <w:rPr>
                <w:sz w:val="20"/>
                <w:szCs w:val="20"/>
                <w:color w:val="auto"/>
              </w:rPr>
            </w:pPr>
            <w:r>
              <w:rPr>
                <w:rFonts w:ascii="Arial" w:cs="Arial" w:eastAsia="Arial" w:hAnsi="Arial"/>
                <w:sz w:val="22"/>
                <w:szCs w:val="22"/>
                <w:color w:val="BF5B5A"/>
              </w:rPr>
              <w:t>​</w:t>
            </w:r>
          </w:p>
        </w:tc>
        <w:tc>
          <w:tcPr>
            <w:tcW w:w="1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280" w:type="dxa"/>
            <w:vAlign w:val="bottom"/>
            <w:shd w:val="clear" w:color="auto" w:fill="F2F2F2"/>
          </w:tcPr>
          <w:p>
            <w:pPr>
              <w:ind w:left="120"/>
              <w:spacing w:after="0"/>
              <w:rPr>
                <w:sz w:val="20"/>
                <w:szCs w:val="20"/>
                <w:color w:val="auto"/>
              </w:rPr>
            </w:pPr>
            <w:r>
              <w:rPr>
                <w:rFonts w:ascii="Arial" w:cs="Arial" w:eastAsia="Arial" w:hAnsi="Arial"/>
                <w:sz w:val="22"/>
                <w:szCs w:val="22"/>
                <w:color w:val="BF5B5A"/>
              </w:rPr>
              <w:t>​</w:t>
            </w:r>
          </w:p>
        </w:tc>
        <w:tc>
          <w:tcPr>
            <w:tcW w:w="120" w:type="dxa"/>
            <w:vAlign w:val="bottom"/>
            <w:shd w:val="clear" w:color="auto" w:fill="F2F2F2"/>
          </w:tcPr>
          <w:p>
            <w:pPr>
              <w:ind w:left="80"/>
              <w:spacing w:after="0"/>
              <w:rPr>
                <w:sz w:val="20"/>
                <w:szCs w:val="20"/>
                <w:color w:val="auto"/>
              </w:rPr>
            </w:pPr>
            <w:r>
              <w:rPr>
                <w:rFonts w:ascii="Arial" w:cs="Arial" w:eastAsia="Arial" w:hAnsi="Arial"/>
                <w:sz w:val="22"/>
                <w:szCs w:val="22"/>
                <w:color w:val="BF5B5A"/>
              </w:rPr>
              <w:t>​</w:t>
            </w:r>
          </w:p>
        </w:tc>
        <w:tc>
          <w:tcPr>
            <w:tcW w:w="180" w:type="dxa"/>
            <w:vAlign w:val="bottom"/>
          </w:tcPr>
          <w:p>
            <w:pPr>
              <w:ind w:left="60"/>
              <w:spacing w:after="0"/>
              <w:rPr>
                <w:sz w:val="20"/>
                <w:szCs w:val="20"/>
                <w:color w:val="auto"/>
              </w:rPr>
            </w:pPr>
            <w:r>
              <w:rPr>
                <w:rFonts w:ascii="Arial" w:cs="Arial" w:eastAsia="Arial" w:hAnsi="Arial"/>
                <w:sz w:val="22"/>
                <w:szCs w:val="22"/>
                <w:color w:val="BF5B5A"/>
              </w:rPr>
              <w:t>​</w:t>
            </w:r>
          </w:p>
        </w:tc>
        <w:tc>
          <w:tcPr>
            <w:tcW w:w="280" w:type="dxa"/>
            <w:vAlign w:val="bottom"/>
          </w:tcPr>
          <w:p>
            <w:pPr>
              <w:ind w:left="60"/>
              <w:spacing w:after="0"/>
              <w:rPr>
                <w:sz w:val="20"/>
                <w:szCs w:val="20"/>
                <w:color w:val="auto"/>
              </w:rPr>
            </w:pPr>
            <w:r>
              <w:rPr>
                <w:rFonts w:ascii="Arial" w:cs="Arial" w:eastAsia="Arial" w:hAnsi="Arial"/>
                <w:sz w:val="22"/>
                <w:szCs w:val="22"/>
                <w:color w:val="BF5B5A"/>
              </w:rPr>
              <w:t>●</w:t>
            </w:r>
          </w:p>
        </w:tc>
        <w:tc>
          <w:tcPr>
            <w:tcW w:w="120" w:type="dxa"/>
            <w:vAlign w:val="bottom"/>
          </w:tcPr>
          <w:p>
            <w:pPr>
              <w:ind w:left="80"/>
              <w:spacing w:after="0"/>
              <w:rPr>
                <w:sz w:val="20"/>
                <w:szCs w:val="20"/>
                <w:color w:val="auto"/>
              </w:rPr>
            </w:pPr>
            <w:r>
              <w:rPr>
                <w:rFonts w:ascii="Arial" w:cs="Arial" w:eastAsia="Arial" w:hAnsi="Arial"/>
                <w:sz w:val="22"/>
                <w:szCs w:val="22"/>
                <w:color w:val="BF5B5A"/>
              </w:rPr>
              <w:t>​</w:t>
            </w:r>
          </w:p>
        </w:tc>
        <w:tc>
          <w:tcPr>
            <w:tcW w:w="1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280" w:type="dxa"/>
            <w:vAlign w:val="bottom"/>
            <w:shd w:val="clear" w:color="auto" w:fill="F2F2F2"/>
          </w:tcPr>
          <w:p>
            <w:pPr>
              <w:ind w:left="120"/>
              <w:spacing w:after="0"/>
              <w:rPr>
                <w:sz w:val="20"/>
                <w:szCs w:val="20"/>
                <w:color w:val="auto"/>
              </w:rPr>
            </w:pPr>
            <w:r>
              <w:rPr>
                <w:rFonts w:ascii="Arial" w:cs="Arial" w:eastAsia="Arial" w:hAnsi="Arial"/>
                <w:sz w:val="22"/>
                <w:szCs w:val="22"/>
                <w:color w:val="BF5B5A"/>
              </w:rPr>
              <w:t>​</w:t>
            </w:r>
          </w:p>
        </w:tc>
        <w:tc>
          <w:tcPr>
            <w:tcW w:w="120" w:type="dxa"/>
            <w:vAlign w:val="bottom"/>
            <w:shd w:val="clear" w:color="auto" w:fill="F2F2F2"/>
          </w:tcPr>
          <w:p>
            <w:pPr>
              <w:ind w:left="80"/>
              <w:spacing w:after="0"/>
              <w:rPr>
                <w:sz w:val="20"/>
                <w:szCs w:val="20"/>
                <w:color w:val="auto"/>
              </w:rPr>
            </w:pPr>
            <w:r>
              <w:rPr>
                <w:rFonts w:ascii="Arial" w:cs="Arial" w:eastAsia="Arial" w:hAnsi="Arial"/>
                <w:sz w:val="22"/>
                <w:szCs w:val="22"/>
                <w:color w:val="BF5B5A"/>
              </w:rPr>
              <w:t>​</w:t>
            </w:r>
          </w:p>
        </w:tc>
        <w:tc>
          <w:tcPr>
            <w:tcW w:w="180" w:type="dxa"/>
            <w:vAlign w:val="bottom"/>
          </w:tcPr>
          <w:p>
            <w:pPr>
              <w:ind w:left="60"/>
              <w:spacing w:after="0"/>
              <w:rPr>
                <w:sz w:val="20"/>
                <w:szCs w:val="20"/>
                <w:color w:val="auto"/>
              </w:rPr>
            </w:pPr>
            <w:r>
              <w:rPr>
                <w:rFonts w:ascii="Arial" w:cs="Arial" w:eastAsia="Arial" w:hAnsi="Arial"/>
                <w:sz w:val="22"/>
                <w:szCs w:val="22"/>
                <w:color w:val="BF5B5A"/>
              </w:rPr>
              <w:t>​</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3</w:t>
            </w:r>
          </w:p>
        </w:tc>
        <w:tc>
          <w:tcPr>
            <w:tcW w:w="660" w:type="dxa"/>
            <w:vAlign w:val="bottom"/>
          </w:tcPr>
          <w:p>
            <w:pPr>
              <w:ind w:left="100"/>
              <w:spacing w:after="0"/>
              <w:rPr>
                <w:sz w:val="20"/>
                <w:szCs w:val="20"/>
                <w:color w:val="auto"/>
              </w:rPr>
            </w:pPr>
            <w:r>
              <w:rPr>
                <w:rFonts w:ascii="Arial" w:cs="Arial" w:eastAsia="Arial" w:hAnsi="Arial"/>
                <w:sz w:val="22"/>
                <w:szCs w:val="22"/>
                <w:color w:val="BF5B5A"/>
              </w:rPr>
              <w:t xml:space="preserve">​ ​ </w:t>
            </w:r>
            <w:r>
              <w:rPr>
                <w:rFonts w:ascii="Arial" w:cs="Arial" w:eastAsia="Arial" w:hAnsi="Arial"/>
                <w:sz w:val="14"/>
                <w:szCs w:val="14"/>
                <w:b w:val="1"/>
                <w:bCs w:val="1"/>
                <w:color w:val="000000"/>
              </w:rPr>
              <w:t>33%</w:t>
            </w:r>
          </w:p>
        </w:tc>
        <w:tc>
          <w:tcPr>
            <w:tcW w:w="80" w:type="dxa"/>
            <w:vAlign w:val="bottom"/>
            <w:gridSpan w:val="2"/>
          </w:tcPr>
          <w:p>
            <w:pPr>
              <w:ind w:left="20"/>
              <w:spacing w:after="0"/>
              <w:rPr>
                <w:sz w:val="20"/>
                <w:szCs w:val="20"/>
                <w:color w:val="auto"/>
              </w:rPr>
            </w:pPr>
            <w:r>
              <w:rPr>
                <w:rFonts w:ascii="Arial" w:cs="Arial" w:eastAsia="Arial" w:hAnsi="Arial"/>
                <w:sz w:val="22"/>
                <w:szCs w:val="22"/>
                <w:color w:val="BF5B5A"/>
              </w:rPr>
              <w:t>​</w:t>
            </w:r>
          </w:p>
        </w:tc>
      </w:tr>
    </w:tbl>
    <w:p>
      <w:pPr>
        <w:spacing w:after="0" w:line="85" w:lineRule="exact"/>
        <w:rPr>
          <w:sz w:val="20"/>
          <w:szCs w:val="20"/>
          <w:color w:val="auto"/>
        </w:rPr>
      </w:pPr>
    </w:p>
    <w:p>
      <w:pPr>
        <w:ind w:left="120" w:right="80" w:firstLine="94"/>
        <w:spacing w:after="0" w:line="282" w:lineRule="auto"/>
        <w:rPr>
          <w:sz w:val="20"/>
          <w:szCs w:val="20"/>
          <w:color w:val="auto"/>
        </w:rPr>
      </w:pPr>
      <w:r>
        <w:rPr>
          <w:rFonts w:ascii="Arial" w:cs="Arial" w:eastAsia="Arial" w:hAnsi="Arial"/>
          <w:sz w:val="14"/>
          <w:szCs w:val="14"/>
          <w:color w:val="auto"/>
        </w:rPr>
        <w:t>As a community bank whose business model is based on support of and engagement with the ​ communities it serves, a demonstrated record of community engagement and support is​</w:t>
      </w:r>
    </w:p>
    <w:p>
      <w:pPr>
        <w:ind w:left="220" w:hanging="213"/>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critical to understanding the Company’s business.</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365"/>
        </w:trPr>
        <w:tc>
          <w:tcPr>
            <w:tcW w:w="580" w:type="dxa"/>
            <w:vAlign w:val="bottom"/>
          </w:tcPr>
          <w:p>
            <w:pPr>
              <w:ind w:left="60"/>
              <w:spacing w:after="0"/>
              <w:rPr>
                <w:sz w:val="20"/>
                <w:szCs w:val="20"/>
                <w:color w:val="auto"/>
              </w:rPr>
            </w:pPr>
            <w:r>
              <w:rPr>
                <w:rFonts w:ascii="Arial" w:cs="Arial" w:eastAsia="Arial" w:hAnsi="Arial"/>
                <w:sz w:val="22"/>
                <w:szCs w:val="22"/>
                <w:color w:val="BF5B5A"/>
              </w:rPr>
              <w:t>​ ●  ​</w:t>
            </w:r>
          </w:p>
        </w:tc>
        <w:tc>
          <w:tcPr>
            <w:tcW w:w="480" w:type="dxa"/>
            <w:vAlign w:val="bottom"/>
          </w:tcPr>
          <w:p>
            <w:pPr>
              <w:ind w:left="60"/>
              <w:spacing w:after="0"/>
              <w:rPr>
                <w:sz w:val="20"/>
                <w:szCs w:val="20"/>
                <w:color w:val="auto"/>
              </w:rPr>
            </w:pPr>
            <w:r>
              <w:rPr>
                <w:rFonts w:ascii="Arial" w:cs="Arial" w:eastAsia="Arial" w:hAnsi="Arial"/>
                <w:sz w:val="22"/>
                <w:szCs w:val="22"/>
                <w:color w:val="BF5B5A"/>
              </w:rPr>
              <w:t>​ ●</w:t>
            </w:r>
          </w:p>
        </w:tc>
        <w:tc>
          <w:tcPr>
            <w:tcW w:w="100" w:type="dxa"/>
            <w:vAlign w:val="bottom"/>
          </w:tcPr>
          <w:p>
            <w:pPr>
              <w:ind w:left="40"/>
              <w:spacing w:after="0"/>
              <w:rPr>
                <w:sz w:val="20"/>
                <w:szCs w:val="20"/>
                <w:color w:val="auto"/>
              </w:rPr>
            </w:pPr>
            <w:r>
              <w:rPr>
                <w:rFonts w:ascii="Arial" w:cs="Arial" w:eastAsia="Arial" w:hAnsi="Arial"/>
                <w:sz w:val="22"/>
                <w:szCs w:val="22"/>
                <w:color w:val="BF5B5A"/>
              </w:rPr>
              <w:t>​</w:t>
            </w:r>
          </w:p>
        </w:tc>
        <w:tc>
          <w:tcPr>
            <w:tcW w:w="52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 ●</w:t>
            </w:r>
          </w:p>
        </w:tc>
        <w:tc>
          <w:tcPr>
            <w:tcW w:w="60" w:type="dxa"/>
            <w:vAlign w:val="bottom"/>
            <w:shd w:val="clear" w:color="auto" w:fill="F2F2F2"/>
          </w:tcPr>
          <w:p>
            <w:pPr>
              <w:spacing w:after="0"/>
              <w:rPr>
                <w:sz w:val="20"/>
                <w:szCs w:val="20"/>
                <w:color w:val="auto"/>
              </w:rPr>
            </w:pPr>
            <w:r>
              <w:rPr>
                <w:rFonts w:ascii="Arial" w:cs="Arial" w:eastAsia="Arial" w:hAnsi="Arial"/>
                <w:sz w:val="22"/>
                <w:szCs w:val="22"/>
                <w:color w:val="BF5B5A"/>
              </w:rPr>
              <w:t>​</w:t>
            </w:r>
          </w:p>
        </w:tc>
        <w:tc>
          <w:tcPr>
            <w:tcW w:w="580" w:type="dxa"/>
            <w:vAlign w:val="bottom"/>
          </w:tcPr>
          <w:p>
            <w:pPr>
              <w:ind w:left="60"/>
              <w:spacing w:after="0"/>
              <w:rPr>
                <w:sz w:val="20"/>
                <w:szCs w:val="20"/>
                <w:color w:val="auto"/>
              </w:rPr>
            </w:pPr>
            <w:r>
              <w:rPr>
                <w:rFonts w:ascii="Arial" w:cs="Arial" w:eastAsia="Arial" w:hAnsi="Arial"/>
                <w:sz w:val="22"/>
                <w:szCs w:val="22"/>
                <w:color w:val="BF5B5A"/>
              </w:rPr>
              <w:t>​ ●  ​</w:t>
            </w:r>
          </w:p>
        </w:tc>
        <w:tc>
          <w:tcPr>
            <w:tcW w:w="36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 ●</w:t>
            </w:r>
          </w:p>
        </w:tc>
        <w:tc>
          <w:tcPr>
            <w:tcW w:w="220" w:type="dxa"/>
            <w:vAlign w:val="bottom"/>
            <w:shd w:val="clear" w:color="auto" w:fill="F2F2F2"/>
          </w:tcPr>
          <w:p>
            <w:pPr>
              <w:ind w:left="160"/>
              <w:spacing w:after="0"/>
              <w:rPr>
                <w:sz w:val="20"/>
                <w:szCs w:val="20"/>
                <w:color w:val="auto"/>
              </w:rPr>
            </w:pPr>
            <w:r>
              <w:rPr>
                <w:rFonts w:ascii="Arial" w:cs="Arial" w:eastAsia="Arial" w:hAnsi="Arial"/>
                <w:sz w:val="22"/>
                <w:szCs w:val="22"/>
                <w:color w:val="BF5B5A"/>
              </w:rPr>
              <w:t>​</w:t>
            </w:r>
          </w:p>
        </w:tc>
        <w:tc>
          <w:tcPr>
            <w:tcW w:w="580" w:type="dxa"/>
            <w:vAlign w:val="bottom"/>
          </w:tcPr>
          <w:p>
            <w:pPr>
              <w:ind w:left="60"/>
              <w:spacing w:after="0"/>
              <w:rPr>
                <w:sz w:val="20"/>
                <w:szCs w:val="20"/>
                <w:color w:val="auto"/>
              </w:rPr>
            </w:pPr>
            <w:r>
              <w:rPr>
                <w:rFonts w:ascii="Arial" w:cs="Arial" w:eastAsia="Arial" w:hAnsi="Arial"/>
                <w:sz w:val="22"/>
                <w:szCs w:val="22"/>
                <w:color w:val="BF5B5A"/>
              </w:rPr>
              <w:t>​ ●  ​</w:t>
            </w:r>
          </w:p>
        </w:tc>
        <w:tc>
          <w:tcPr>
            <w:tcW w:w="16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w:t>
            </w:r>
          </w:p>
        </w:tc>
        <w:tc>
          <w:tcPr>
            <w:tcW w:w="420" w:type="dxa"/>
            <w:vAlign w:val="bottom"/>
            <w:shd w:val="clear" w:color="auto" w:fill="F2F2F2"/>
          </w:tcPr>
          <w:p>
            <w:pPr>
              <w:ind w:left="80"/>
              <w:spacing w:after="0"/>
              <w:rPr>
                <w:sz w:val="20"/>
                <w:szCs w:val="20"/>
                <w:color w:val="auto"/>
              </w:rPr>
            </w:pPr>
            <w:r>
              <w:rPr>
                <w:rFonts w:ascii="Arial" w:cs="Arial" w:eastAsia="Arial" w:hAnsi="Arial"/>
                <w:sz w:val="22"/>
                <w:szCs w:val="22"/>
                <w:color w:val="BF5B5A"/>
              </w:rPr>
              <w:t>●  ​</w:t>
            </w:r>
          </w:p>
        </w:tc>
        <w:tc>
          <w:tcPr>
            <w:tcW w:w="200" w:type="dxa"/>
            <w:vAlign w:val="bottom"/>
          </w:tcPr>
          <w:p>
            <w:pPr>
              <w:ind w:left="60"/>
              <w:spacing w:after="0"/>
              <w:rPr>
                <w:sz w:val="20"/>
                <w:szCs w:val="20"/>
                <w:color w:val="auto"/>
              </w:rPr>
            </w:pPr>
            <w:r>
              <w:rPr>
                <w:rFonts w:ascii="Arial" w:cs="Arial" w:eastAsia="Arial" w:hAnsi="Arial"/>
                <w:sz w:val="22"/>
                <w:szCs w:val="22"/>
                <w:color w:val="BF5B5A"/>
              </w:rPr>
              <w:t>​</w:t>
            </w:r>
          </w:p>
        </w:tc>
        <w:tc>
          <w:tcPr>
            <w:tcW w:w="320" w:type="dxa"/>
            <w:vAlign w:val="bottom"/>
          </w:tcPr>
          <w:p>
            <w:pPr>
              <w:ind w:left="40"/>
              <w:spacing w:after="0"/>
              <w:rPr>
                <w:sz w:val="20"/>
                <w:szCs w:val="20"/>
                <w:color w:val="auto"/>
              </w:rPr>
            </w:pPr>
            <w:r>
              <w:rPr>
                <w:rFonts w:ascii="Arial" w:cs="Arial" w:eastAsia="Arial" w:hAnsi="Arial"/>
                <w:sz w:val="22"/>
                <w:szCs w:val="22"/>
                <w:color w:val="BF5B5A"/>
              </w:rPr>
              <w:t>●</w:t>
            </w:r>
          </w:p>
        </w:tc>
        <w:tc>
          <w:tcPr>
            <w:tcW w:w="60" w:type="dxa"/>
            <w:vAlign w:val="bottom"/>
          </w:tcPr>
          <w:p>
            <w:pPr>
              <w:ind w:left="20"/>
              <w:spacing w:after="0"/>
              <w:rPr>
                <w:sz w:val="20"/>
                <w:szCs w:val="20"/>
                <w:color w:val="auto"/>
              </w:rPr>
            </w:pPr>
            <w:r>
              <w:rPr>
                <w:rFonts w:ascii="Arial" w:cs="Arial" w:eastAsia="Arial" w:hAnsi="Arial"/>
                <w:sz w:val="22"/>
                <w:szCs w:val="22"/>
                <w:color w:val="BF5B5A"/>
              </w:rPr>
              <w:t>​</w:t>
            </w:r>
          </w:p>
        </w:tc>
        <w:tc>
          <w:tcPr>
            <w:tcW w:w="580" w:type="dxa"/>
            <w:vAlign w:val="bottom"/>
            <w:shd w:val="clear" w:color="auto" w:fill="F2F2F2"/>
          </w:tcPr>
          <w:p>
            <w:pPr>
              <w:ind w:left="60"/>
              <w:spacing w:after="0"/>
              <w:rPr>
                <w:sz w:val="20"/>
                <w:szCs w:val="20"/>
                <w:color w:val="auto"/>
              </w:rPr>
            </w:pPr>
            <w:r>
              <w:rPr>
                <w:rFonts w:ascii="Arial" w:cs="Arial" w:eastAsia="Arial" w:hAnsi="Arial"/>
                <w:sz w:val="22"/>
                <w:szCs w:val="22"/>
                <w:color w:val="BF5B5A"/>
              </w:rPr>
              <w:t>​ ●  ​</w:t>
            </w:r>
          </w:p>
        </w:tc>
        <w:tc>
          <w:tcPr>
            <w:tcW w:w="180" w:type="dxa"/>
            <w:vAlign w:val="bottom"/>
          </w:tcPr>
          <w:p>
            <w:pPr>
              <w:ind w:left="60"/>
              <w:spacing w:after="0"/>
              <w:rPr>
                <w:sz w:val="20"/>
                <w:szCs w:val="20"/>
                <w:color w:val="auto"/>
              </w:rPr>
            </w:pPr>
            <w:r>
              <w:rPr>
                <w:rFonts w:ascii="Arial" w:cs="Arial" w:eastAsia="Arial" w:hAnsi="Arial"/>
                <w:sz w:val="22"/>
                <w:szCs w:val="22"/>
                <w:color w:val="BF5B5A"/>
              </w:rPr>
              <w:t>​</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9</w:t>
            </w:r>
          </w:p>
        </w:tc>
        <w:tc>
          <w:tcPr>
            <w:tcW w:w="620" w:type="dxa"/>
            <w:vAlign w:val="bottom"/>
          </w:tcPr>
          <w:p>
            <w:pPr>
              <w:jc w:val="right"/>
              <w:spacing w:after="0"/>
              <w:rPr>
                <w:sz w:val="20"/>
                <w:szCs w:val="20"/>
                <w:color w:val="auto"/>
              </w:rPr>
            </w:pPr>
            <w:r>
              <w:rPr>
                <w:rFonts w:ascii="Arial" w:cs="Arial" w:eastAsia="Arial" w:hAnsi="Arial"/>
                <w:sz w:val="22"/>
                <w:szCs w:val="22"/>
                <w:color w:val="BF5B5A"/>
              </w:rPr>
              <w:t>​ ​</w:t>
            </w:r>
            <w:r>
              <w:rPr>
                <w:rFonts w:ascii="Arial" w:cs="Arial" w:eastAsia="Arial" w:hAnsi="Arial"/>
                <w:sz w:val="14"/>
                <w:szCs w:val="14"/>
                <w:b w:val="1"/>
                <w:bCs w:val="1"/>
                <w:color w:val="000000"/>
              </w:rPr>
              <w:t>100%</w:t>
            </w:r>
          </w:p>
        </w:tc>
        <w:tc>
          <w:tcPr>
            <w:tcW w:w="80" w:type="dxa"/>
            <w:vAlign w:val="bottom"/>
          </w:tcPr>
          <w:p>
            <w:pPr>
              <w:ind w:left="20"/>
              <w:spacing w:after="0"/>
              <w:rPr>
                <w:sz w:val="20"/>
                <w:szCs w:val="20"/>
                <w:color w:val="auto"/>
              </w:rPr>
            </w:pPr>
            <w:r>
              <w:rPr>
                <w:rFonts w:ascii="Arial" w:cs="Arial" w:eastAsia="Arial" w:hAnsi="Arial"/>
                <w:sz w:val="22"/>
                <w:szCs w:val="22"/>
                <w:color w:val="BF5B5A"/>
              </w:rPr>
              <w:t>​</w:t>
            </w:r>
          </w:p>
        </w:tc>
      </w:tr>
      <w:tr>
        <w:trPr>
          <w:trHeight w:val="274"/>
        </w:trPr>
        <w:tc>
          <w:tcPr>
            <w:tcW w:w="1680" w:type="dxa"/>
            <w:vAlign w:val="bottom"/>
            <w:gridSpan w:val="4"/>
          </w:tcPr>
          <w:p>
            <w:pPr>
              <w:ind w:left="100"/>
              <w:spacing w:after="0"/>
              <w:rPr>
                <w:sz w:val="20"/>
                <w:szCs w:val="20"/>
                <w:color w:val="auto"/>
              </w:rPr>
            </w:pPr>
            <w:r>
              <w:rPr>
                <w:rFonts w:ascii="Arial" w:cs="Arial" w:eastAsia="Arial" w:hAnsi="Arial"/>
                <w:sz w:val="14"/>
                <w:szCs w:val="14"/>
                <w:color w:val="auto"/>
              </w:rPr>
              <w:t>Leadership experience</w:t>
            </w:r>
          </w:p>
        </w:tc>
        <w:tc>
          <w:tcPr>
            <w:tcW w:w="4640" w:type="dxa"/>
            <w:vAlign w:val="bottom"/>
            <w:gridSpan w:val="14"/>
          </w:tcPr>
          <w:p>
            <w:pPr>
              <w:jc w:val="right"/>
              <w:spacing w:after="0"/>
              <w:rPr>
                <w:sz w:val="20"/>
                <w:szCs w:val="20"/>
                <w:color w:val="auto"/>
              </w:rPr>
            </w:pPr>
            <w:r>
              <w:rPr>
                <w:rFonts w:ascii="Arial" w:cs="Arial" w:eastAsia="Arial" w:hAnsi="Arial"/>
                <w:sz w:val="14"/>
                <w:szCs w:val="14"/>
                <w:color w:val="auto"/>
              </w:rPr>
              <w:t>at the senior management level facilitates effective oversight of</w:t>
            </w:r>
          </w:p>
        </w:tc>
        <w:tc>
          <w:tcPr>
            <w:tcW w:w="80" w:type="dxa"/>
            <w:vAlign w:val="bottom"/>
          </w:tcPr>
          <w:p>
            <w:pPr>
              <w:spacing w:after="0"/>
              <w:rPr>
                <w:sz w:val="23"/>
                <w:szCs w:val="23"/>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4"/>
                <w:szCs w:val="14"/>
                <w:color w:val="auto"/>
              </w:rPr>
              <w:t>​ management,</w:t>
            </w: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informs</w:t>
            </w: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development</w:t>
            </w:r>
          </w:p>
        </w:tc>
        <w:tc>
          <w:tcPr>
            <w:tcW w:w="960" w:type="dxa"/>
            <w:vAlign w:val="bottom"/>
            <w:gridSpan w:val="3"/>
          </w:tcPr>
          <w:p>
            <w:pPr>
              <w:spacing w:after="0"/>
              <w:rPr>
                <w:sz w:val="20"/>
                <w:szCs w:val="20"/>
                <w:color w:val="auto"/>
              </w:rPr>
            </w:pPr>
            <w:r>
              <w:rPr>
                <w:rFonts w:ascii="Arial" w:cs="Arial" w:eastAsia="Arial" w:hAnsi="Arial"/>
                <w:sz w:val="14"/>
                <w:szCs w:val="14"/>
                <w:color w:val="auto"/>
              </w:rPr>
              <w:t>of  Company</w:t>
            </w: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strategy,</w:t>
            </w:r>
          </w:p>
        </w:tc>
        <w:tc>
          <w:tcPr>
            <w:tcW w:w="320" w:type="dxa"/>
            <w:vAlign w:val="bottom"/>
          </w:tcPr>
          <w:p>
            <w:pPr>
              <w:ind w:left="80"/>
              <w:spacing w:after="0"/>
              <w:rPr>
                <w:sz w:val="20"/>
                <w:szCs w:val="20"/>
                <w:color w:val="auto"/>
              </w:rPr>
            </w:pPr>
            <w:r>
              <w:rPr>
                <w:rFonts w:ascii="Arial" w:cs="Arial" w:eastAsia="Arial" w:hAnsi="Arial"/>
                <w:sz w:val="14"/>
                <w:szCs w:val="14"/>
                <w:color w:val="auto"/>
                <w:w w:val="94"/>
              </w:rPr>
              <w:t>and</w:t>
            </w:r>
          </w:p>
        </w:tc>
        <w:tc>
          <w:tcPr>
            <w:tcW w:w="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enhances</w:t>
            </w:r>
          </w:p>
        </w:tc>
        <w:tc>
          <w:tcPr>
            <w:tcW w:w="300" w:type="dxa"/>
            <w:vAlign w:val="bottom"/>
          </w:tcPr>
          <w:p>
            <w:pPr>
              <w:jc w:val="right"/>
              <w:spacing w:after="0"/>
              <w:rPr>
                <w:sz w:val="20"/>
                <w:szCs w:val="20"/>
                <w:color w:val="auto"/>
              </w:rPr>
            </w:pPr>
            <w:r>
              <w:rPr>
                <w:rFonts w:ascii="Arial" w:cs="Arial" w:eastAsia="Arial" w:hAnsi="Arial"/>
                <w:sz w:val="14"/>
                <w:szCs w:val="14"/>
                <w:color w:val="auto"/>
              </w:rPr>
              <w:t>the</w:t>
            </w:r>
          </w:p>
        </w:tc>
        <w:tc>
          <w:tcPr>
            <w:tcW w:w="620" w:type="dxa"/>
            <w:vAlign w:val="bottom"/>
          </w:tcPr>
          <w:p>
            <w:pPr>
              <w:jc w:val="right"/>
              <w:spacing w:after="0"/>
              <w:rPr>
                <w:sz w:val="20"/>
                <w:szCs w:val="20"/>
                <w:color w:val="auto"/>
              </w:rPr>
            </w:pPr>
            <w:r>
              <w:rPr>
                <w:rFonts w:ascii="Arial" w:cs="Arial" w:eastAsia="Arial" w:hAnsi="Arial"/>
                <w:sz w:val="14"/>
                <w:szCs w:val="14"/>
                <w:color w:val="auto"/>
              </w:rPr>
              <w:t>Board’s​</w:t>
            </w:r>
          </w:p>
        </w:tc>
        <w:tc>
          <w:tcPr>
            <w:tcW w:w="80" w:type="dxa"/>
            <w:vAlign w:val="bottom"/>
          </w:tcPr>
          <w:p>
            <w:pPr>
              <w:spacing w:after="0"/>
              <w:rPr>
                <w:sz w:val="16"/>
                <w:szCs w:val="16"/>
                <w:color w:val="auto"/>
              </w:rPr>
            </w:pPr>
          </w:p>
        </w:tc>
      </w:tr>
    </w:tbl>
    <w:p>
      <w:pPr>
        <w:ind w:left="220" w:hanging="213"/>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succession planning process.</w:t>
      </w:r>
    </w:p>
    <w:p>
      <w:pPr>
        <w:spacing w:after="0" w:line="145" w:lineRule="exact"/>
        <w:rPr>
          <w:sz w:val="20"/>
          <w:szCs w:val="20"/>
          <w:color w:val="auto"/>
        </w:rPr>
      </w:pPr>
    </w:p>
    <w:p>
      <w:pPr>
        <w:ind w:left="180"/>
        <w:spacing w:after="0"/>
        <w:tabs>
          <w:tab w:leader="none" w:pos="5860" w:val="left"/>
        </w:tabs>
        <w:rPr>
          <w:sz w:val="20"/>
          <w:szCs w:val="20"/>
          <w:color w:val="auto"/>
        </w:rPr>
      </w:pPr>
      <w:r>
        <w:rPr>
          <w:rFonts w:ascii="Arial" w:cs="Arial" w:eastAsia="Arial" w:hAnsi="Arial"/>
          <w:sz w:val="22"/>
          <w:szCs w:val="22"/>
          <w:color w:val="BF5B5A"/>
        </w:rPr>
        <w:t>​ ●</w:t>
      </w:r>
      <w:r>
        <w:rPr>
          <w:rFonts w:ascii="Arial" w:cs="Arial" w:eastAsia="Arial" w:hAnsi="Arial"/>
          <w:sz w:val="14"/>
          <w:szCs w:val="14"/>
          <w:color w:val="000000"/>
        </w:rPr>
        <w:t>​</w:t>
      </w:r>
      <w:r>
        <w:rPr>
          <w:rFonts w:ascii="Arial" w:cs="Arial" w:eastAsia="Arial" w:hAnsi="Arial"/>
          <w:sz w:val="22"/>
          <w:szCs w:val="22"/>
          <w:color w:val="BF5B5A"/>
        </w:rPr>
        <w:t xml:space="preserve">  ​ ​ ●  ​ ​ ●  ​ ​ ●  ​ ​ ●  ​ ​ ●  ​ ​ ●  ​ ​ ●  ​ ​ ●  ​ ​ </w:t>
      </w:r>
      <w:r>
        <w:rPr>
          <w:rFonts w:ascii="Arial" w:cs="Arial" w:eastAsia="Arial" w:hAnsi="Arial"/>
          <w:sz w:val="14"/>
          <w:szCs w:val="14"/>
          <w:b w:val="1"/>
          <w:bCs w:val="1"/>
          <w:color w:val="000000"/>
        </w:rPr>
        <w:t>9</w:t>
      </w:r>
      <w:r>
        <w:rPr>
          <w:rFonts w:ascii="Arial" w:cs="Arial" w:eastAsia="Arial" w:hAnsi="Arial"/>
          <w:sz w:val="22"/>
          <w:szCs w:val="22"/>
          <w:color w:val="BF5B5A"/>
        </w:rPr>
        <w:tab/>
        <w:t>​ ​</w:t>
      </w:r>
      <w:r>
        <w:rPr>
          <w:rFonts w:ascii="Arial" w:cs="Arial" w:eastAsia="Arial" w:hAnsi="Arial"/>
          <w:sz w:val="14"/>
          <w:szCs w:val="14"/>
          <w:b w:val="1"/>
          <w:bCs w:val="1"/>
          <w:color w:val="000000"/>
        </w:rPr>
        <w:t>100%</w:t>
      </w:r>
      <w:r>
        <w:rPr>
          <w:rFonts w:ascii="Arial" w:cs="Arial" w:eastAsia="Arial" w:hAnsi="Arial"/>
          <w:sz w:val="22"/>
          <w:szCs w:val="22"/>
          <w:color w:val="BF5B5A"/>
        </w:rPr>
        <w:t xml:space="preserve"> ​</w:t>
      </w:r>
    </w:p>
    <w:p>
      <w:pPr>
        <w:spacing w:after="0" w:line="169" w:lineRule="exact"/>
        <w:rPr>
          <w:sz w:val="20"/>
          <w:szCs w:val="20"/>
          <w:color w:val="auto"/>
        </w:rPr>
      </w:pPr>
    </w:p>
    <w:p>
      <w:pPr>
        <w:ind w:left="120" w:right="80" w:firstLine="94"/>
        <w:spacing w:after="0" w:line="282" w:lineRule="auto"/>
        <w:rPr>
          <w:sz w:val="20"/>
          <w:szCs w:val="20"/>
          <w:color w:val="auto"/>
        </w:rPr>
      </w:pPr>
      <w:r>
        <w:rPr>
          <w:rFonts w:ascii="Arial" w:cs="Arial" w:eastAsia="Arial" w:hAnsi="Arial"/>
          <w:sz w:val="14"/>
          <w:szCs w:val="14"/>
          <w:color w:val="auto"/>
        </w:rPr>
        <w:t>In light of the Company’s significant commitment to real estate lending, experience investing ​ in, or maintaining financial exposure to real estate markets, enables directors to better assess​</w:t>
      </w:r>
    </w:p>
    <w:p>
      <w:pPr>
        <w:ind w:left="220" w:hanging="213"/>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risks associated with that business.</w:t>
      </w:r>
    </w:p>
    <w:p>
      <w:pPr>
        <w:spacing w:after="0" w:line="159" w:lineRule="exact"/>
        <w:rPr>
          <w:sz w:val="20"/>
          <w:szCs w:val="20"/>
          <w:color w:val="auto"/>
        </w:rPr>
      </w:pPr>
    </w:p>
    <w:p>
      <w:pPr>
        <w:ind w:left="220" w:right="20" w:hanging="46"/>
        <w:spacing w:after="0" w:line="341" w:lineRule="auto"/>
        <w:tabs>
          <w:tab w:leader="none" w:pos="200" w:val="left"/>
        </w:tabs>
        <w:rPr>
          <w:sz w:val="20"/>
          <w:szCs w:val="20"/>
          <w:color w:val="auto"/>
        </w:rPr>
      </w:pPr>
      <w:r>
        <w:rPr>
          <w:rFonts w:ascii="Arial" w:cs="Arial" w:eastAsia="Arial" w:hAnsi="Arial"/>
          <w:sz w:val="14"/>
          <w:szCs w:val="14"/>
          <w:color w:val="auto"/>
        </w:rPr>
        <w:t>​</w:t>
        <w:tab/>
        <w:t xml:space="preserve">​ ​ ​ ​ ​ ​ ​ ​ ​ ​ ​ ​ ​ ​ ​ ​ ​ ​ ​ ​ ​ </w:t>
      </w:r>
      <w:r>
        <w:rPr>
          <w:rFonts w:ascii="Arial" w:cs="Arial" w:eastAsia="Arial" w:hAnsi="Arial"/>
          <w:sz w:val="21"/>
          <w:szCs w:val="21"/>
          <w:color w:val="BF5B5A"/>
        </w:rPr>
        <w:t>●</w:t>
      </w:r>
      <w:r>
        <w:rPr>
          <w:rFonts w:ascii="Arial" w:cs="Arial" w:eastAsia="Arial" w:hAnsi="Arial"/>
          <w:sz w:val="14"/>
          <w:szCs w:val="14"/>
          <w:color w:val="auto"/>
        </w:rPr>
        <w:t xml:space="preserve"> ​ ​ ​ ​ ​ </w:t>
      </w:r>
      <w:r>
        <w:rPr>
          <w:rFonts w:ascii="Arial" w:cs="Arial" w:eastAsia="Arial" w:hAnsi="Arial"/>
          <w:sz w:val="14"/>
          <w:szCs w:val="14"/>
          <w:b w:val="1"/>
          <w:bCs w:val="1"/>
          <w:color w:val="auto"/>
        </w:rPr>
        <w:t>1</w:t>
      </w:r>
      <w:r>
        <w:rPr>
          <w:rFonts w:ascii="Arial" w:cs="Arial" w:eastAsia="Arial" w:hAnsi="Arial"/>
          <w:sz w:val="14"/>
          <w:szCs w:val="14"/>
          <w:color w:val="auto"/>
        </w:rPr>
        <w:t xml:space="preserve"> ​ ​ </w:t>
      </w:r>
      <w:r>
        <w:rPr>
          <w:rFonts w:ascii="Arial" w:cs="Arial" w:eastAsia="Arial" w:hAnsi="Arial"/>
          <w:sz w:val="14"/>
          <w:szCs w:val="14"/>
          <w:b w:val="1"/>
          <w:bCs w:val="1"/>
          <w:color w:val="auto"/>
        </w:rPr>
        <w:t>11%</w:t>
      </w:r>
      <w:r>
        <w:rPr>
          <w:rFonts w:ascii="Arial" w:cs="Arial" w:eastAsia="Arial" w:hAnsi="Arial"/>
          <w:sz w:val="14"/>
          <w:szCs w:val="14"/>
          <w:color w:val="auto"/>
        </w:rPr>
        <w:t xml:space="preserve"> ​ Experience with legal and regulatory oversight enables directors to effectively oversee</w:t>
      </w:r>
    </w:p>
    <w:p>
      <w:pPr>
        <w:ind w:left="220" w:hanging="92"/>
        <w:spacing w:after="0"/>
        <w:tabs>
          <w:tab w:leader="none" w:pos="2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compliance with legal and regulatory requirements and the related policies, procedures and​</w:t>
      </w:r>
    </w:p>
    <w:p>
      <w:pPr>
        <w:spacing w:after="0" w:line="28" w:lineRule="exact"/>
        <w:rPr>
          <w:rFonts w:ascii="Arial" w:cs="Arial" w:eastAsia="Arial" w:hAnsi="Arial"/>
          <w:sz w:val="14"/>
          <w:szCs w:val="14"/>
          <w:color w:val="auto"/>
        </w:rPr>
      </w:pPr>
    </w:p>
    <w:p>
      <w:pPr>
        <w:ind w:left="220" w:hanging="213"/>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controls for ensuring such compliance.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c>
          <w:tcPr>
            <w:tcW w:w="320" w:type="dxa"/>
            <w:vAlign w:val="bottom"/>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22"/>
                <w:szCs w:val="22"/>
                <w:color w:val="BF5B5A"/>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22"/>
                <w:szCs w:val="22"/>
                <w:color w:val="BF5B5A"/>
                <w:w w:val="89"/>
              </w:rPr>
              <w:t>●</w:t>
            </w:r>
          </w:p>
        </w:tc>
        <w:tc>
          <w:tcPr>
            <w:tcW w:w="140" w:type="dxa"/>
            <w:vAlign w:val="bottom"/>
            <w:gridSpan w:val="2"/>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shd w:val="clear" w:color="auto" w:fill="F2F2F2"/>
          </w:tcPr>
          <w:p>
            <w:pPr>
              <w:jc w:val="center"/>
              <w:spacing w:after="0"/>
              <w:rPr>
                <w:sz w:val="20"/>
                <w:szCs w:val="20"/>
                <w:color w:val="auto"/>
              </w:rPr>
            </w:pPr>
            <w:r>
              <w:rPr>
                <w:rFonts w:ascii="Arial" w:cs="Arial" w:eastAsia="Arial" w:hAnsi="Arial"/>
                <w:sz w:val="22"/>
                <w:szCs w:val="22"/>
                <w:color w:val="BF5B5A"/>
                <w:w w:val="89"/>
              </w:rPr>
              <w:t>●</w:t>
            </w:r>
          </w:p>
        </w:tc>
        <w:tc>
          <w:tcPr>
            <w:tcW w:w="1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rPr>
                <w:sz w:val="20"/>
                <w:szCs w:val="20"/>
                <w:color w:val="auto"/>
              </w:rPr>
            </w:pPr>
            <w:r>
              <w:rPr>
                <w:rFonts w:ascii="Arial" w:cs="Arial" w:eastAsia="Arial" w:hAnsi="Arial"/>
                <w:sz w:val="22"/>
                <w:szCs w:val="22"/>
                <w:color w:val="BF5B5A"/>
                <w:w w:val="89"/>
              </w:rPr>
              <w:t>●</w:t>
            </w:r>
          </w:p>
        </w:tc>
        <w:tc>
          <w:tcPr>
            <w:tcW w:w="140" w:type="dxa"/>
            <w:vAlign w:val="bottom"/>
          </w:tcPr>
          <w:p>
            <w:pPr>
              <w:ind w:lef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500" w:type="dxa"/>
            <w:vAlign w:val="bottom"/>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44%</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6"/>
        </w:trPr>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20" w:type="dxa"/>
            <w:vAlign w:val="bottom"/>
            <w:gridSpan w:val="31"/>
            <w:shd w:val="clear" w:color="auto" w:fill="F2F2F2"/>
          </w:tcPr>
          <w:p>
            <w:pPr>
              <w:jc w:val="center"/>
              <w:spacing w:after="0"/>
              <w:rPr>
                <w:sz w:val="20"/>
                <w:szCs w:val="20"/>
                <w:color w:val="auto"/>
              </w:rPr>
            </w:pPr>
            <w:r>
              <w:rPr>
                <w:rFonts w:ascii="Arial" w:cs="Arial" w:eastAsia="Arial" w:hAnsi="Arial"/>
                <w:sz w:val="14"/>
                <w:szCs w:val="14"/>
                <w:color w:val="auto"/>
              </w:rPr>
              <w:t>Experience in the introduction of technology to business processes is vital to providing</w:t>
            </w:r>
            <w:r>
              <w:rPr>
                <w:rFonts w:ascii="Arial" w:cs="Arial" w:eastAsia="Arial" w:hAnsi="Arial"/>
                <w:sz w:val="28"/>
                <w:szCs w:val="28"/>
                <w:color w:val="auto"/>
                <w:vertAlign w:val="subscript"/>
              </w:rPr>
              <w:t>​</w:t>
            </w:r>
          </w:p>
        </w:tc>
        <w:tc>
          <w:tcPr>
            <w:tcW w:w="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6220" w:type="dxa"/>
            <w:vAlign w:val="bottom"/>
            <w:gridSpan w:val="31"/>
            <w:shd w:val="clear" w:color="auto" w:fill="F2F2F2"/>
          </w:tcPr>
          <w:p>
            <w:pPr>
              <w:spacing w:after="0"/>
              <w:rPr>
                <w:sz w:val="20"/>
                <w:szCs w:val="20"/>
                <w:color w:val="auto"/>
              </w:rPr>
            </w:pPr>
            <w:r>
              <w:rPr>
                <w:rFonts w:ascii="Arial" w:cs="Arial" w:eastAsia="Arial" w:hAnsi="Arial"/>
                <w:sz w:val="14"/>
                <w:szCs w:val="14"/>
                <w:color w:val="auto"/>
              </w:rPr>
              <w:t>effective oversight of the risks and rewards associated with the Company’s digital evolution.</w:t>
            </w:r>
          </w:p>
        </w:tc>
        <w:tc>
          <w:tcPr>
            <w:tcW w:w="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20" w:type="dxa"/>
            <w:vAlign w:val="bottom"/>
            <w:gridSpan w:val="2"/>
            <w:vMerge w:val="continue"/>
          </w:tcPr>
          <w:p>
            <w:pPr>
              <w:spacing w:after="0"/>
              <w:rPr>
                <w:sz w:val="10"/>
                <w:szCs w:val="10"/>
                <w:color w:val="auto"/>
              </w:rPr>
            </w:pPr>
          </w:p>
        </w:tc>
        <w:tc>
          <w:tcPr>
            <w:tcW w:w="32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20" w:type="dxa"/>
            <w:vAlign w:val="bottom"/>
            <w:tcBorders>
              <w:bottom w:val="single" w:sz="8" w:color="F2F2F2"/>
            </w:tcBorders>
            <w:shd w:val="clear" w:color="auto" w:fill="F2F2F2"/>
          </w:tcPr>
          <w:p>
            <w:pPr>
              <w:spacing w:after="0"/>
              <w:rPr>
                <w:sz w:val="10"/>
                <w:szCs w:val="10"/>
                <w:color w:val="auto"/>
              </w:rPr>
            </w:pPr>
          </w:p>
        </w:tc>
        <w:tc>
          <w:tcPr>
            <w:tcW w:w="2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200" w:type="dxa"/>
            <w:vAlign w:val="bottom"/>
            <w:tcBorders>
              <w:bottom w:val="single" w:sz="8" w:color="F2F2F2"/>
            </w:tcBorders>
            <w:shd w:val="clear" w:color="auto" w:fill="F2F2F2"/>
          </w:tcPr>
          <w:p>
            <w:pPr>
              <w:spacing w:after="0"/>
              <w:rPr>
                <w:sz w:val="10"/>
                <w:szCs w:val="10"/>
                <w:color w:val="auto"/>
              </w:rPr>
            </w:pPr>
          </w:p>
        </w:tc>
        <w:tc>
          <w:tcPr>
            <w:tcW w:w="24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28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200" w:type="dxa"/>
            <w:vAlign w:val="bottom"/>
            <w:tcBorders>
              <w:bottom w:val="single" w:sz="8" w:color="F2F2F2"/>
            </w:tcBorders>
            <w:shd w:val="clear" w:color="auto" w:fill="F2F2F2"/>
          </w:tcPr>
          <w:p>
            <w:pPr>
              <w:spacing w:after="0"/>
              <w:rPr>
                <w:sz w:val="10"/>
                <w:szCs w:val="10"/>
                <w:color w:val="auto"/>
              </w:rPr>
            </w:pPr>
          </w:p>
        </w:tc>
        <w:tc>
          <w:tcPr>
            <w:tcW w:w="240" w:type="dxa"/>
            <w:vAlign w:val="bottom"/>
            <w:tcBorders>
              <w:bottom w:val="single" w:sz="8" w:color="F2F2F2"/>
            </w:tcBorders>
            <w:shd w:val="clear" w:color="auto" w:fill="F2F2F2"/>
          </w:tcPr>
          <w:p>
            <w:pPr>
              <w:spacing w:after="0"/>
              <w:rPr>
                <w:sz w:val="10"/>
                <w:szCs w:val="10"/>
                <w:color w:val="auto"/>
              </w:rPr>
            </w:pPr>
          </w:p>
        </w:tc>
        <w:tc>
          <w:tcPr>
            <w:tcW w:w="140" w:type="dxa"/>
            <w:vAlign w:val="bottom"/>
            <w:tcBorders>
              <w:bottom w:val="single" w:sz="8" w:color="F2F2F2"/>
            </w:tcBorders>
            <w:shd w:val="clear" w:color="auto" w:fill="F2F2F2"/>
          </w:tcPr>
          <w:p>
            <w:pPr>
              <w:spacing w:after="0"/>
              <w:rPr>
                <w:sz w:val="10"/>
                <w:szCs w:val="10"/>
                <w:color w:val="auto"/>
              </w:rPr>
            </w:pPr>
          </w:p>
        </w:tc>
        <w:tc>
          <w:tcPr>
            <w:tcW w:w="180" w:type="dxa"/>
            <w:vAlign w:val="bottom"/>
            <w:tcBorders>
              <w:bottom w:val="single" w:sz="8" w:color="F2F2F2"/>
            </w:tcBorders>
            <w:shd w:val="clear" w:color="auto" w:fill="F2F2F2"/>
          </w:tcPr>
          <w:p>
            <w:pPr>
              <w:spacing w:after="0"/>
              <w:rPr>
                <w:sz w:val="10"/>
                <w:szCs w:val="10"/>
                <w:color w:val="auto"/>
              </w:rPr>
            </w:pPr>
          </w:p>
        </w:tc>
        <w:tc>
          <w:tcPr>
            <w:tcW w:w="260" w:type="dxa"/>
            <w:vAlign w:val="bottom"/>
            <w:tcBorders>
              <w:bottom w:val="single" w:sz="8" w:color="F2F2F2"/>
            </w:tcBorders>
            <w:shd w:val="clear" w:color="auto" w:fill="F2F2F2"/>
          </w:tcPr>
          <w:p>
            <w:pPr>
              <w:spacing w:after="0"/>
              <w:rPr>
                <w:sz w:val="10"/>
                <w:szCs w:val="10"/>
                <w:color w:val="auto"/>
              </w:rPr>
            </w:pPr>
          </w:p>
        </w:tc>
        <w:tc>
          <w:tcPr>
            <w:tcW w:w="160" w:type="dxa"/>
            <w:vAlign w:val="bottom"/>
            <w:tcBorders>
              <w:bottom w:val="single" w:sz="8" w:color="F2F2F2"/>
            </w:tcBorders>
            <w:shd w:val="clear" w:color="auto" w:fill="F2F2F2"/>
          </w:tcPr>
          <w:p>
            <w:pPr>
              <w:spacing w:after="0"/>
              <w:rPr>
                <w:sz w:val="10"/>
                <w:szCs w:val="10"/>
                <w:color w:val="auto"/>
              </w:rPr>
            </w:pPr>
          </w:p>
        </w:tc>
        <w:tc>
          <w:tcPr>
            <w:tcW w:w="500" w:type="dxa"/>
            <w:vAlign w:val="bottom"/>
            <w:tcBorders>
              <w:bottom w:val="single" w:sz="8" w:color="F2F2F2"/>
            </w:tcBorders>
            <w:shd w:val="clear" w:color="auto" w:fill="F2F2F2"/>
          </w:tcPr>
          <w:p>
            <w:pPr>
              <w:spacing w:after="0"/>
              <w:rPr>
                <w:sz w:val="10"/>
                <w:szCs w:val="10"/>
                <w:color w:val="auto"/>
              </w:rPr>
            </w:pPr>
          </w:p>
        </w:tc>
        <w:tc>
          <w:tcPr>
            <w:tcW w:w="60" w:type="dxa"/>
            <w:vAlign w:val="bottom"/>
            <w:tcBorders>
              <w:bottom w:val="single" w:sz="8" w:color="F2F2F2"/>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0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7F7F7F"/>
              <w:bottom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F2F2F2"/>
            </w:tcBorders>
            <w:gridSpan w:val="2"/>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jc w:val="center"/>
              <w:spacing w:after="0"/>
              <w:rPr>
                <w:sz w:val="20"/>
                <w:szCs w:val="20"/>
                <w:color w:val="auto"/>
              </w:rPr>
            </w:pPr>
            <w:r>
              <w:rPr>
                <w:rFonts w:ascii="Arial" w:cs="Arial" w:eastAsia="Arial" w:hAnsi="Arial"/>
                <w:sz w:val="22"/>
                <w:szCs w:val="22"/>
                <w:color w:val="BF5B5A"/>
                <w:w w:val="89"/>
              </w:rPr>
              <w:t>●</w:t>
            </w:r>
          </w:p>
        </w:tc>
        <w:tc>
          <w:tcPr>
            <w:tcW w:w="1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7F7F7F"/>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jc w:val="center"/>
              <w:spacing w:after="0"/>
              <w:rPr>
                <w:sz w:val="20"/>
                <w:szCs w:val="20"/>
                <w:color w:val="auto"/>
              </w:rPr>
            </w:pPr>
            <w:r>
              <w:rPr>
                <w:rFonts w:ascii="Arial" w:cs="Arial" w:eastAsia="Arial" w:hAnsi="Arial"/>
                <w:sz w:val="22"/>
                <w:szCs w:val="22"/>
                <w:color w:val="BF5B5A"/>
                <w:w w:val="89"/>
              </w:rPr>
              <w:t>●</w:t>
            </w:r>
          </w:p>
        </w:tc>
        <w:tc>
          <w:tcPr>
            <w:tcW w:w="1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7F7F7F"/>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7F7F7F"/>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7F7F7F"/>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6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7F7F7F"/>
            </w:tcBorders>
          </w:tcPr>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22%</w:t>
            </w:r>
          </w:p>
        </w:tc>
        <w:tc>
          <w:tcPr>
            <w:tcW w:w="60" w:type="dxa"/>
            <w:vAlign w:val="bottom"/>
            <w:tcBorders>
              <w:top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160" w:type="dxa"/>
            <w:vAlign w:val="bottom"/>
            <w:shd w:val="clear" w:color="auto" w:fill="7F7F7F"/>
          </w:tcPr>
          <w:p>
            <w:pPr>
              <w:spacing w:after="0" w:line="20" w:lineRule="exact"/>
              <w:rPr>
                <w:sz w:val="1"/>
                <w:szCs w:val="1"/>
                <w:color w:val="auto"/>
              </w:rPr>
            </w:pPr>
          </w:p>
        </w:tc>
        <w:tc>
          <w:tcPr>
            <w:tcW w:w="50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-8255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2649220</wp:posOffset>
            </wp:positionH>
            <wp:positionV relativeFrom="paragraph">
              <wp:posOffset>-8255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-8255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-8255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80"/>
            <w:col w:w="6520"/>
          </w:cols>
          <w:pgMar w:left="580" w:top="97" w:right="1339" w:bottom="1440" w:gutter="0" w:footer="0" w:header="0"/>
          <w:type w:val="continuous"/>
        </w:sectPr>
      </w:pPr>
    </w:p>
    <w:p>
      <w:pPr>
        <w:spacing w:after="0" w:line="204" w:lineRule="exact"/>
        <w:rPr>
          <w:sz w:val="20"/>
          <w:szCs w:val="20"/>
          <w:color w:val="auto"/>
        </w:rPr>
      </w:pPr>
    </w:p>
    <w:p>
      <w:pPr>
        <w:ind w:left="780"/>
        <w:spacing w:after="0"/>
        <w:tabs>
          <w:tab w:leader="none" w:pos="9420" w:val="left"/>
          <w:tab w:leader="none" w:pos="976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w:t>
      </w:r>
      <w:r>
        <w:rPr>
          <w:sz w:val="20"/>
          <w:szCs w:val="20"/>
          <w:color w:val="auto"/>
        </w:rPr>
        <w:tab/>
      </w:r>
      <w:r>
        <w:rPr>
          <w:rFonts w:ascii="Arial" w:cs="Arial" w:eastAsia="Arial" w:hAnsi="Arial"/>
          <w:sz w:val="16"/>
          <w:szCs w:val="16"/>
          <w:b w:val="1"/>
          <w:bCs w:val="1"/>
          <w:color w:val="BF5B5A"/>
        </w:rPr>
        <w:t>7</w:t>
      </w:r>
      <w:r>
        <w:rPr>
          <w:rFonts w:ascii="Arial" w:cs="Arial" w:eastAsia="Arial" w:hAnsi="Arial"/>
          <w:sz w:val="32"/>
          <w:szCs w:val="32"/>
          <w:b w:val="1"/>
          <w:bCs w:val="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right="1420"/>
        <w:spacing w:after="0" w:line="309" w:lineRule="auto"/>
        <w:rPr>
          <w:sz w:val="20"/>
          <w:szCs w:val="20"/>
          <w:color w:val="auto"/>
        </w:rPr>
      </w:pPr>
      <w:r>
        <w:rPr>
          <w:rFonts w:ascii="Arial" w:cs="Arial" w:eastAsia="Arial" w:hAnsi="Arial"/>
          <w:sz w:val="25"/>
          <w:szCs w:val="25"/>
          <w:b w:val="1"/>
          <w:bCs w:val="1"/>
          <w:color w:val="auto"/>
        </w:rPr>
        <w:t>FIRST HAWAIIAN COMMITMENT TO ENVIRONMENTAL, SOCIAL AND GOVERNANCE MATTERS</w:t>
      </w:r>
    </w:p>
    <w:p>
      <w:pPr>
        <w:spacing w:after="0" w:line="35" w:lineRule="exact"/>
        <w:rPr>
          <w:sz w:val="20"/>
          <w:szCs w:val="20"/>
          <w:color w:val="auto"/>
        </w:rPr>
      </w:pPr>
    </w:p>
    <w:p>
      <w:pPr>
        <w:ind w:left="780" w:right="60"/>
        <w:spacing w:after="0" w:line="275" w:lineRule="auto"/>
        <w:rPr>
          <w:sz w:val="20"/>
          <w:szCs w:val="20"/>
          <w:color w:val="auto"/>
        </w:rPr>
      </w:pPr>
      <w:r>
        <w:rPr>
          <w:rFonts w:ascii="Arial" w:cs="Arial" w:eastAsia="Arial" w:hAnsi="Arial"/>
          <w:sz w:val="18"/>
          <w:szCs w:val="18"/>
          <w:color w:val="auto"/>
        </w:rPr>
        <w:t>We are committed to having sound corporate governance practices including environmental, social and governance (“ESG”) oversight. Our Environmental, Social and Governance Report (“ESG Report”), Corporate Governance Guidelines and other applicable policies highlight our investment in the development, career advancement and health and safety of our employees, maintenance and support of our customer relationships, service and support of our communities and attention to environmental stewardship to keep our planet and environment sustainable. Our practices are important to how we manage our business and maintain our integrity in the marketplace. In setting our practices, we seek to balance our corporate and stockholder interests, while considering applicable market practices and trends.</w:t>
      </w:r>
    </w:p>
    <w:p>
      <w:pPr>
        <w:spacing w:after="0" w:line="114"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Our Corporate Governance Guidelines set forth a framework for our Company with respect to specific corporate governance practices. The guidelines are reviewed at least annually by the Corporate Governance and Nominating Committee, as well as amended from time to time to continue evolving our ESG practices. With a focus on delivering long-term stockholder value, the backbone of our corporate governance program is to provide transparent disclosure to all stakeholders on an ongoing and consistent basis.</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7F7F7F"/>
        </w:rPr>
        <w:t>PROXY STATEMENT SUMMARY</w:t>
      </w:r>
    </w:p>
    <w:p>
      <w:pPr>
        <w:spacing w:after="0" w:line="345" w:lineRule="exact"/>
        <w:rPr>
          <w:sz w:val="20"/>
          <w:szCs w:val="20"/>
          <w:color w:val="auto"/>
        </w:rPr>
      </w:pPr>
    </w:p>
    <w:p>
      <w:pPr>
        <w:ind w:left="780"/>
        <w:spacing w:after="0" w:line="279" w:lineRule="auto"/>
        <w:rPr>
          <w:sz w:val="20"/>
          <w:szCs w:val="20"/>
          <w:color w:val="auto"/>
        </w:rPr>
      </w:pPr>
      <w:r>
        <w:rPr>
          <w:rFonts w:ascii="Arial" w:cs="Arial" w:eastAsia="Arial" w:hAnsi="Arial"/>
          <w:sz w:val="18"/>
          <w:szCs w:val="18"/>
          <w:color w:val="auto"/>
        </w:rPr>
        <w:t>Our Board of Directors (the “Board”) is composed of skilled and diverse directors who follow established, robust corporate governance practices and policies. The Board believes strongly in the value of an independent board of directors and has established a Lead Independent Director role with broad responsibility. The following overview provides a snapshot of our corporate governance structure and processes, including key aspects of our Board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53975</wp:posOffset>
            </wp:positionV>
            <wp:extent cx="5837555"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7555" cy="3003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33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 Accountability to Stockholders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ind w:left="320"/>
              <w:spacing w:after="0"/>
              <w:rPr>
                <w:sz w:val="20"/>
                <w:szCs w:val="20"/>
                <w:color w:val="auto"/>
              </w:rPr>
            </w:pPr>
            <w:r>
              <w:rPr>
                <w:rFonts w:ascii="Arial" w:cs="Arial" w:eastAsia="Arial" w:hAnsi="Arial"/>
                <w:sz w:val="17"/>
                <w:szCs w:val="17"/>
                <w:b w:val="1"/>
                <w:bCs w:val="1"/>
                <w:color w:val="FFFFFF"/>
              </w:rPr>
              <w:t>Proportionate and Appropriate</w:t>
            </w:r>
          </w:p>
        </w:tc>
        <w:tc>
          <w:tcPr>
            <w:tcW w:w="2880" w:type="dxa"/>
            <w:vAlign w:val="bottom"/>
          </w:tcPr>
          <w:p>
            <w:pPr>
              <w:ind w:left="540"/>
              <w:spacing w:after="0"/>
              <w:rPr>
                <w:sz w:val="20"/>
                <w:szCs w:val="20"/>
                <w:color w:val="auto"/>
              </w:rPr>
            </w:pPr>
            <w:r>
              <w:rPr>
                <w:rFonts w:ascii="Arial" w:cs="Arial" w:eastAsia="Arial" w:hAnsi="Arial"/>
                <w:sz w:val="17"/>
                <w:szCs w:val="17"/>
                <w:b w:val="1"/>
                <w:bCs w:val="1"/>
                <w:color w:val="FFFFFF"/>
              </w:rPr>
              <w:t>Regular and Proactive</w:t>
            </w:r>
          </w:p>
        </w:tc>
        <w:tc>
          <w:tcPr>
            <w:tcW w:w="460" w:type="dxa"/>
            <w:vAlign w:val="bottom"/>
          </w:tcPr>
          <w:p>
            <w:pPr>
              <w:spacing w:after="0"/>
              <w:rPr>
                <w:sz w:val="16"/>
                <w:szCs w:val="16"/>
                <w:color w:val="auto"/>
              </w:rPr>
            </w:pPr>
          </w:p>
        </w:tc>
      </w:tr>
      <w:tr>
        <w:trPr>
          <w:trHeight w:val="211"/>
        </w:trPr>
        <w:tc>
          <w:tcPr>
            <w:tcW w:w="2840" w:type="dxa"/>
            <w:vAlign w:val="bottom"/>
          </w:tcPr>
          <w:p>
            <w:pPr>
              <w:spacing w:after="0"/>
              <w:rPr>
                <w:sz w:val="20"/>
                <w:szCs w:val="20"/>
                <w:color w:val="auto"/>
              </w:rPr>
            </w:pPr>
            <w:r>
              <w:rPr>
                <w:rFonts w:ascii="Arial" w:cs="Arial" w:eastAsia="Arial" w:hAnsi="Arial"/>
                <w:sz w:val="17"/>
                <w:szCs w:val="17"/>
                <w:b w:val="1"/>
                <w:bCs w:val="1"/>
                <w:color w:val="FFFFFF"/>
              </w:rPr>
              <w:t>​  ​ Stockholder Voting Rights</w:t>
            </w:r>
          </w:p>
        </w:tc>
        <w:tc>
          <w:tcPr>
            <w:tcW w:w="2880" w:type="dxa"/>
            <w:vAlign w:val="bottom"/>
          </w:tcPr>
          <w:p>
            <w:pPr>
              <w:ind w:left="220"/>
              <w:spacing w:after="0"/>
              <w:rPr>
                <w:sz w:val="20"/>
                <w:szCs w:val="20"/>
                <w:color w:val="auto"/>
              </w:rPr>
            </w:pPr>
            <w:r>
              <w:rPr>
                <w:rFonts w:ascii="Arial" w:cs="Arial" w:eastAsia="Arial" w:hAnsi="Arial"/>
                <w:sz w:val="17"/>
                <w:szCs w:val="17"/>
                <w:b w:val="1"/>
                <w:bCs w:val="1"/>
                <w:color w:val="FFFFFF"/>
              </w:rPr>
              <w:t>​  ​ Stockholder Engagement</w:t>
            </w:r>
          </w:p>
        </w:tc>
        <w:tc>
          <w:tcPr>
            <w:tcW w:w="460" w:type="dxa"/>
            <w:vAlign w:val="bottom"/>
          </w:tcPr>
          <w:p>
            <w:pPr>
              <w:ind w:left="400"/>
              <w:spacing w:after="0"/>
              <w:rPr>
                <w:sz w:val="20"/>
                <w:szCs w:val="20"/>
                <w:color w:val="auto"/>
              </w:rPr>
            </w:pPr>
            <w:r>
              <w:rPr>
                <w:rFonts w:ascii="Arial" w:cs="Arial" w:eastAsia="Arial" w:hAnsi="Arial"/>
                <w:sz w:val="17"/>
                <w:szCs w:val="17"/>
                <w:b w:val="1"/>
                <w:bCs w:val="1"/>
                <w:color w:val="FFFFFF"/>
              </w:rPr>
              <w:t>​</w:t>
            </w:r>
          </w:p>
        </w:tc>
      </w:tr>
    </w:tbl>
    <w:p>
      <w:pPr>
        <w:spacing w:after="0" w:line="1" w:lineRule="exact"/>
        <w:rPr>
          <w:sz w:val="20"/>
          <w:szCs w:val="20"/>
          <w:color w:val="auto"/>
        </w:rPr>
      </w:pPr>
    </w:p>
    <w:p>
      <w:pPr>
        <w:sectPr>
          <w:pgSz w:w="11900" w:h="16838" w:orient="portrait"/>
          <w:cols w:equalWidth="0" w:num="2">
            <w:col w:w="3240" w:space="500"/>
            <w:col w:w="6220"/>
          </w:cols>
          <w:pgMar w:left="580" w:top="97" w:right="1359" w:bottom="1440" w:gutter="0" w:footer="0" w:header="0"/>
          <w:type w:val="continuous"/>
        </w:sectPr>
      </w:pPr>
    </w:p>
    <w:p>
      <w:pPr>
        <w:ind w:left="780"/>
        <w:spacing w:after="0" w:line="181" w:lineRule="auto"/>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-33655</wp:posOffset>
            </wp:positionV>
            <wp:extent cx="13716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5"/>
          <w:szCs w:val="15"/>
          <w:color w:val="auto"/>
        </w:rPr>
        <w:t>All directors are elected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27940</wp:posOffset>
            </wp:positionV>
            <wp:extent cx="13716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64" w:lineRule="exact"/>
        <w:rPr>
          <w:sz w:val="20"/>
          <w:szCs w:val="20"/>
          <w:color w:val="auto"/>
        </w:rPr>
      </w:pPr>
    </w:p>
    <w:p>
      <w:pPr>
        <w:ind w:left="1180" w:right="20"/>
        <w:spacing w:after="0" w:line="294" w:lineRule="auto"/>
        <w:rPr>
          <w:sz w:val="20"/>
          <w:szCs w:val="20"/>
          <w:color w:val="auto"/>
        </w:rPr>
      </w:pPr>
      <w:r>
        <w:rPr>
          <w:rFonts w:ascii="Arial" w:cs="Arial" w:eastAsia="Arial" w:hAnsi="Arial"/>
          <w:sz w:val="15"/>
          <w:szCs w:val="15"/>
          <w:color w:val="auto"/>
        </w:rPr>
        <w:t>Eligible stockholders may include their director nominees in our proxy materials</w:t>
      </w:r>
    </w:p>
    <w:p>
      <w:pPr>
        <w:spacing w:after="0" w:line="1" w:lineRule="exact"/>
        <w:rPr>
          <w:sz w:val="20"/>
          <w:szCs w:val="20"/>
          <w:color w:val="auto"/>
        </w:rPr>
      </w:pPr>
    </w:p>
    <w:p>
      <w:pPr>
        <w:ind w:left="1180"/>
        <w:spacing w:after="0" w:line="316" w:lineRule="auto"/>
        <w:rPr>
          <w:sz w:val="20"/>
          <w:szCs w:val="20"/>
          <w:color w:val="auto"/>
        </w:rPr>
      </w:pPr>
      <w:r>
        <w:rPr>
          <w:rFonts w:ascii="Arial" w:cs="Arial" w:eastAsia="Arial" w:hAnsi="Arial"/>
          <w:sz w:val="15"/>
          <w:szCs w:val="15"/>
          <w:color w:val="auto"/>
        </w:rPr>
        <w:t>Majority voting standard for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-278765</wp:posOffset>
            </wp:positionV>
            <wp:extent cx="13716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3175</wp:posOffset>
            </wp:positionV>
            <wp:extent cx="13716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Annual say-on-pay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27940</wp:posOffset>
            </wp:positionV>
            <wp:extent cx="13716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78" w:lineRule="exact"/>
        <w:rPr>
          <w:sz w:val="20"/>
          <w:szCs w:val="20"/>
          <w:color w:val="auto"/>
        </w:rPr>
      </w:pPr>
    </w:p>
    <w:p>
      <w:pPr>
        <w:ind w:left="1180" w:right="160"/>
        <w:spacing w:after="0" w:line="300" w:lineRule="auto"/>
        <w:rPr>
          <w:sz w:val="20"/>
          <w:szCs w:val="20"/>
          <w:color w:val="auto"/>
        </w:rPr>
      </w:pPr>
      <w:r>
        <w:rPr>
          <w:rFonts w:ascii="Arial" w:cs="Arial" w:eastAsia="Arial" w:hAnsi="Arial"/>
          <w:sz w:val="15"/>
          <w:szCs w:val="15"/>
          <w:color w:val="auto"/>
        </w:rPr>
        <w:t>Policy against pledging Company stock</w:t>
      </w:r>
    </w:p>
    <w:p>
      <w:pPr>
        <w:spacing w:after="0" w:line="1" w:lineRule="exact"/>
        <w:rPr>
          <w:sz w:val="20"/>
          <w:szCs w:val="20"/>
          <w:color w:val="auto"/>
        </w:rPr>
      </w:pPr>
    </w:p>
    <w:p>
      <w:pPr>
        <w:ind w:left="1180" w:right="440"/>
        <w:spacing w:after="0" w:line="316" w:lineRule="auto"/>
        <w:rPr>
          <w:sz w:val="20"/>
          <w:szCs w:val="20"/>
          <w:color w:val="auto"/>
        </w:rPr>
      </w:pPr>
      <w:r>
        <w:rPr>
          <w:rFonts w:ascii="Arial" w:cs="Arial" w:eastAsia="Arial" w:hAnsi="Arial"/>
          <w:sz w:val="15"/>
          <w:szCs w:val="15"/>
          <w:color w:val="auto"/>
        </w:rPr>
        <w:t>Mandatory retirement age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-30480</wp:posOffset>
            </wp:positionV>
            <wp:extent cx="18770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63500</wp:posOffset>
            </wp:positionV>
            <wp:extent cx="187706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7060" cy="41148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-278765</wp:posOffset>
            </wp:positionV>
            <wp:extent cx="13716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440" w:type="dxa"/>
            <w:vAlign w:val="bottom"/>
          </w:tcPr>
          <w:p>
            <w:pPr>
              <w:spacing w:after="0"/>
              <w:rPr>
                <w:sz w:val="20"/>
                <w:szCs w:val="20"/>
                <w:color w:val="auto"/>
              </w:rPr>
            </w:pPr>
            <w:r>
              <w:rPr>
                <w:rFonts w:ascii="Arial" w:cs="Arial" w:eastAsia="Arial" w:hAnsi="Arial"/>
                <w:sz w:val="15"/>
                <w:szCs w:val="15"/>
                <w:color w:val="auto"/>
              </w:rPr>
              <w:t>​  ​</w:t>
            </w:r>
          </w:p>
        </w:tc>
        <w:tc>
          <w:tcPr>
            <w:tcW w:w="2880" w:type="dxa"/>
            <w:vAlign w:val="bottom"/>
          </w:tcPr>
          <w:p>
            <w:pPr>
              <w:ind w:left="180"/>
              <w:spacing w:after="0" w:line="310" w:lineRule="exact"/>
              <w:rPr>
                <w:sz w:val="20"/>
                <w:szCs w:val="20"/>
                <w:color w:val="auto"/>
              </w:rPr>
            </w:pPr>
            <w:r>
              <w:rPr>
                <w:rFonts w:ascii="Arial" w:cs="Arial" w:eastAsia="Arial" w:hAnsi="Arial"/>
                <w:sz w:val="15"/>
                <w:szCs w:val="15"/>
                <w:color w:val="auto"/>
              </w:rPr>
              <w:t xml:space="preserve">First Hawaiian has one outstanding </w:t>
            </w:r>
            <w:r>
              <w:rPr>
                <w:rFonts w:ascii="Arial" w:cs="Arial" w:eastAsia="Arial" w:hAnsi="Arial"/>
                <w:sz w:val="29"/>
                <w:szCs w:val="29"/>
                <w:color w:val="auto"/>
                <w:vertAlign w:val="superscript"/>
              </w:rPr>
              <w:t>​  ​</w:t>
            </w:r>
          </w:p>
        </w:tc>
      </w:tr>
      <w:tr>
        <w:trPr>
          <w:trHeight w:val="189"/>
        </w:trPr>
        <w:tc>
          <w:tcPr>
            <w:tcW w:w="44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class of voting stock. We believe in</w:t>
            </w:r>
          </w:p>
        </w:tc>
      </w:tr>
      <w:tr>
        <w:trPr>
          <w:trHeight w:val="197"/>
        </w:trPr>
        <w:tc>
          <w:tcPr>
            <w:tcW w:w="440" w:type="dxa"/>
            <w:vAlign w:val="bottom"/>
          </w:tcPr>
          <w:p>
            <w:pPr>
              <w:spacing w:after="0"/>
              <w:rPr>
                <w:sz w:val="17"/>
                <w:szCs w:val="17"/>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a “one share, one vote” standard</w:t>
            </w:r>
          </w:p>
        </w:tc>
      </w:tr>
      <w:tr>
        <w:trPr>
          <w:trHeight w:val="283"/>
        </w:trPr>
        <w:tc>
          <w:tcPr>
            <w:tcW w:w="44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We do not have a “poison pill”</w:t>
            </w:r>
          </w:p>
        </w:tc>
      </w:tr>
      <w:tr>
        <w:trPr>
          <w:trHeight w:val="270"/>
        </w:trPr>
        <w:tc>
          <w:tcPr>
            <w:tcW w:w="440" w:type="dxa"/>
            <w:vAlign w:val="bottom"/>
          </w:tcPr>
          <w:p>
            <w:pPr>
              <w:spacing w:after="0"/>
              <w:rPr>
                <w:sz w:val="23"/>
                <w:szCs w:val="23"/>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No supermajority voting</w:t>
            </w:r>
          </w:p>
        </w:tc>
      </w:tr>
      <w:tr>
        <w:trPr>
          <w:trHeight w:val="203"/>
        </w:trPr>
        <w:tc>
          <w:tcPr>
            <w:tcW w:w="440" w:type="dxa"/>
            <w:vAlign w:val="bottom"/>
          </w:tcPr>
          <w:p>
            <w:pPr>
              <w:spacing w:after="0"/>
              <w:rPr>
                <w:sz w:val="17"/>
                <w:szCs w:val="17"/>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requirements in Certificate of</w:t>
            </w:r>
          </w:p>
        </w:tc>
      </w:tr>
      <w:tr>
        <w:trPr>
          <w:trHeight w:val="203"/>
        </w:trPr>
        <w:tc>
          <w:tcPr>
            <w:tcW w:w="440" w:type="dxa"/>
            <w:vAlign w:val="bottom"/>
          </w:tcPr>
          <w:p>
            <w:pPr>
              <w:spacing w:after="0"/>
              <w:rPr>
                <w:sz w:val="17"/>
                <w:szCs w:val="17"/>
                <w:color w:val="auto"/>
              </w:rPr>
            </w:pPr>
          </w:p>
        </w:tc>
        <w:tc>
          <w:tcPr>
            <w:tcW w:w="2880" w:type="dxa"/>
            <w:vAlign w:val="bottom"/>
          </w:tcPr>
          <w:p>
            <w:pPr>
              <w:ind w:left="180"/>
              <w:spacing w:after="0"/>
              <w:rPr>
                <w:sz w:val="20"/>
                <w:szCs w:val="20"/>
                <w:color w:val="auto"/>
              </w:rPr>
            </w:pPr>
            <w:r>
              <w:rPr>
                <w:rFonts w:ascii="Arial" w:cs="Arial" w:eastAsia="Arial" w:hAnsi="Arial"/>
                <w:sz w:val="15"/>
                <w:szCs w:val="15"/>
                <w:color w:val="auto"/>
              </w:rPr>
              <w:t>Incorporation or Bylaws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603885</wp:posOffset>
            </wp:positionV>
            <wp:extent cx="18084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848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-1007110</wp:posOffset>
            </wp:positionV>
            <wp:extent cx="137160"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-570230</wp:posOffset>
            </wp:positionV>
            <wp:extent cx="13716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-1007110</wp:posOffset>
            </wp:positionV>
            <wp:extent cx="13716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-193040</wp:posOffset>
            </wp:positionV>
            <wp:extent cx="13716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-407035</wp:posOffset>
            </wp:positionV>
            <wp:extent cx="13716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Our investor relations team maintains an active, ongoing dialogue with investors and portfolio managers year-round on matters of business performance and results</w:t>
      </w:r>
    </w:p>
    <w:p>
      <w:pPr>
        <w:spacing w:after="0" w:line="4"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color w:val="auto"/>
        </w:rPr>
        <w:t>We engage on governance, compensation, human capital management and sustainability matters with our largest stockholders’ governance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156210</wp:posOffset>
            </wp:positionV>
            <wp:extent cx="18770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250190</wp:posOffset>
            </wp:positionV>
            <wp:extent cx="187706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770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2581" w:lineRule="exact"/>
        <w:rPr>
          <w:sz w:val="20"/>
          <w:szCs w:val="20"/>
          <w:color w:val="auto"/>
        </w:rPr>
      </w:pPr>
    </w:p>
    <w:p>
      <w:pPr>
        <w:sectPr>
          <w:pgSz w:w="11900" w:h="16838" w:orient="portrait"/>
          <w:cols w:equalWidth="0" w:num="4">
            <w:col w:w="3620" w:space="120"/>
            <w:col w:w="3320" w:space="360"/>
            <w:col w:w="2280" w:space="160"/>
            <w:col w:w="100"/>
          </w:cols>
          <w:pgMar w:left="580" w:top="97" w:right="1359" w:bottom="1440" w:gutter="0" w:footer="0" w:header="0"/>
          <w:type w:val="continuous"/>
        </w:sectPr>
      </w:pPr>
    </w:p>
    <w:p>
      <w:pPr>
        <w:spacing w:after="0" w:line="248" w:lineRule="exact"/>
        <w:rPr>
          <w:sz w:val="20"/>
          <w:szCs w:val="20"/>
          <w:color w:val="auto"/>
        </w:rPr>
      </w:pPr>
    </w:p>
    <w:p>
      <w:pPr>
        <w:ind w:left="780" w:right="460" w:firstLine="102"/>
        <w:spacing w:after="0" w:line="245" w:lineRule="auto"/>
        <w:rPr>
          <w:sz w:val="20"/>
          <w:szCs w:val="20"/>
          <w:color w:val="auto"/>
        </w:rPr>
      </w:pPr>
      <w:r>
        <w:rPr>
          <w:rFonts w:ascii="Arial" w:cs="Arial" w:eastAsia="Arial" w:hAnsi="Arial"/>
          <w:sz w:val="17"/>
          <w:szCs w:val="17"/>
          <w:b w:val="1"/>
          <w:bCs w:val="1"/>
          <w:color w:val="FFFFFF"/>
        </w:rPr>
        <w:t>Independent Board Leadership ​ Structure</w:t>
      </w:r>
    </w:p>
    <w:p>
      <w:pPr>
        <w:ind w:left="780"/>
        <w:spacing w:after="0" w:line="189" w:lineRule="auto"/>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-41910</wp:posOffset>
            </wp:positionV>
            <wp:extent cx="13716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1180" w:right="120"/>
        <w:spacing w:after="0" w:line="257" w:lineRule="auto"/>
        <w:rPr>
          <w:sz w:val="20"/>
          <w:szCs w:val="20"/>
          <w:color w:val="auto"/>
        </w:rPr>
      </w:pPr>
      <w:r>
        <w:rPr>
          <w:rFonts w:ascii="Arial" w:cs="Arial" w:eastAsia="Arial" w:hAnsi="Arial"/>
          <w:sz w:val="15"/>
          <w:szCs w:val="15"/>
          <w:color w:val="auto"/>
        </w:rPr>
        <w:t>The Board considers the appropriateness of its leadership structure annually and discloses in the proxy statement why it believes the current structure is appropriate</w:t>
      </w:r>
    </w:p>
    <w:p>
      <w:pPr>
        <w:spacing w:after="0" w:line="21" w:lineRule="exact"/>
        <w:rPr>
          <w:sz w:val="20"/>
          <w:szCs w:val="20"/>
          <w:color w:val="auto"/>
        </w:rPr>
      </w:pPr>
    </w:p>
    <w:p>
      <w:pPr>
        <w:ind w:left="1180"/>
        <w:spacing w:after="0" w:line="262" w:lineRule="auto"/>
        <w:rPr>
          <w:sz w:val="20"/>
          <w:szCs w:val="20"/>
          <w:color w:val="auto"/>
        </w:rPr>
      </w:pPr>
      <w:r>
        <w:rPr>
          <w:rFonts w:ascii="Arial" w:cs="Arial" w:eastAsia="Arial" w:hAnsi="Arial"/>
          <w:sz w:val="15"/>
          <w:szCs w:val="15"/>
          <w:color w:val="auto"/>
        </w:rPr>
        <w:t>All members of the Audit Committee, Compensation Committee and Corporate Governance and Nominating Committee are independent of the Company and its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-716280</wp:posOffset>
            </wp:positionV>
            <wp:extent cx="13716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1180" w:right="20"/>
        <w:spacing w:after="0" w:line="268" w:lineRule="auto"/>
        <w:rPr>
          <w:sz w:val="20"/>
          <w:szCs w:val="20"/>
          <w:color w:val="auto"/>
        </w:rPr>
      </w:pPr>
      <w:r>
        <w:rPr>
          <w:rFonts w:ascii="Arial" w:cs="Arial" w:eastAsia="Arial" w:hAnsi="Arial"/>
          <w:sz w:val="15"/>
          <w:szCs w:val="15"/>
          <w:color w:val="auto"/>
        </w:rPr>
        <w:t>Our Corporate Governance Guidelines call for the designation of an independent lead director when the Board chair is 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-479425</wp:posOffset>
            </wp:positionV>
            <wp:extent cx="13716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jc w:val="both"/>
        <w:ind w:left="1180" w:right="140"/>
        <w:spacing w:after="0" w:line="270" w:lineRule="auto"/>
        <w:rPr>
          <w:sz w:val="20"/>
          <w:szCs w:val="20"/>
          <w:color w:val="auto"/>
        </w:rPr>
      </w:pPr>
      <w:r>
        <w:rPr>
          <w:rFonts w:ascii="Arial" w:cs="Arial" w:eastAsia="Arial" w:hAnsi="Arial"/>
          <w:sz w:val="15"/>
          <w:szCs w:val="15"/>
          <w:color w:val="auto"/>
        </w:rPr>
        <w:t>Executive sessions of independent directors are held at the Board and committee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1662430</wp:posOffset>
            </wp:positionV>
            <wp:extent cx="18770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-368935</wp:posOffset>
            </wp:positionV>
            <wp:extent cx="13716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7"/>
        </w:trPr>
        <w:tc>
          <w:tcPr>
            <w:tcW w:w="200" w:type="dxa"/>
            <w:vAlign w:val="bottom"/>
            <w:shd w:val="clear" w:color="auto" w:fill="FEFEFE"/>
          </w:tcPr>
          <w:p>
            <w:pPr>
              <w:spacing w:after="0"/>
              <w:rPr>
                <w:sz w:val="24"/>
                <w:szCs w:val="24"/>
                <w:color w:val="auto"/>
              </w:rPr>
            </w:pPr>
          </w:p>
        </w:tc>
        <w:tc>
          <w:tcPr>
            <w:tcW w:w="2860" w:type="dxa"/>
            <w:vAlign w:val="bottom"/>
            <w:shd w:val="clear" w:color="auto" w:fill="BF5B5A"/>
          </w:tcPr>
          <w:p>
            <w:pPr>
              <w:ind w:left="120"/>
              <w:spacing w:after="0"/>
              <w:rPr>
                <w:sz w:val="20"/>
                <w:szCs w:val="20"/>
                <w:color w:val="auto"/>
              </w:rPr>
            </w:pPr>
            <w:r>
              <w:rPr>
                <w:rFonts w:ascii="Arial" w:cs="Arial" w:eastAsia="Arial" w:hAnsi="Arial"/>
                <w:sz w:val="17"/>
                <w:szCs w:val="17"/>
                <w:b w:val="1"/>
                <w:bCs w:val="1"/>
                <w:color w:val="FFFFFF"/>
              </w:rPr>
              <w:t>Effective Board Policies</w:t>
            </w:r>
          </w:p>
        </w:tc>
        <w:tc>
          <w:tcPr>
            <w:tcW w:w="220" w:type="dxa"/>
            <w:vAlign w:val="bottom"/>
            <w:shd w:val="clear" w:color="auto" w:fill="FEFEFE"/>
          </w:tcPr>
          <w:p>
            <w:pPr>
              <w:spacing w:after="0"/>
              <w:rPr>
                <w:sz w:val="24"/>
                <w:szCs w:val="24"/>
                <w:color w:val="auto"/>
              </w:rPr>
            </w:pPr>
          </w:p>
        </w:tc>
      </w:tr>
      <w:tr>
        <w:trPr>
          <w:trHeight w:val="211"/>
        </w:trPr>
        <w:tc>
          <w:tcPr>
            <w:tcW w:w="20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FFFFF"/>
              </w:rPr>
              <w:t>​</w:t>
            </w:r>
          </w:p>
        </w:tc>
        <w:tc>
          <w:tcPr>
            <w:tcW w:w="2860" w:type="dxa"/>
            <w:vAlign w:val="bottom"/>
            <w:shd w:val="clear" w:color="auto" w:fill="BF5B5A"/>
          </w:tcPr>
          <w:p>
            <w:pPr>
              <w:ind w:left="20"/>
              <w:spacing w:after="0"/>
              <w:rPr>
                <w:sz w:val="20"/>
                <w:szCs w:val="20"/>
                <w:color w:val="auto"/>
              </w:rPr>
            </w:pPr>
            <w:r>
              <w:rPr>
                <w:rFonts w:ascii="Arial" w:cs="Arial" w:eastAsia="Arial" w:hAnsi="Arial"/>
                <w:sz w:val="17"/>
                <w:szCs w:val="17"/>
                <w:b w:val="1"/>
                <w:bCs w:val="1"/>
                <w:color w:val="FFFFFF"/>
              </w:rPr>
              <w:t>​ and Practices</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FFFFF"/>
              </w:rPr>
              <w:t>​</w:t>
            </w:r>
          </w:p>
        </w:tc>
      </w:tr>
      <w:tr>
        <w:trPr>
          <w:trHeight w:val="115"/>
        </w:trPr>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8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line="115" w:lineRule="exact"/>
              <w:rPr>
                <w:sz w:val="20"/>
                <w:szCs w:val="20"/>
                <w:color w:val="auto"/>
              </w:rPr>
            </w:pPr>
            <w:r>
              <w:rPr>
                <w:rFonts w:ascii="Arial" w:cs="Arial" w:eastAsia="Arial" w:hAnsi="Arial"/>
                <w:sz w:val="13"/>
                <w:szCs w:val="13"/>
                <w:color w:val="auto"/>
              </w:rPr>
              <w:t>​</w:t>
            </w:r>
          </w:p>
        </w:tc>
      </w:tr>
      <w:tr>
        <w:trPr>
          <w:trHeight w:val="161"/>
        </w:trPr>
        <w:tc>
          <w:tcPr>
            <w:tcW w:w="200" w:type="dxa"/>
            <w:vAlign w:val="bottom"/>
          </w:tcPr>
          <w:p>
            <w:pPr>
              <w:spacing w:after="0"/>
              <w:rPr>
                <w:sz w:val="14"/>
                <w:szCs w:val="14"/>
                <w:color w:val="auto"/>
              </w:rPr>
            </w:pPr>
          </w:p>
        </w:tc>
        <w:tc>
          <w:tcPr>
            <w:tcW w:w="2860" w:type="dxa"/>
            <w:vAlign w:val="bottom"/>
          </w:tcPr>
          <w:p>
            <w:pPr>
              <w:ind w:left="420"/>
              <w:spacing w:after="0" w:line="161" w:lineRule="exact"/>
              <w:rPr>
                <w:sz w:val="20"/>
                <w:szCs w:val="20"/>
                <w:color w:val="auto"/>
              </w:rPr>
            </w:pPr>
            <w:r>
              <w:rPr>
                <w:rFonts w:ascii="Arial" w:cs="Arial" w:eastAsia="Arial" w:hAnsi="Arial"/>
                <w:sz w:val="15"/>
                <w:szCs w:val="15"/>
                <w:color w:val="auto"/>
              </w:rPr>
              <w:t>Our Corporate Governance</w:t>
            </w:r>
          </w:p>
        </w:tc>
        <w:tc>
          <w:tcPr>
            <w:tcW w:w="220" w:type="dxa"/>
            <w:vAlign w:val="bottom"/>
          </w:tcPr>
          <w:p>
            <w:pPr>
              <w:spacing w:after="0"/>
              <w:rPr>
                <w:sz w:val="14"/>
                <w:szCs w:val="14"/>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Guidelines require a majority of our</w:t>
            </w:r>
          </w:p>
        </w:tc>
        <w:tc>
          <w:tcPr>
            <w:tcW w:w="220" w:type="dxa"/>
            <w:vAlign w:val="bottom"/>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directors to be independent</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(currently eight of nine director</w:t>
            </w:r>
          </w:p>
        </w:tc>
        <w:tc>
          <w:tcPr>
            <w:tcW w:w="220" w:type="dxa"/>
            <w:vAlign w:val="bottom"/>
          </w:tcPr>
          <w:p>
            <w:pPr>
              <w:spacing w:after="0"/>
              <w:rPr>
                <w:sz w:val="15"/>
                <w:szCs w:val="15"/>
                <w:color w:val="auto"/>
              </w:rPr>
            </w:pPr>
          </w:p>
        </w:tc>
      </w:tr>
      <w:tr>
        <w:trPr>
          <w:trHeight w:val="197"/>
        </w:trPr>
        <w:tc>
          <w:tcPr>
            <w:tcW w:w="20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nominees are independent)</w:t>
            </w:r>
          </w:p>
        </w:tc>
        <w:tc>
          <w:tcPr>
            <w:tcW w:w="22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Our Board is composed of</w:t>
            </w:r>
          </w:p>
        </w:tc>
        <w:tc>
          <w:tcPr>
            <w:tcW w:w="22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accomplished professionals with</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experience, skills and knowledge</w:t>
            </w:r>
          </w:p>
        </w:tc>
        <w:tc>
          <w:tcPr>
            <w:tcW w:w="220" w:type="dxa"/>
            <w:vAlign w:val="bottom"/>
          </w:tcPr>
          <w:p>
            <w:pPr>
              <w:spacing w:after="0"/>
              <w:rPr>
                <w:sz w:val="15"/>
                <w:szCs w:val="15"/>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relevant to our business, resulting</w:t>
            </w:r>
          </w:p>
        </w:tc>
        <w:tc>
          <w:tcPr>
            <w:tcW w:w="220" w:type="dxa"/>
            <w:vAlign w:val="bottom"/>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in a high-functioning and engaged</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Board (a matrix of relevant skills is</w:t>
            </w:r>
          </w:p>
        </w:tc>
        <w:tc>
          <w:tcPr>
            <w:tcW w:w="220" w:type="dxa"/>
            <w:vAlign w:val="bottom"/>
          </w:tcPr>
          <w:p>
            <w:pPr>
              <w:spacing w:after="0"/>
              <w:rPr>
                <w:sz w:val="15"/>
                <w:szCs w:val="15"/>
                <w:color w:val="auto"/>
              </w:rPr>
            </w:pPr>
          </w:p>
        </w:tc>
      </w:tr>
      <w:tr>
        <w:trPr>
          <w:trHeight w:val="197"/>
        </w:trPr>
        <w:tc>
          <w:tcPr>
            <w:tcW w:w="20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presented above on page 7)</w:t>
            </w:r>
          </w:p>
        </w:tc>
        <w:tc>
          <w:tcPr>
            <w:tcW w:w="22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Each standing committee has a</w:t>
            </w:r>
          </w:p>
        </w:tc>
        <w:tc>
          <w:tcPr>
            <w:tcW w:w="22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charter that is publicly available on</w:t>
            </w:r>
          </w:p>
        </w:tc>
        <w:tc>
          <w:tcPr>
            <w:tcW w:w="220" w:type="dxa"/>
            <w:vAlign w:val="bottom"/>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our website and that meets</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applicable legal requirements and</w:t>
            </w:r>
          </w:p>
        </w:tc>
        <w:tc>
          <w:tcPr>
            <w:tcW w:w="220" w:type="dxa"/>
            <w:vAlign w:val="bottom"/>
          </w:tcPr>
          <w:p>
            <w:pPr>
              <w:spacing w:after="0"/>
              <w:rPr>
                <w:sz w:val="15"/>
                <w:szCs w:val="15"/>
                <w:color w:val="auto"/>
              </w:rPr>
            </w:pPr>
          </w:p>
        </w:tc>
      </w:tr>
      <w:tr>
        <w:trPr>
          <w:trHeight w:val="197"/>
        </w:trPr>
        <w:tc>
          <w:tcPr>
            <w:tcW w:w="20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reflects good governance</w:t>
            </w:r>
          </w:p>
        </w:tc>
        <w:tc>
          <w:tcPr>
            <w:tcW w:w="22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The Company has a Code of</w:t>
            </w:r>
          </w:p>
        </w:tc>
        <w:tc>
          <w:tcPr>
            <w:tcW w:w="22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Conduct and Ethics that is</w:t>
            </w:r>
          </w:p>
        </w:tc>
        <w:tc>
          <w:tcPr>
            <w:tcW w:w="220" w:type="dxa"/>
            <w:vAlign w:val="bottom"/>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applicable to all employees and</w:t>
            </w:r>
          </w:p>
        </w:tc>
        <w:tc>
          <w:tcPr>
            <w:tcW w:w="220" w:type="dxa"/>
            <w:vAlign w:val="bottom"/>
          </w:tcPr>
          <w:p>
            <w:pPr>
              <w:spacing w:after="0"/>
              <w:rPr>
                <w:sz w:val="16"/>
                <w:szCs w:val="16"/>
                <w:color w:val="auto"/>
              </w:rPr>
            </w:pPr>
          </w:p>
        </w:tc>
      </w:tr>
      <w:tr>
        <w:trPr>
          <w:trHeight w:val="176"/>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directors of the Company and is</w:t>
            </w:r>
          </w:p>
        </w:tc>
        <w:tc>
          <w:tcPr>
            <w:tcW w:w="220" w:type="dxa"/>
            <w:vAlign w:val="bottom"/>
          </w:tcPr>
          <w:p>
            <w:pPr>
              <w:spacing w:after="0"/>
              <w:rPr>
                <w:sz w:val="15"/>
                <w:szCs w:val="15"/>
                <w:color w:val="auto"/>
              </w:rPr>
            </w:pPr>
          </w:p>
        </w:tc>
      </w:tr>
      <w:tr>
        <w:trPr>
          <w:trHeight w:val="197"/>
        </w:trPr>
        <w:tc>
          <w:tcPr>
            <w:tcW w:w="20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available on our website</w:t>
            </w:r>
          </w:p>
        </w:tc>
        <w:tc>
          <w:tcPr>
            <w:tcW w:w="220" w:type="dxa"/>
            <w:vAlign w:val="bottom"/>
          </w:tcPr>
          <w:p>
            <w:pPr>
              <w:spacing w:after="0"/>
              <w:rPr>
                <w:sz w:val="17"/>
                <w:szCs w:val="17"/>
                <w:color w:val="auto"/>
              </w:rPr>
            </w:pPr>
          </w:p>
        </w:tc>
      </w:tr>
      <w:tr>
        <w:trPr>
          <w:trHeight w:val="208"/>
        </w:trPr>
        <w:tc>
          <w:tcPr>
            <w:tcW w:w="20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We conduct annual reviews of</w:t>
            </w:r>
          </w:p>
        </w:tc>
        <w:tc>
          <w:tcPr>
            <w:tcW w:w="220" w:type="dxa"/>
            <w:vAlign w:val="bottom"/>
          </w:tcPr>
          <w:p>
            <w:pPr>
              <w:spacing w:after="0"/>
              <w:rPr>
                <w:sz w:val="18"/>
                <w:szCs w:val="18"/>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director skill sets and experience</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together with annual board and</w:t>
            </w:r>
          </w:p>
        </w:tc>
        <w:tc>
          <w:tcPr>
            <w:tcW w:w="220" w:type="dxa"/>
            <w:vAlign w:val="bottom"/>
          </w:tcPr>
          <w:p>
            <w:pPr>
              <w:spacing w:after="0"/>
              <w:rPr>
                <w:sz w:val="15"/>
                <w:szCs w:val="15"/>
                <w:color w:val="auto"/>
              </w:rPr>
            </w:pPr>
          </w:p>
        </w:tc>
      </w:tr>
      <w:tr>
        <w:trPr>
          <w:trHeight w:val="197"/>
        </w:trPr>
        <w:tc>
          <w:tcPr>
            <w:tcW w:w="20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committee performance reviews</w:t>
            </w:r>
          </w:p>
        </w:tc>
        <w:tc>
          <w:tcPr>
            <w:tcW w:w="220" w:type="dxa"/>
            <w:vAlign w:val="bottom"/>
          </w:tcPr>
          <w:p>
            <w:pPr>
              <w:spacing w:after="0"/>
              <w:rPr>
                <w:sz w:val="17"/>
                <w:szCs w:val="17"/>
                <w:color w:val="auto"/>
              </w:rPr>
            </w:pPr>
          </w:p>
        </w:tc>
      </w:tr>
      <w:tr>
        <w:trPr>
          <w:trHeight w:val="221"/>
        </w:trPr>
        <w:tc>
          <w:tcPr>
            <w:tcW w:w="200" w:type="dxa"/>
            <w:vAlign w:val="bottom"/>
          </w:tcPr>
          <w:p>
            <w:pPr>
              <w:spacing w:after="0"/>
              <w:rPr>
                <w:sz w:val="19"/>
                <w:szCs w:val="19"/>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Our directors are encouraged to</w:t>
            </w:r>
          </w:p>
        </w:tc>
        <w:tc>
          <w:tcPr>
            <w:tcW w:w="220" w:type="dxa"/>
            <w:vAlign w:val="bottom"/>
          </w:tcPr>
          <w:p>
            <w:pPr>
              <w:spacing w:after="0"/>
              <w:rPr>
                <w:sz w:val="19"/>
                <w:szCs w:val="19"/>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participate in educational programs</w:t>
            </w:r>
          </w:p>
        </w:tc>
        <w:tc>
          <w:tcPr>
            <w:tcW w:w="220" w:type="dxa"/>
            <w:vAlign w:val="bottom"/>
          </w:tcPr>
          <w:p>
            <w:pPr>
              <w:spacing w:after="0"/>
              <w:rPr>
                <w:sz w:val="15"/>
                <w:szCs w:val="15"/>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relating to corporate governance</w:t>
            </w:r>
          </w:p>
        </w:tc>
        <w:tc>
          <w:tcPr>
            <w:tcW w:w="220" w:type="dxa"/>
            <w:vAlign w:val="bottom"/>
          </w:tcPr>
          <w:p>
            <w:pPr>
              <w:spacing w:after="0"/>
              <w:rPr>
                <w:sz w:val="16"/>
                <w:szCs w:val="16"/>
                <w:color w:val="auto"/>
              </w:rPr>
            </w:pPr>
          </w:p>
        </w:tc>
      </w:tr>
      <w:tr>
        <w:trPr>
          <w:trHeight w:val="175"/>
        </w:trPr>
        <w:tc>
          <w:tcPr>
            <w:tcW w:w="200" w:type="dxa"/>
            <w:vAlign w:val="bottom"/>
          </w:tcPr>
          <w:p>
            <w:pPr>
              <w:spacing w:after="0"/>
              <w:rPr>
                <w:sz w:val="15"/>
                <w:szCs w:val="15"/>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and business-related issues, and</w:t>
            </w:r>
          </w:p>
        </w:tc>
        <w:tc>
          <w:tcPr>
            <w:tcW w:w="220" w:type="dxa"/>
            <w:vAlign w:val="bottom"/>
          </w:tcPr>
          <w:p>
            <w:pPr>
              <w:spacing w:after="0"/>
              <w:rPr>
                <w:sz w:val="15"/>
                <w:szCs w:val="15"/>
                <w:color w:val="auto"/>
              </w:rPr>
            </w:pPr>
          </w:p>
        </w:tc>
      </w:tr>
      <w:tr>
        <w:trPr>
          <w:trHeight w:val="189"/>
        </w:trPr>
        <w:tc>
          <w:tcPr>
            <w:tcW w:w="200" w:type="dxa"/>
            <w:vAlign w:val="bottom"/>
          </w:tcPr>
          <w:p>
            <w:pPr>
              <w:spacing w:after="0"/>
              <w:rPr>
                <w:sz w:val="16"/>
                <w:szCs w:val="16"/>
                <w:color w:val="auto"/>
              </w:rPr>
            </w:pPr>
          </w:p>
        </w:tc>
        <w:tc>
          <w:tcPr>
            <w:tcW w:w="2860" w:type="dxa"/>
            <w:vAlign w:val="bottom"/>
          </w:tcPr>
          <w:p>
            <w:pPr>
              <w:ind w:left="420"/>
              <w:spacing w:after="0"/>
              <w:rPr>
                <w:sz w:val="20"/>
                <w:szCs w:val="20"/>
                <w:color w:val="auto"/>
              </w:rPr>
            </w:pPr>
            <w:r>
              <w:rPr>
                <w:rFonts w:ascii="Arial" w:cs="Arial" w:eastAsia="Arial" w:hAnsi="Arial"/>
                <w:sz w:val="15"/>
                <w:szCs w:val="15"/>
                <w:color w:val="auto"/>
              </w:rPr>
              <w:t>the Company provides funding for</w:t>
            </w:r>
          </w:p>
        </w:tc>
        <w:tc>
          <w:tcPr>
            <w:tcW w:w="220" w:type="dxa"/>
            <w:vAlign w:val="bottom"/>
          </w:tcPr>
          <w:p>
            <w:pPr>
              <w:spacing w:after="0"/>
              <w:rPr>
                <w:sz w:val="16"/>
                <w:szCs w:val="16"/>
                <w:color w:val="auto"/>
              </w:rPr>
            </w:pPr>
          </w:p>
        </w:tc>
      </w:tr>
      <w:tr>
        <w:trPr>
          <w:trHeight w:val="190"/>
        </w:trPr>
        <w:tc>
          <w:tcPr>
            <w:tcW w:w="200" w:type="dxa"/>
            <w:vAlign w:val="bottom"/>
          </w:tcPr>
          <w:p>
            <w:pPr>
              <w:spacing w:after="0"/>
              <w:rPr>
                <w:sz w:val="16"/>
                <w:szCs w:val="16"/>
                <w:color w:val="auto"/>
              </w:rPr>
            </w:pPr>
          </w:p>
        </w:tc>
        <w:tc>
          <w:tcPr>
            <w:tcW w:w="2860" w:type="dxa"/>
            <w:vAlign w:val="bottom"/>
            <w:tcBorders>
              <w:bottom w:val="single" w:sz="8" w:color="BF5B5A"/>
            </w:tcBorders>
          </w:tcPr>
          <w:p>
            <w:pPr>
              <w:ind w:left="420"/>
              <w:spacing w:after="0"/>
              <w:rPr>
                <w:sz w:val="20"/>
                <w:szCs w:val="20"/>
                <w:color w:val="auto"/>
              </w:rPr>
            </w:pPr>
            <w:r>
              <w:rPr>
                <w:rFonts w:ascii="Arial" w:cs="Arial" w:eastAsia="Arial" w:hAnsi="Arial"/>
                <w:sz w:val="15"/>
                <w:szCs w:val="15"/>
                <w:color w:val="auto"/>
              </w:rPr>
              <w:t>these activities</w:t>
            </w:r>
          </w:p>
        </w:tc>
        <w:tc>
          <w:tcPr>
            <w:tcW w:w="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-3900170</wp:posOffset>
            </wp:positionV>
            <wp:extent cx="13716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-3256915</wp:posOffset>
            </wp:positionV>
            <wp:extent cx="1371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-2416810</wp:posOffset>
            </wp:positionV>
            <wp:extent cx="13716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-1807845</wp:posOffset>
            </wp:positionV>
            <wp:extent cx="13716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-1199515</wp:posOffset>
            </wp:positionV>
            <wp:extent cx="1371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-702310</wp:posOffset>
            </wp:positionV>
            <wp:extent cx="13716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0" w:right="420"/>
        <w:spacing w:after="0" w:line="256" w:lineRule="auto"/>
        <w:rPr>
          <w:sz w:val="20"/>
          <w:szCs w:val="20"/>
          <w:color w:val="auto"/>
        </w:rPr>
      </w:pPr>
      <w:r>
        <w:rPr>
          <w:rFonts w:ascii="Arial" w:cs="Arial" w:eastAsia="Arial" w:hAnsi="Arial"/>
          <w:sz w:val="16"/>
          <w:szCs w:val="16"/>
          <w:b w:val="1"/>
          <w:bCs w:val="1"/>
          <w:color w:val="FFFFFF"/>
        </w:rPr>
        <w:t>Management Incentives that are Aligned with the Long-Term</w:t>
      </w:r>
    </w:p>
    <w:p>
      <w:pPr>
        <w:spacing w:after="0" w:line="1" w:lineRule="exact"/>
        <w:rPr>
          <w:sz w:val="20"/>
          <w:szCs w:val="20"/>
          <w:color w:val="auto"/>
        </w:rPr>
      </w:pPr>
    </w:p>
    <w:p>
      <w:pPr>
        <w:spacing w:after="0"/>
        <w:tabs>
          <w:tab w:leader="none" w:pos="2820" w:val="left"/>
        </w:tabs>
        <w:rPr>
          <w:sz w:val="20"/>
          <w:szCs w:val="20"/>
          <w:color w:val="auto"/>
        </w:rPr>
      </w:pPr>
      <w:r>
        <w:rPr>
          <w:rFonts w:ascii="Arial" w:cs="Arial" w:eastAsia="Arial" w:hAnsi="Arial"/>
          <w:sz w:val="17"/>
          <w:szCs w:val="17"/>
          <w:b w:val="1"/>
          <w:bCs w:val="1"/>
          <w:color w:val="FFFFFF"/>
        </w:rPr>
        <w:t>​ Strategy of the Company</w:t>
      </w:r>
      <w:r>
        <w:rPr>
          <w:sz w:val="20"/>
          <w:szCs w:val="20"/>
          <w:color w:val="auto"/>
        </w:rPr>
        <w:tab/>
      </w:r>
      <w:r>
        <w:rPr>
          <w:rFonts w:ascii="Arial" w:cs="Arial" w:eastAsia="Arial" w:hAnsi="Arial"/>
          <w:sz w:val="17"/>
          <w:szCs w:val="17"/>
          <w:b w:val="1"/>
          <w:bCs w:val="1"/>
          <w:color w:val="FFFFFF"/>
        </w:rPr>
        <w:t>​</w:t>
      </w:r>
    </w:p>
    <w:p>
      <w:pPr>
        <w:spacing w:after="0" w:line="13" w:lineRule="exact"/>
        <w:rPr>
          <w:sz w:val="20"/>
          <w:szCs w:val="20"/>
          <w:color w:val="auto"/>
        </w:rPr>
      </w:pPr>
    </w:p>
    <w:p>
      <w:pPr>
        <w:ind w:left="400" w:right="60" w:hanging="403"/>
        <w:spacing w:after="0"/>
        <w:rPr>
          <w:sz w:val="20"/>
          <w:szCs w:val="20"/>
          <w:color w:val="auto"/>
        </w:rPr>
      </w:pPr>
      <w:r>
        <w:rPr>
          <w:rFonts w:ascii="Arial" w:cs="Arial" w:eastAsia="Arial" w:hAnsi="Arial"/>
          <w:sz w:val="29"/>
          <w:szCs w:val="29"/>
          <w:color w:val="auto"/>
          <w:vertAlign w:val="superscript"/>
        </w:rPr>
        <w:t xml:space="preserve">​ </w:t>
      </w:r>
      <w:r>
        <w:rPr>
          <w:sz w:val="1"/>
          <w:szCs w:val="1"/>
          <w:color w:val="auto"/>
        </w:rPr>
        <w:drawing>
          <wp:inline distT="0" distB="0" distL="0" distR="0">
            <wp:extent cx="137160"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Arial" w:cs="Arial" w:eastAsia="Arial" w:hAnsi="Arial"/>
          <w:sz w:val="15"/>
          <w:szCs w:val="15"/>
          <w:color w:val="auto"/>
        </w:rPr>
        <w:t xml:space="preserve"> We require robust stock ownership </w:t>
      </w:r>
      <w:r>
        <w:rPr>
          <w:rFonts w:ascii="Arial" w:cs="Arial" w:eastAsia="Arial" w:hAnsi="Arial"/>
          <w:sz w:val="29"/>
          <w:szCs w:val="29"/>
          <w:color w:val="auto"/>
          <w:vertAlign w:val="superscript"/>
        </w:rPr>
        <w:t>​</w:t>
      </w:r>
      <w:r>
        <w:rPr>
          <w:rFonts w:ascii="Arial" w:cs="Arial" w:eastAsia="Arial" w:hAnsi="Arial"/>
          <w:sz w:val="15"/>
          <w:szCs w:val="15"/>
          <w:color w:val="auto"/>
        </w:rPr>
        <w:t xml:space="preserve"> for directors (5x annual cash retainer), CEO (6x base salary) and other NEOs (2x base salary)</w:t>
      </w:r>
    </w:p>
    <w:p>
      <w:pPr>
        <w:spacing w:after="0" w:line="19" w:lineRule="exact"/>
        <w:rPr>
          <w:sz w:val="20"/>
          <w:szCs w:val="20"/>
          <w:color w:val="auto"/>
        </w:rPr>
      </w:pPr>
    </w:p>
    <w:p>
      <w:pPr>
        <w:ind w:left="400" w:right="300"/>
        <w:spacing w:after="0" w:line="262" w:lineRule="auto"/>
        <w:rPr>
          <w:sz w:val="20"/>
          <w:szCs w:val="20"/>
          <w:color w:val="auto"/>
        </w:rPr>
      </w:pPr>
      <w:r>
        <w:rPr>
          <w:rFonts w:ascii="Arial" w:cs="Arial" w:eastAsia="Arial" w:hAnsi="Arial"/>
          <w:sz w:val="15"/>
          <w:szCs w:val="15"/>
          <w:color w:val="auto"/>
        </w:rPr>
        <w:t>The Compensation Committee annually reviews and approves incentive program design, goals and objectives for alignment with compensation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-708025</wp:posOffset>
            </wp:positionV>
            <wp:extent cx="13716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400" w:right="140"/>
        <w:spacing w:after="0" w:line="259" w:lineRule="auto"/>
        <w:rPr>
          <w:sz w:val="20"/>
          <w:szCs w:val="20"/>
          <w:color w:val="auto"/>
        </w:rPr>
      </w:pPr>
      <w:r>
        <w:rPr>
          <w:rFonts w:ascii="Arial" w:cs="Arial" w:eastAsia="Arial" w:hAnsi="Arial"/>
          <w:sz w:val="15"/>
          <w:szCs w:val="15"/>
          <w:color w:val="auto"/>
        </w:rPr>
        <w:t>Our compensation philosophy and practices are focused on using management incentive compensation programs to achieve the Company’s short- and long-term goals, creating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-826135</wp:posOffset>
            </wp:positionV>
            <wp:extent cx="13716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400" w:right="220"/>
        <w:spacing w:after="0" w:line="278" w:lineRule="auto"/>
        <w:rPr>
          <w:sz w:val="20"/>
          <w:szCs w:val="20"/>
          <w:color w:val="auto"/>
        </w:rPr>
      </w:pPr>
      <w:r>
        <w:rPr>
          <w:rFonts w:ascii="Arial" w:cs="Arial" w:eastAsia="Arial" w:hAnsi="Arial"/>
          <w:sz w:val="15"/>
          <w:szCs w:val="15"/>
          <w:color w:val="auto"/>
        </w:rPr>
        <w:t>We maintain robust compensation 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1546860</wp:posOffset>
            </wp:positionV>
            <wp:extent cx="18770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-252730</wp:posOffset>
            </wp:positionV>
            <wp:extent cx="13716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649" w:lineRule="exact"/>
        <w:rPr>
          <w:sz w:val="20"/>
          <w:szCs w:val="20"/>
          <w:color w:val="auto"/>
        </w:rPr>
      </w:pPr>
    </w:p>
    <w:p>
      <w:pPr>
        <w:sectPr>
          <w:pgSz w:w="11900" w:h="16838" w:orient="portrait"/>
          <w:cols w:equalWidth="0" w:num="3">
            <w:col w:w="3700" w:space="40"/>
            <w:col w:w="3280" w:space="0"/>
            <w:col w:w="2940"/>
          </w:cols>
          <w:pgMar w:left="580" w:top="97" w:right="1359" w:bottom="1440" w:gutter="0" w:footer="0" w:header="0"/>
          <w:type w:val="continuous"/>
        </w:sectPr>
      </w:pPr>
    </w:p>
    <w:p>
      <w:pPr>
        <w:spacing w:after="0" w:line="83" w:lineRule="exact"/>
        <w:rPr>
          <w:sz w:val="20"/>
          <w:szCs w:val="20"/>
          <w:color w:val="auto"/>
        </w:rPr>
      </w:pPr>
    </w:p>
    <w:p>
      <w:pPr>
        <w:ind w:left="780"/>
        <w:spacing w:after="0"/>
        <w:tabs>
          <w:tab w:leader="none" w:pos="9420" w:val="left"/>
          <w:tab w:leader="none" w:pos="976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w:t>
      </w:r>
      <w:r>
        <w:rPr>
          <w:sz w:val="20"/>
          <w:szCs w:val="20"/>
          <w:color w:val="auto"/>
        </w:rPr>
        <w:tab/>
      </w:r>
      <w:r>
        <w:rPr>
          <w:rFonts w:ascii="Arial" w:cs="Arial" w:eastAsia="Arial" w:hAnsi="Arial"/>
          <w:sz w:val="16"/>
          <w:szCs w:val="16"/>
          <w:b w:val="1"/>
          <w:bCs w:val="1"/>
          <w:color w:val="BF5B5A"/>
        </w:rPr>
        <w:t>9</w:t>
      </w:r>
      <w:r>
        <w:rPr>
          <w:rFonts w:ascii="Arial" w:cs="Arial" w:eastAsia="Arial" w:hAnsi="Arial"/>
          <w:sz w:val="32"/>
          <w:szCs w:val="32"/>
          <w:b w:val="1"/>
          <w:bCs w:val="1"/>
          <w:color w:val="00000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ESG Governance</w:t>
      </w:r>
    </w:p>
    <w:p>
      <w:pPr>
        <w:spacing w:after="0" w:line="177" w:lineRule="exact"/>
        <w:rPr>
          <w:sz w:val="20"/>
          <w:szCs w:val="20"/>
          <w:color w:val="auto"/>
        </w:rPr>
      </w:pPr>
    </w:p>
    <w:p>
      <w:pPr>
        <w:ind w:left="780" w:right="360"/>
        <w:spacing w:after="0" w:line="292" w:lineRule="auto"/>
        <w:rPr>
          <w:sz w:val="20"/>
          <w:szCs w:val="20"/>
          <w:color w:val="auto"/>
        </w:rPr>
      </w:pPr>
      <w:r>
        <w:rPr>
          <w:rFonts w:ascii="Arial" w:cs="Arial" w:eastAsia="Arial" w:hAnsi="Arial"/>
          <w:sz w:val="18"/>
          <w:szCs w:val="18"/>
          <w:color w:val="auto"/>
        </w:rPr>
        <w:t>As a trusted financial institution, we are committed to operating responsibly and sustainably. The Corporate Governance and Nominating Committee developed the following chart that depicts ESG oversight and governance throughout our organization:</w:t>
      </w:r>
    </w:p>
    <w:p>
      <w:pPr>
        <w:spacing w:after="0" w:line="154" w:lineRule="exact"/>
        <w:rPr>
          <w:sz w:val="20"/>
          <w:szCs w:val="20"/>
          <w:color w:val="auto"/>
        </w:rPr>
      </w:pPr>
    </w:p>
    <w:tbl>
      <w:tblPr>
        <w:tblLayout w:type="fixed"/>
        <w:tblInd w:w="780" w:type="dxa"/>
        <w:tblCellMar>
          <w:top w:w="0" w:type="dxa"/>
          <w:left w:w="0" w:type="dxa"/>
          <w:bottom w:w="0" w:type="dxa"/>
          <w:right w:w="0" w:type="dxa"/>
        </w:tblCellMar>
      </w:tblPr>
      <w:tr>
        <w:trPr>
          <w:trHeight w:val="297"/>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BF5B5A"/>
          </w:tcPr>
          <w:p>
            <w:pPr>
              <w:spacing w:after="0"/>
              <w:rPr>
                <w:sz w:val="24"/>
                <w:szCs w:val="24"/>
                <w:color w:val="auto"/>
              </w:rPr>
            </w:pPr>
          </w:p>
        </w:tc>
        <w:tc>
          <w:tcPr>
            <w:tcW w:w="260" w:type="dxa"/>
            <w:vAlign w:val="bottom"/>
            <w:shd w:val="clear" w:color="auto" w:fill="BF5B5A"/>
          </w:tcPr>
          <w:p>
            <w:pPr>
              <w:spacing w:after="0"/>
              <w:rPr>
                <w:sz w:val="24"/>
                <w:szCs w:val="24"/>
                <w:color w:val="auto"/>
              </w:rPr>
            </w:pPr>
          </w:p>
        </w:tc>
        <w:tc>
          <w:tcPr>
            <w:tcW w:w="4240" w:type="dxa"/>
            <w:vAlign w:val="bottom"/>
            <w:gridSpan w:val="4"/>
            <w:shd w:val="clear" w:color="auto" w:fill="BF5B5A"/>
          </w:tcPr>
          <w:p>
            <w:pPr>
              <w:ind w:left="880"/>
              <w:spacing w:after="0"/>
              <w:rPr>
                <w:sz w:val="20"/>
                <w:szCs w:val="20"/>
                <w:color w:val="auto"/>
              </w:rPr>
            </w:pPr>
            <w:r>
              <w:rPr>
                <w:rFonts w:ascii="Arial" w:cs="Arial" w:eastAsia="Arial" w:hAnsi="Arial"/>
                <w:sz w:val="16"/>
                <w:szCs w:val="16"/>
                <w:b w:val="1"/>
                <w:bCs w:val="1"/>
                <w:color w:val="FFFFFF"/>
              </w:rPr>
              <w:t>Board of Directors (Oversight)</w:t>
            </w:r>
          </w:p>
        </w:tc>
        <w:tc>
          <w:tcPr>
            <w:tcW w:w="220" w:type="dxa"/>
            <w:vAlign w:val="bottom"/>
            <w:shd w:val="clear" w:color="auto" w:fill="BF5B5A"/>
          </w:tcPr>
          <w:p>
            <w:pPr>
              <w:spacing w:after="0"/>
              <w:rPr>
                <w:sz w:val="24"/>
                <w:szCs w:val="24"/>
                <w:color w:val="auto"/>
              </w:rPr>
            </w:pPr>
          </w:p>
        </w:tc>
        <w:tc>
          <w:tcPr>
            <w:tcW w:w="260" w:type="dxa"/>
            <w:vAlign w:val="bottom"/>
            <w:shd w:val="clear" w:color="auto" w:fill="BF5B5A"/>
          </w:tcPr>
          <w:p>
            <w:pPr>
              <w:spacing w:after="0"/>
              <w:rPr>
                <w:sz w:val="24"/>
                <w:szCs w:val="24"/>
                <w:color w:val="auto"/>
              </w:rPr>
            </w:pPr>
          </w:p>
        </w:tc>
        <w:tc>
          <w:tcPr>
            <w:tcW w:w="1440" w:type="dxa"/>
            <w:vAlign w:val="bottom"/>
            <w:shd w:val="clear" w:color="auto" w:fill="BF5B5A"/>
          </w:tcPr>
          <w:p>
            <w:pPr>
              <w:ind w:left="1400"/>
              <w:spacing w:after="0"/>
              <w:rPr>
                <w:sz w:val="20"/>
                <w:szCs w:val="20"/>
                <w:color w:val="auto"/>
              </w:rPr>
            </w:pPr>
            <w:r>
              <w:rPr>
                <w:rFonts w:ascii="Arial" w:cs="Arial" w:eastAsia="Arial" w:hAnsi="Arial"/>
                <w:sz w:val="16"/>
                <w:szCs w:val="16"/>
                <w:b w:val="1"/>
                <w:bCs w:val="1"/>
                <w:color w:val="FFFFFF"/>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shd w:val="clear" w:color="auto" w:fill="F2F2F2"/>
          </w:tcPr>
          <w:p>
            <w:pPr>
              <w:ind w:left="20"/>
              <w:spacing w:after="0"/>
              <w:rPr>
                <w:sz w:val="20"/>
                <w:szCs w:val="20"/>
                <w:color w:val="auto"/>
              </w:rPr>
            </w:pPr>
            <w:r>
              <w:rPr>
                <w:rFonts w:ascii="Arial" w:cs="Arial" w:eastAsia="Arial" w:hAnsi="Arial"/>
                <w:sz w:val="15"/>
                <w:szCs w:val="15"/>
                <w:color w:val="auto"/>
              </w:rPr>
              <w:t>​</w:t>
            </w:r>
          </w:p>
        </w:tc>
        <w:tc>
          <w:tcPr>
            <w:tcW w:w="220" w:type="dxa"/>
            <w:vAlign w:val="bottom"/>
            <w:shd w:val="clear" w:color="auto" w:fill="F2F2F2"/>
          </w:tcPr>
          <w:p>
            <w:pPr>
              <w:ind w:left="160"/>
              <w:spacing w:after="0"/>
              <w:rPr>
                <w:sz w:val="20"/>
                <w:szCs w:val="20"/>
                <w:color w:val="auto"/>
              </w:rPr>
            </w:pPr>
            <w:r>
              <w:rPr>
                <w:rFonts w:ascii="Arial" w:cs="Arial" w:eastAsia="Arial" w:hAnsi="Arial"/>
                <w:sz w:val="15"/>
                <w:szCs w:val="15"/>
                <w:color w:val="BF5B5A"/>
                <w:w w:val="75"/>
              </w:rPr>
              <w:t>•</w:t>
            </w:r>
          </w:p>
        </w:tc>
        <w:tc>
          <w:tcPr>
            <w:tcW w:w="4500" w:type="dxa"/>
            <w:vAlign w:val="bottom"/>
            <w:gridSpan w:val="5"/>
            <w:shd w:val="clear" w:color="auto" w:fill="F2F2F2"/>
          </w:tcPr>
          <w:p>
            <w:pPr>
              <w:ind w:left="100"/>
              <w:spacing w:after="0"/>
              <w:rPr>
                <w:sz w:val="20"/>
                <w:szCs w:val="20"/>
                <w:color w:val="auto"/>
              </w:rPr>
            </w:pPr>
            <w:r>
              <w:rPr>
                <w:rFonts w:ascii="Arial" w:cs="Arial" w:eastAsia="Arial" w:hAnsi="Arial"/>
                <w:sz w:val="15"/>
                <w:szCs w:val="15"/>
                <w:color w:val="auto"/>
              </w:rPr>
              <w:t>Strategic Plan, including ESG-specific objectives</w:t>
            </w:r>
          </w:p>
        </w:tc>
        <w:tc>
          <w:tcPr>
            <w:tcW w:w="2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440" w:type="dxa"/>
            <w:vAlign w:val="bottom"/>
            <w:shd w:val="clear" w:color="auto" w:fill="F2F2F2"/>
          </w:tcPr>
          <w:p>
            <w:pPr>
              <w:ind w:left="13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shd w:val="clear" w:color="auto" w:fill="F2F2F2"/>
          </w:tcPr>
          <w:p>
            <w:pPr>
              <w:spacing w:after="0"/>
              <w:rPr>
                <w:sz w:val="20"/>
                <w:szCs w:val="20"/>
                <w:color w:val="auto"/>
              </w:rPr>
            </w:pPr>
          </w:p>
        </w:tc>
        <w:tc>
          <w:tcPr>
            <w:tcW w:w="220" w:type="dxa"/>
            <w:vAlign w:val="bottom"/>
            <w:shd w:val="clear" w:color="auto" w:fill="F2F2F2"/>
          </w:tcPr>
          <w:p>
            <w:pPr>
              <w:ind w:left="160"/>
              <w:spacing w:after="0"/>
              <w:rPr>
                <w:sz w:val="20"/>
                <w:szCs w:val="20"/>
                <w:color w:val="auto"/>
              </w:rPr>
            </w:pPr>
            <w:r>
              <w:rPr>
                <w:rFonts w:ascii="Arial" w:cs="Arial" w:eastAsia="Arial" w:hAnsi="Arial"/>
                <w:sz w:val="15"/>
                <w:szCs w:val="15"/>
                <w:color w:val="BF5B5A"/>
                <w:w w:val="75"/>
              </w:rPr>
              <w:t>•</w:t>
            </w:r>
          </w:p>
        </w:tc>
        <w:tc>
          <w:tcPr>
            <w:tcW w:w="4980" w:type="dxa"/>
            <w:vAlign w:val="bottom"/>
            <w:gridSpan w:val="7"/>
            <w:shd w:val="clear" w:color="auto" w:fill="F2F2F2"/>
          </w:tcPr>
          <w:p>
            <w:pPr>
              <w:ind w:left="100"/>
              <w:spacing w:after="0"/>
              <w:rPr>
                <w:sz w:val="20"/>
                <w:szCs w:val="20"/>
                <w:color w:val="auto"/>
              </w:rPr>
            </w:pPr>
            <w:r>
              <w:rPr>
                <w:rFonts w:ascii="Arial" w:cs="Arial" w:eastAsia="Arial" w:hAnsi="Arial"/>
                <w:sz w:val="15"/>
                <w:szCs w:val="15"/>
                <w:color w:val="auto"/>
              </w:rPr>
              <w:t>Annual budget, including ESG-related investments and expenditures</w:t>
            </w:r>
          </w:p>
        </w:tc>
        <w:tc>
          <w:tcPr>
            <w:tcW w:w="1440" w:type="dxa"/>
            <w:vAlign w:val="bottom"/>
            <w:shd w:val="clear" w:color="auto" w:fill="F2F2F2"/>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shd w:val="clear" w:color="auto" w:fill="F2F2F2"/>
          </w:tcPr>
          <w:p>
            <w:pPr>
              <w:spacing w:after="0"/>
              <w:rPr>
                <w:sz w:val="22"/>
                <w:szCs w:val="22"/>
                <w:color w:val="auto"/>
              </w:rPr>
            </w:pPr>
          </w:p>
        </w:tc>
        <w:tc>
          <w:tcPr>
            <w:tcW w:w="220" w:type="dxa"/>
            <w:vAlign w:val="bottom"/>
            <w:shd w:val="clear" w:color="auto" w:fill="F2F2F2"/>
          </w:tcPr>
          <w:p>
            <w:pPr>
              <w:ind w:left="160"/>
              <w:spacing w:after="0"/>
              <w:rPr>
                <w:sz w:val="20"/>
                <w:szCs w:val="20"/>
                <w:color w:val="auto"/>
              </w:rPr>
            </w:pPr>
            <w:r>
              <w:rPr>
                <w:rFonts w:ascii="Arial" w:cs="Arial" w:eastAsia="Arial" w:hAnsi="Arial"/>
                <w:sz w:val="15"/>
                <w:szCs w:val="15"/>
                <w:color w:val="BF5B5A"/>
                <w:w w:val="75"/>
              </w:rPr>
              <w:t>•</w:t>
            </w:r>
          </w:p>
        </w:tc>
        <w:tc>
          <w:tcPr>
            <w:tcW w:w="2140" w:type="dxa"/>
            <w:vAlign w:val="bottom"/>
            <w:gridSpan w:val="2"/>
            <w:shd w:val="clear" w:color="auto" w:fill="F2F2F2"/>
          </w:tcPr>
          <w:p>
            <w:pPr>
              <w:ind w:left="100"/>
              <w:spacing w:after="0"/>
              <w:rPr>
                <w:sz w:val="20"/>
                <w:szCs w:val="20"/>
                <w:color w:val="auto"/>
              </w:rPr>
            </w:pPr>
            <w:r>
              <w:rPr>
                <w:rFonts w:ascii="Arial" w:cs="Arial" w:eastAsia="Arial" w:hAnsi="Arial"/>
                <w:sz w:val="15"/>
                <w:szCs w:val="15"/>
                <w:color w:val="auto"/>
              </w:rPr>
              <w:t>Corporate culture oversight</w:t>
            </w:r>
          </w:p>
        </w:tc>
        <w:tc>
          <w:tcPr>
            <w:tcW w:w="220" w:type="dxa"/>
            <w:vAlign w:val="bottom"/>
            <w:shd w:val="clear" w:color="auto" w:fill="F2F2F2"/>
          </w:tcPr>
          <w:p>
            <w:pPr>
              <w:spacing w:after="0"/>
              <w:rPr>
                <w:sz w:val="22"/>
                <w:szCs w:val="22"/>
                <w:color w:val="auto"/>
              </w:rPr>
            </w:pPr>
          </w:p>
        </w:tc>
        <w:tc>
          <w:tcPr>
            <w:tcW w:w="260" w:type="dxa"/>
            <w:vAlign w:val="bottom"/>
            <w:shd w:val="clear" w:color="auto" w:fill="F2F2F2"/>
          </w:tcPr>
          <w:p>
            <w:pPr>
              <w:spacing w:after="0"/>
              <w:rPr>
                <w:sz w:val="22"/>
                <w:szCs w:val="22"/>
                <w:color w:val="auto"/>
              </w:rPr>
            </w:pPr>
          </w:p>
        </w:tc>
        <w:tc>
          <w:tcPr>
            <w:tcW w:w="1880" w:type="dxa"/>
            <w:vAlign w:val="bottom"/>
            <w:shd w:val="clear" w:color="auto" w:fill="F2F2F2"/>
          </w:tcPr>
          <w:p>
            <w:pPr>
              <w:spacing w:after="0"/>
              <w:rPr>
                <w:sz w:val="22"/>
                <w:szCs w:val="22"/>
                <w:color w:val="auto"/>
              </w:rPr>
            </w:pPr>
          </w:p>
        </w:tc>
        <w:tc>
          <w:tcPr>
            <w:tcW w:w="220" w:type="dxa"/>
            <w:vAlign w:val="bottom"/>
            <w:shd w:val="clear" w:color="auto" w:fill="F2F2F2"/>
          </w:tcPr>
          <w:p>
            <w:pPr>
              <w:spacing w:after="0"/>
              <w:rPr>
                <w:sz w:val="22"/>
                <w:szCs w:val="22"/>
                <w:color w:val="auto"/>
              </w:rPr>
            </w:pPr>
          </w:p>
        </w:tc>
        <w:tc>
          <w:tcPr>
            <w:tcW w:w="260" w:type="dxa"/>
            <w:vAlign w:val="bottom"/>
            <w:shd w:val="clear" w:color="auto" w:fill="F2F2F2"/>
          </w:tcPr>
          <w:p>
            <w:pPr>
              <w:spacing w:after="0"/>
              <w:rPr>
                <w:sz w:val="22"/>
                <w:szCs w:val="22"/>
                <w:color w:val="auto"/>
              </w:rPr>
            </w:pPr>
          </w:p>
        </w:tc>
        <w:tc>
          <w:tcPr>
            <w:tcW w:w="1440" w:type="dxa"/>
            <w:vAlign w:val="bottom"/>
            <w:shd w:val="clear" w:color="auto" w:fill="F2F2F2"/>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Borders>
              <w:bottom w:val="single" w:sz="8" w:color="BF5B5A"/>
            </w:tcBorders>
            <w:shd w:val="clear" w:color="auto" w:fill="F2F2F2"/>
          </w:tcPr>
          <w:p>
            <w:pPr>
              <w:spacing w:after="0"/>
              <w:rPr>
                <w:sz w:val="7"/>
                <w:szCs w:val="7"/>
                <w:color w:val="auto"/>
              </w:rPr>
            </w:pPr>
          </w:p>
        </w:tc>
        <w:tc>
          <w:tcPr>
            <w:tcW w:w="220" w:type="dxa"/>
            <w:vAlign w:val="bottom"/>
            <w:tcBorders>
              <w:bottom w:val="single" w:sz="8" w:color="BF5B5A"/>
            </w:tcBorders>
            <w:shd w:val="clear" w:color="auto" w:fill="F2F2F2"/>
          </w:tcPr>
          <w:p>
            <w:pPr>
              <w:spacing w:after="0"/>
              <w:rPr>
                <w:sz w:val="7"/>
                <w:szCs w:val="7"/>
                <w:color w:val="auto"/>
              </w:rPr>
            </w:pPr>
          </w:p>
        </w:tc>
        <w:tc>
          <w:tcPr>
            <w:tcW w:w="260" w:type="dxa"/>
            <w:vAlign w:val="bottom"/>
            <w:tcBorders>
              <w:bottom w:val="single" w:sz="8" w:color="BF5B5A"/>
            </w:tcBorders>
            <w:shd w:val="clear" w:color="auto" w:fill="F2F2F2"/>
          </w:tcPr>
          <w:p>
            <w:pPr>
              <w:spacing w:after="0"/>
              <w:rPr>
                <w:sz w:val="7"/>
                <w:szCs w:val="7"/>
                <w:color w:val="auto"/>
              </w:rPr>
            </w:pPr>
          </w:p>
        </w:tc>
        <w:tc>
          <w:tcPr>
            <w:tcW w:w="4240" w:type="dxa"/>
            <w:vAlign w:val="bottom"/>
            <w:tcBorders>
              <w:bottom w:val="single" w:sz="8" w:color="BF5B5A"/>
            </w:tcBorders>
            <w:gridSpan w:val="4"/>
            <w:shd w:val="clear" w:color="auto" w:fill="F2F2F2"/>
          </w:tcPr>
          <w:p>
            <w:pPr>
              <w:spacing w:after="0"/>
              <w:rPr>
                <w:sz w:val="7"/>
                <w:szCs w:val="7"/>
                <w:color w:val="auto"/>
              </w:rPr>
            </w:pPr>
          </w:p>
        </w:tc>
        <w:tc>
          <w:tcPr>
            <w:tcW w:w="220" w:type="dxa"/>
            <w:vAlign w:val="bottom"/>
            <w:tcBorders>
              <w:bottom w:val="single" w:sz="8" w:color="BF5B5A"/>
            </w:tcBorders>
            <w:shd w:val="clear" w:color="auto" w:fill="F2F2F2"/>
          </w:tcPr>
          <w:p>
            <w:pPr>
              <w:spacing w:after="0"/>
              <w:rPr>
                <w:sz w:val="7"/>
                <w:szCs w:val="7"/>
                <w:color w:val="auto"/>
              </w:rPr>
            </w:pPr>
          </w:p>
        </w:tc>
        <w:tc>
          <w:tcPr>
            <w:tcW w:w="260" w:type="dxa"/>
            <w:vAlign w:val="bottom"/>
            <w:tcBorders>
              <w:bottom w:val="single" w:sz="8" w:color="BF5B5A"/>
            </w:tcBorders>
            <w:shd w:val="clear" w:color="auto" w:fill="F2F2F2"/>
          </w:tcPr>
          <w:p>
            <w:pPr>
              <w:spacing w:after="0"/>
              <w:rPr>
                <w:sz w:val="7"/>
                <w:szCs w:val="7"/>
                <w:color w:val="auto"/>
              </w:rPr>
            </w:pPr>
          </w:p>
        </w:tc>
        <w:tc>
          <w:tcPr>
            <w:tcW w:w="1440" w:type="dxa"/>
            <w:vAlign w:val="bottom"/>
            <w:tcBorders>
              <w:bottom w:val="single" w:sz="8" w:color="BF5B5A"/>
            </w:tcBorders>
            <w:shd w:val="clear" w:color="auto" w:fill="F2F2F2"/>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BF5B5A"/>
          </w:tcPr>
          <w:p>
            <w:pPr>
              <w:spacing w:after="0"/>
              <w:rPr>
                <w:sz w:val="22"/>
                <w:szCs w:val="22"/>
                <w:color w:val="auto"/>
              </w:rPr>
            </w:pPr>
          </w:p>
        </w:tc>
        <w:tc>
          <w:tcPr>
            <w:tcW w:w="120" w:type="dxa"/>
            <w:vAlign w:val="bottom"/>
            <w:shd w:val="clear" w:color="auto" w:fill="BF5B5A"/>
          </w:tcPr>
          <w:p>
            <w:pPr>
              <w:spacing w:after="0"/>
              <w:rPr>
                <w:sz w:val="22"/>
                <w:szCs w:val="22"/>
                <w:color w:val="auto"/>
              </w:rPr>
            </w:pPr>
          </w:p>
        </w:tc>
        <w:tc>
          <w:tcPr>
            <w:tcW w:w="1680" w:type="dxa"/>
            <w:vAlign w:val="bottom"/>
            <w:shd w:val="clear" w:color="auto" w:fill="BF5B5A"/>
          </w:tcPr>
          <w:p>
            <w:pPr>
              <w:spacing w:after="0"/>
              <w:rPr>
                <w:sz w:val="22"/>
                <w:szCs w:val="22"/>
                <w:color w:val="auto"/>
              </w:rPr>
            </w:pPr>
          </w:p>
        </w:tc>
        <w:tc>
          <w:tcPr>
            <w:tcW w:w="220" w:type="dxa"/>
            <w:vAlign w:val="bottom"/>
            <w:shd w:val="clear" w:color="auto" w:fill="BF5B5A"/>
          </w:tcPr>
          <w:p>
            <w:pPr>
              <w:spacing w:after="0"/>
              <w:rPr>
                <w:sz w:val="22"/>
                <w:szCs w:val="22"/>
                <w:color w:val="auto"/>
              </w:rPr>
            </w:pPr>
          </w:p>
        </w:tc>
        <w:tc>
          <w:tcPr>
            <w:tcW w:w="260" w:type="dxa"/>
            <w:vAlign w:val="bottom"/>
            <w:shd w:val="clear" w:color="auto" w:fill="BF5B5A"/>
          </w:tcPr>
          <w:p>
            <w:pPr>
              <w:spacing w:after="0"/>
              <w:rPr>
                <w:sz w:val="22"/>
                <w:szCs w:val="22"/>
                <w:color w:val="auto"/>
              </w:rPr>
            </w:pPr>
          </w:p>
        </w:tc>
        <w:tc>
          <w:tcPr>
            <w:tcW w:w="4240" w:type="dxa"/>
            <w:vAlign w:val="bottom"/>
            <w:gridSpan w:val="4"/>
            <w:shd w:val="clear" w:color="auto" w:fill="BF5B5A"/>
          </w:tcPr>
          <w:p>
            <w:pPr>
              <w:ind w:left="960"/>
              <w:spacing w:after="0"/>
              <w:rPr>
                <w:sz w:val="20"/>
                <w:szCs w:val="20"/>
                <w:color w:val="auto"/>
              </w:rPr>
            </w:pPr>
            <w:r>
              <w:rPr>
                <w:rFonts w:ascii="Arial" w:cs="Arial" w:eastAsia="Arial" w:hAnsi="Arial"/>
                <w:sz w:val="16"/>
                <w:szCs w:val="16"/>
                <w:b w:val="1"/>
                <w:bCs w:val="1"/>
                <w:color w:val="FFFFFF"/>
              </w:rPr>
              <w:t>Board-level Committees</w:t>
            </w:r>
            <w:r>
              <w:rPr>
                <w:rFonts w:ascii="Arial" w:cs="Arial" w:eastAsia="Arial" w:hAnsi="Arial"/>
                <w:sz w:val="15"/>
                <w:szCs w:val="15"/>
                <w:color w:val="000000"/>
              </w:rPr>
              <w:t>​</w:t>
            </w:r>
          </w:p>
        </w:tc>
        <w:tc>
          <w:tcPr>
            <w:tcW w:w="220" w:type="dxa"/>
            <w:vAlign w:val="bottom"/>
            <w:shd w:val="clear" w:color="auto" w:fill="BF5B5A"/>
          </w:tcPr>
          <w:p>
            <w:pPr>
              <w:spacing w:after="0"/>
              <w:rPr>
                <w:sz w:val="22"/>
                <w:szCs w:val="22"/>
                <w:color w:val="auto"/>
              </w:rPr>
            </w:pPr>
          </w:p>
        </w:tc>
        <w:tc>
          <w:tcPr>
            <w:tcW w:w="260" w:type="dxa"/>
            <w:vAlign w:val="bottom"/>
            <w:shd w:val="clear" w:color="auto" w:fill="BF5B5A"/>
          </w:tcPr>
          <w:p>
            <w:pPr>
              <w:spacing w:after="0"/>
              <w:rPr>
                <w:sz w:val="22"/>
                <w:szCs w:val="22"/>
                <w:color w:val="auto"/>
              </w:rPr>
            </w:pPr>
          </w:p>
        </w:tc>
        <w:tc>
          <w:tcPr>
            <w:tcW w:w="1440" w:type="dxa"/>
            <w:vAlign w:val="bottom"/>
            <w:shd w:val="clear" w:color="auto" w:fill="BF5B5A"/>
          </w:tcPr>
          <w:p>
            <w:pPr>
              <w:spacing w:after="0"/>
              <w:rPr>
                <w:sz w:val="22"/>
                <w:szCs w:val="22"/>
                <w:color w:val="auto"/>
              </w:rPr>
            </w:pPr>
          </w:p>
        </w:tc>
        <w:tc>
          <w:tcPr>
            <w:tcW w:w="280" w:type="dxa"/>
            <w:vAlign w:val="bottom"/>
            <w:shd w:val="clear" w:color="auto" w:fill="BF5B5A"/>
          </w:tcPr>
          <w:p>
            <w:pPr>
              <w:spacing w:after="0"/>
              <w:rPr>
                <w:sz w:val="22"/>
                <w:szCs w:val="22"/>
                <w:color w:val="auto"/>
              </w:rPr>
            </w:pPr>
          </w:p>
        </w:tc>
        <w:tc>
          <w:tcPr>
            <w:tcW w:w="16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BF5B5A"/>
          </w:tcPr>
          <w:p>
            <w:pPr>
              <w:spacing w:after="0"/>
              <w:rPr>
                <w:sz w:val="7"/>
                <w:szCs w:val="7"/>
                <w:color w:val="auto"/>
              </w:rPr>
            </w:pPr>
          </w:p>
        </w:tc>
        <w:tc>
          <w:tcPr>
            <w:tcW w:w="2020" w:type="dxa"/>
            <w:vAlign w:val="bottom"/>
            <w:gridSpan w:val="3"/>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8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8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440" w:type="dxa"/>
            <w:vAlign w:val="bottom"/>
            <w:shd w:val="clear" w:color="auto" w:fill="BF5B5A"/>
          </w:tcPr>
          <w:p>
            <w:pPr>
              <w:spacing w:after="0"/>
              <w:rPr>
                <w:sz w:val="7"/>
                <w:szCs w:val="7"/>
                <w:color w:val="auto"/>
              </w:rPr>
            </w:pPr>
          </w:p>
        </w:tc>
        <w:tc>
          <w:tcPr>
            <w:tcW w:w="280" w:type="dxa"/>
            <w:vAlign w:val="bottom"/>
            <w:shd w:val="clear" w:color="auto" w:fill="BF5B5A"/>
          </w:tcPr>
          <w:p>
            <w:pPr>
              <w:spacing w:after="0"/>
              <w:rPr>
                <w:sz w:val="7"/>
                <w:szCs w:val="7"/>
                <w:color w:val="auto"/>
              </w:rPr>
            </w:pPr>
          </w:p>
        </w:tc>
        <w:tc>
          <w:tcPr>
            <w:tcW w:w="160" w:type="dxa"/>
            <w:vAlign w:val="bottom"/>
            <w:shd w:val="clear" w:color="auto" w:fill="BF5B5A"/>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EFEFE"/>
          </w:tcPr>
          <w:p>
            <w:pPr>
              <w:spacing w:after="0"/>
              <w:rPr>
                <w:sz w:val="18"/>
                <w:szCs w:val="18"/>
                <w:color w:val="auto"/>
              </w:rPr>
            </w:pPr>
          </w:p>
        </w:tc>
        <w:tc>
          <w:tcPr>
            <w:tcW w:w="2020" w:type="dxa"/>
            <w:vAlign w:val="bottom"/>
            <w:gridSpan w:val="3"/>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8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8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0" w:type="dxa"/>
            <w:vAlign w:val="bottom"/>
            <w:shd w:val="clear" w:color="auto" w:fill="BF5B5A"/>
          </w:tcPr>
          <w:p>
            <w:pPr>
              <w:spacing w:after="0"/>
              <w:rPr>
                <w:sz w:val="24"/>
                <w:szCs w:val="24"/>
                <w:color w:val="auto"/>
              </w:rPr>
            </w:pPr>
          </w:p>
        </w:tc>
        <w:tc>
          <w:tcPr>
            <w:tcW w:w="2020" w:type="dxa"/>
            <w:vAlign w:val="bottom"/>
            <w:gridSpan w:val="3"/>
            <w:shd w:val="clear" w:color="auto" w:fill="BF5B5A"/>
          </w:tcPr>
          <w:p>
            <w:pPr>
              <w:spacing w:after="0"/>
              <w:rPr>
                <w:sz w:val="20"/>
                <w:szCs w:val="20"/>
                <w:color w:val="auto"/>
              </w:rPr>
            </w:pPr>
            <w:r>
              <w:rPr>
                <w:rFonts w:ascii="Arial" w:cs="Arial" w:eastAsia="Arial" w:hAnsi="Arial"/>
                <w:sz w:val="15"/>
                <w:szCs w:val="15"/>
                <w:b w:val="1"/>
                <w:bCs w:val="1"/>
                <w:color w:val="FFFFFF"/>
              </w:rPr>
              <w:t>Corporate Governance and</w:t>
            </w:r>
          </w:p>
        </w:tc>
        <w:tc>
          <w:tcPr>
            <w:tcW w:w="220" w:type="dxa"/>
            <w:vAlign w:val="bottom"/>
            <w:shd w:val="clear" w:color="auto" w:fill="FEFEFE"/>
          </w:tcPr>
          <w:p>
            <w:pPr>
              <w:spacing w:after="0"/>
              <w:rPr>
                <w:sz w:val="24"/>
                <w:szCs w:val="24"/>
                <w:color w:val="auto"/>
              </w:rPr>
            </w:pPr>
          </w:p>
        </w:tc>
        <w:tc>
          <w:tcPr>
            <w:tcW w:w="260" w:type="dxa"/>
            <w:vAlign w:val="bottom"/>
            <w:shd w:val="clear" w:color="auto" w:fill="BF5B5A"/>
          </w:tcPr>
          <w:p>
            <w:pPr>
              <w:spacing w:after="0"/>
              <w:rPr>
                <w:sz w:val="24"/>
                <w:szCs w:val="24"/>
                <w:color w:val="auto"/>
              </w:rPr>
            </w:pPr>
          </w:p>
        </w:tc>
        <w:tc>
          <w:tcPr>
            <w:tcW w:w="1880" w:type="dxa"/>
            <w:vAlign w:val="bottom"/>
            <w:shd w:val="clear" w:color="auto" w:fill="BF5B5A"/>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60" w:type="dxa"/>
            <w:vAlign w:val="bottom"/>
            <w:shd w:val="clear" w:color="auto" w:fill="BF5B5A"/>
          </w:tcPr>
          <w:p>
            <w:pPr>
              <w:spacing w:after="0"/>
              <w:rPr>
                <w:sz w:val="24"/>
                <w:szCs w:val="24"/>
                <w:color w:val="auto"/>
              </w:rPr>
            </w:pPr>
          </w:p>
        </w:tc>
        <w:tc>
          <w:tcPr>
            <w:tcW w:w="1880" w:type="dxa"/>
            <w:vAlign w:val="bottom"/>
            <w:shd w:val="clear" w:color="auto" w:fill="BF5B5A"/>
          </w:tcPr>
          <w:p>
            <w:pPr>
              <w:spacing w:after="0"/>
              <w:rPr>
                <w:sz w:val="24"/>
                <w:szCs w:val="24"/>
                <w:color w:val="auto"/>
              </w:rPr>
            </w:pPr>
          </w:p>
        </w:tc>
        <w:tc>
          <w:tcPr>
            <w:tcW w:w="220" w:type="dxa"/>
            <w:vAlign w:val="bottom"/>
            <w:shd w:val="clear" w:color="auto" w:fill="FEFEFE"/>
          </w:tcPr>
          <w:p>
            <w:pPr>
              <w:spacing w:after="0"/>
              <w:rPr>
                <w:sz w:val="24"/>
                <w:szCs w:val="24"/>
                <w:color w:val="auto"/>
              </w:rPr>
            </w:pPr>
          </w:p>
        </w:tc>
        <w:tc>
          <w:tcPr>
            <w:tcW w:w="260" w:type="dxa"/>
            <w:vAlign w:val="bottom"/>
            <w:shd w:val="clear" w:color="auto" w:fill="BF5B5A"/>
          </w:tcPr>
          <w:p>
            <w:pPr>
              <w:spacing w:after="0"/>
              <w:rPr>
                <w:sz w:val="24"/>
                <w:szCs w:val="24"/>
                <w:color w:val="auto"/>
              </w:rPr>
            </w:pPr>
          </w:p>
        </w:tc>
        <w:tc>
          <w:tcPr>
            <w:tcW w:w="1440" w:type="dxa"/>
            <w:vAlign w:val="bottom"/>
            <w:shd w:val="clear" w:color="auto" w:fill="BF5B5A"/>
          </w:tcPr>
          <w:p>
            <w:pPr>
              <w:spacing w:after="0"/>
              <w:rPr>
                <w:sz w:val="24"/>
                <w:szCs w:val="24"/>
                <w:color w:val="auto"/>
              </w:rPr>
            </w:pPr>
          </w:p>
        </w:tc>
        <w:tc>
          <w:tcPr>
            <w:tcW w:w="280" w:type="dxa"/>
            <w:vAlign w:val="bottom"/>
            <w:shd w:val="clear" w:color="auto" w:fill="BF5B5A"/>
          </w:tcPr>
          <w:p>
            <w:pPr>
              <w:spacing w:after="0"/>
              <w:rPr>
                <w:sz w:val="24"/>
                <w:szCs w:val="24"/>
                <w:color w:val="auto"/>
              </w:rPr>
            </w:pPr>
          </w:p>
        </w:tc>
        <w:tc>
          <w:tcPr>
            <w:tcW w:w="160" w:type="dxa"/>
            <w:vAlign w:val="bottom"/>
            <w:shd w:val="clear" w:color="auto" w:fill="BF5B5A"/>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Borders>
              <w:bottom w:val="single" w:sz="8" w:color="F2F2F2"/>
            </w:tcBorders>
            <w:shd w:val="clear" w:color="auto" w:fill="BF5B5A"/>
          </w:tcPr>
          <w:p>
            <w:pPr>
              <w:spacing w:after="0"/>
              <w:rPr>
                <w:sz w:val="20"/>
                <w:szCs w:val="20"/>
                <w:color w:val="auto"/>
              </w:rPr>
            </w:pPr>
            <w:r>
              <w:rPr>
                <w:rFonts w:ascii="Arial" w:cs="Arial" w:eastAsia="Arial" w:hAnsi="Arial"/>
                <w:sz w:val="15"/>
                <w:szCs w:val="15"/>
                <w:b w:val="1"/>
                <w:bCs w:val="1"/>
                <w:color w:val="FFFFFF"/>
              </w:rPr>
              <w:t>​</w:t>
            </w:r>
          </w:p>
        </w:tc>
        <w:tc>
          <w:tcPr>
            <w:tcW w:w="2020" w:type="dxa"/>
            <w:vAlign w:val="bottom"/>
            <w:tcBorders>
              <w:bottom w:val="single" w:sz="8" w:color="F2F2F2"/>
            </w:tcBorders>
            <w:gridSpan w:val="3"/>
            <w:shd w:val="clear" w:color="auto" w:fill="BF5B5A"/>
          </w:tcPr>
          <w:p>
            <w:pPr>
              <w:spacing w:after="0"/>
              <w:rPr>
                <w:sz w:val="20"/>
                <w:szCs w:val="20"/>
                <w:color w:val="auto"/>
              </w:rPr>
            </w:pPr>
            <w:r>
              <w:rPr>
                <w:rFonts w:ascii="Arial" w:cs="Arial" w:eastAsia="Arial" w:hAnsi="Arial"/>
                <w:sz w:val="15"/>
                <w:szCs w:val="15"/>
                <w:b w:val="1"/>
                <w:bCs w:val="1"/>
                <w:color w:val="FFFFFF"/>
              </w:rPr>
              <w:t>Nominating Committee</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5"/>
                <w:szCs w:val="15"/>
                <w:b w:val="1"/>
                <w:bCs w:val="1"/>
                <w:color w:val="FFFFFF"/>
              </w:rPr>
              <w:t>​</w:t>
            </w:r>
          </w:p>
        </w:tc>
        <w:tc>
          <w:tcPr>
            <w:tcW w:w="2140" w:type="dxa"/>
            <w:vAlign w:val="bottom"/>
            <w:tcBorders>
              <w:bottom w:val="single" w:sz="8" w:color="F2F2F2"/>
            </w:tcBorders>
            <w:gridSpan w:val="2"/>
            <w:shd w:val="clear" w:color="auto" w:fill="BF5B5A"/>
          </w:tcPr>
          <w:p>
            <w:pPr>
              <w:spacing w:after="0" w:line="222"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Risk Committee</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5"/>
                <w:szCs w:val="15"/>
                <w:b w:val="1"/>
                <w:bCs w:val="1"/>
                <w:color w:val="FFFFFF"/>
              </w:rPr>
              <w:t>​</w:t>
            </w:r>
          </w:p>
        </w:tc>
        <w:tc>
          <w:tcPr>
            <w:tcW w:w="2140" w:type="dxa"/>
            <w:vAlign w:val="bottom"/>
            <w:tcBorders>
              <w:bottom w:val="single" w:sz="8" w:color="F2F2F2"/>
            </w:tcBorders>
            <w:gridSpan w:val="2"/>
            <w:shd w:val="clear" w:color="auto" w:fill="BF5B5A"/>
          </w:tcPr>
          <w:p>
            <w:pPr>
              <w:spacing w:after="0" w:line="222"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Compensation Committee</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5"/>
                <w:szCs w:val="15"/>
                <w:b w:val="1"/>
                <w:bCs w:val="1"/>
                <w:color w:val="FFFFFF"/>
              </w:rPr>
              <w:t>​</w:t>
            </w:r>
          </w:p>
        </w:tc>
        <w:tc>
          <w:tcPr>
            <w:tcW w:w="1980" w:type="dxa"/>
            <w:vAlign w:val="bottom"/>
            <w:tcBorders>
              <w:bottom w:val="single" w:sz="8" w:color="F2F2F2"/>
            </w:tcBorders>
            <w:gridSpan w:val="3"/>
            <w:shd w:val="clear" w:color="auto" w:fill="BF5B5A"/>
          </w:tcPr>
          <w:p>
            <w:pPr>
              <w:spacing w:after="0" w:line="222"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Audit Committee</w:t>
            </w:r>
          </w:p>
        </w:tc>
        <w:tc>
          <w:tcPr>
            <w:tcW w:w="160" w:type="dxa"/>
            <w:vAlign w:val="bottom"/>
            <w:tcBorders>
              <w:bottom w:val="single" w:sz="8" w:color="F2F2F2"/>
            </w:tcBorders>
            <w:shd w:val="clear" w:color="auto" w:fill="BF5B5A"/>
          </w:tcPr>
          <w:p>
            <w:pPr>
              <w:ind w:left="60"/>
              <w:spacing w:after="0"/>
              <w:rPr>
                <w:sz w:val="20"/>
                <w:szCs w:val="20"/>
                <w:color w:val="auto"/>
              </w:rPr>
            </w:pPr>
            <w:r>
              <w:rPr>
                <w:rFonts w:ascii="Arial" w:cs="Arial" w:eastAsia="Arial" w:hAnsi="Arial"/>
                <w:sz w:val="15"/>
                <w:szCs w:val="15"/>
                <w:b w:val="1"/>
                <w:bCs w:val="1"/>
                <w:color w:val="FFFF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shd w:val="clear" w:color="auto" w:fill="F2F2F2"/>
          </w:tcPr>
          <w:p>
            <w:pPr>
              <w:spacing w:after="0"/>
              <w:rPr>
                <w:sz w:val="20"/>
                <w:szCs w:val="20"/>
                <w:color w:val="auto"/>
              </w:rPr>
            </w:pPr>
            <w:r>
              <w:rPr>
                <w:rFonts w:ascii="Arial" w:cs="Arial" w:eastAsia="Arial" w:hAnsi="Arial"/>
                <w:sz w:val="15"/>
                <w:szCs w:val="15"/>
                <w:color w:val="auto"/>
              </w:rPr>
              <w:t>​</w:t>
            </w:r>
          </w:p>
        </w:tc>
        <w:tc>
          <w:tcPr>
            <w:tcW w:w="2020" w:type="dxa"/>
            <w:vAlign w:val="bottom"/>
            <w:gridSpan w:val="3"/>
            <w:shd w:val="clear" w:color="auto" w:fill="F2F2F2"/>
          </w:tcPr>
          <w:p>
            <w:pPr>
              <w:spacing w:after="0"/>
              <w:rPr>
                <w:sz w:val="20"/>
                <w:szCs w:val="20"/>
                <w:color w:val="auto"/>
              </w:rPr>
            </w:pPr>
            <w:r>
              <w:rPr>
                <w:rFonts w:ascii="Arial" w:cs="Arial" w:eastAsia="Arial" w:hAnsi="Arial"/>
                <w:sz w:val="15"/>
                <w:szCs w:val="15"/>
                <w:color w:val="auto"/>
              </w:rPr>
              <w:t>Oversees:</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F2F2F2"/>
          </w:tcPr>
          <w:p>
            <w:pPr>
              <w:spacing w:after="0"/>
              <w:rPr>
                <w:sz w:val="20"/>
                <w:szCs w:val="20"/>
                <w:color w:val="auto"/>
              </w:rPr>
            </w:pPr>
            <w:r>
              <w:rPr>
                <w:rFonts w:ascii="Arial" w:cs="Arial" w:eastAsia="Arial" w:hAnsi="Arial"/>
                <w:sz w:val="15"/>
                <w:szCs w:val="15"/>
                <w:color w:val="auto"/>
              </w:rPr>
              <w:t>​ Oversees:</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140" w:type="dxa"/>
            <w:vAlign w:val="bottom"/>
            <w:gridSpan w:val="2"/>
            <w:shd w:val="clear" w:color="auto" w:fill="F2F2F2"/>
          </w:tcPr>
          <w:p>
            <w:pPr>
              <w:spacing w:after="0"/>
              <w:rPr>
                <w:sz w:val="20"/>
                <w:szCs w:val="20"/>
                <w:color w:val="auto"/>
              </w:rPr>
            </w:pPr>
            <w:r>
              <w:rPr>
                <w:rFonts w:ascii="Arial" w:cs="Arial" w:eastAsia="Arial" w:hAnsi="Arial"/>
                <w:sz w:val="15"/>
                <w:szCs w:val="15"/>
                <w:color w:val="auto"/>
              </w:rPr>
              <w:t>​ Oversees:</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980" w:type="dxa"/>
            <w:vAlign w:val="bottom"/>
            <w:gridSpan w:val="3"/>
            <w:shd w:val="clear" w:color="auto" w:fill="F2F2F2"/>
          </w:tcPr>
          <w:p>
            <w:pPr>
              <w:spacing w:after="0"/>
              <w:rPr>
                <w:sz w:val="20"/>
                <w:szCs w:val="20"/>
                <w:color w:val="auto"/>
              </w:rPr>
            </w:pPr>
            <w:r>
              <w:rPr>
                <w:rFonts w:ascii="Arial" w:cs="Arial" w:eastAsia="Arial" w:hAnsi="Arial"/>
                <w:sz w:val="15"/>
                <w:szCs w:val="15"/>
                <w:color w:val="auto"/>
              </w:rPr>
              <w:t>​ Oversees:</w:t>
            </w:r>
          </w:p>
        </w:tc>
        <w:tc>
          <w:tcPr>
            <w:tcW w:w="160" w:type="dxa"/>
            <w:vAlign w:val="bottom"/>
            <w:shd w:val="clear" w:color="auto" w:fill="F2F2F2"/>
          </w:tcPr>
          <w:p>
            <w:pPr>
              <w:ind w:left="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0" w:type="dxa"/>
            <w:vAlign w:val="bottom"/>
            <w:shd w:val="clear" w:color="auto" w:fill="F2F2F2"/>
          </w:tcPr>
          <w:p>
            <w:pPr>
              <w:spacing w:after="0"/>
              <w:rPr>
                <w:sz w:val="24"/>
                <w:szCs w:val="24"/>
                <w:color w:val="auto"/>
              </w:rPr>
            </w:pPr>
          </w:p>
        </w:tc>
        <w:tc>
          <w:tcPr>
            <w:tcW w:w="220" w:type="dxa"/>
            <w:vAlign w:val="bottom"/>
            <w:shd w:val="clear" w:color="auto" w:fill="F2F2F2"/>
          </w:tcPr>
          <w:p>
            <w:pPr>
              <w:ind w:left="100"/>
              <w:spacing w:after="0"/>
              <w:rPr>
                <w:sz w:val="20"/>
                <w:szCs w:val="20"/>
                <w:color w:val="auto"/>
              </w:rPr>
            </w:pPr>
            <w:r>
              <w:rPr>
                <w:rFonts w:ascii="Arial" w:cs="Arial" w:eastAsia="Arial" w:hAnsi="Arial"/>
                <w:sz w:val="15"/>
                <w:szCs w:val="15"/>
                <w:color w:val="BF5B5A"/>
              </w:rPr>
              <w:t>•</w:t>
            </w:r>
          </w:p>
        </w:tc>
        <w:tc>
          <w:tcPr>
            <w:tcW w:w="1800" w:type="dxa"/>
            <w:vAlign w:val="bottom"/>
            <w:gridSpan w:val="2"/>
            <w:shd w:val="clear" w:color="auto" w:fill="F2F2F2"/>
          </w:tcPr>
          <w:p>
            <w:pPr>
              <w:ind w:left="40"/>
              <w:spacing w:after="0"/>
              <w:rPr>
                <w:sz w:val="20"/>
                <w:szCs w:val="20"/>
                <w:color w:val="auto"/>
              </w:rPr>
            </w:pPr>
            <w:r>
              <w:rPr>
                <w:rFonts w:ascii="Arial" w:cs="Arial" w:eastAsia="Arial" w:hAnsi="Arial"/>
                <w:sz w:val="15"/>
                <w:szCs w:val="15"/>
                <w:color w:val="auto"/>
              </w:rPr>
              <w:t>ESG oversight and</w:t>
            </w:r>
          </w:p>
        </w:tc>
        <w:tc>
          <w:tcPr>
            <w:tcW w:w="220" w:type="dxa"/>
            <w:vAlign w:val="bottom"/>
          </w:tcPr>
          <w:p>
            <w:pPr>
              <w:spacing w:after="0"/>
              <w:rPr>
                <w:sz w:val="24"/>
                <w:szCs w:val="24"/>
                <w:color w:val="auto"/>
              </w:rPr>
            </w:pPr>
          </w:p>
        </w:tc>
        <w:tc>
          <w:tcPr>
            <w:tcW w:w="260" w:type="dxa"/>
            <w:vAlign w:val="bottom"/>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shd w:val="clear" w:color="auto" w:fill="F2F2F2"/>
          </w:tcPr>
          <w:p>
            <w:pPr>
              <w:ind w:left="40"/>
              <w:spacing w:after="0"/>
              <w:rPr>
                <w:sz w:val="20"/>
                <w:szCs w:val="20"/>
                <w:color w:val="auto"/>
              </w:rPr>
            </w:pPr>
            <w:r>
              <w:rPr>
                <w:rFonts w:ascii="Arial" w:cs="Arial" w:eastAsia="Arial" w:hAnsi="Arial"/>
                <w:sz w:val="15"/>
                <w:szCs w:val="15"/>
                <w:color w:val="auto"/>
              </w:rPr>
              <w:t>Enterprise risk</w:t>
            </w:r>
          </w:p>
        </w:tc>
        <w:tc>
          <w:tcPr>
            <w:tcW w:w="220" w:type="dxa"/>
            <w:vAlign w:val="bottom"/>
          </w:tcPr>
          <w:p>
            <w:pPr>
              <w:spacing w:after="0"/>
              <w:rPr>
                <w:sz w:val="24"/>
                <w:szCs w:val="24"/>
                <w:color w:val="auto"/>
              </w:rPr>
            </w:pPr>
          </w:p>
        </w:tc>
        <w:tc>
          <w:tcPr>
            <w:tcW w:w="260" w:type="dxa"/>
            <w:vAlign w:val="bottom"/>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shd w:val="clear" w:color="auto" w:fill="F2F2F2"/>
          </w:tcPr>
          <w:p>
            <w:pPr>
              <w:ind w:left="60"/>
              <w:spacing w:after="0"/>
              <w:rPr>
                <w:sz w:val="20"/>
                <w:szCs w:val="20"/>
                <w:color w:val="auto"/>
              </w:rPr>
            </w:pPr>
            <w:r>
              <w:rPr>
                <w:rFonts w:ascii="Arial" w:cs="Arial" w:eastAsia="Arial" w:hAnsi="Arial"/>
                <w:sz w:val="15"/>
                <w:szCs w:val="15"/>
                <w:color w:val="auto"/>
              </w:rPr>
              <w:t>Employee compensation</w:t>
            </w:r>
          </w:p>
        </w:tc>
        <w:tc>
          <w:tcPr>
            <w:tcW w:w="220" w:type="dxa"/>
            <w:vAlign w:val="bottom"/>
          </w:tcPr>
          <w:p>
            <w:pPr>
              <w:spacing w:after="0"/>
              <w:rPr>
                <w:sz w:val="24"/>
                <w:szCs w:val="24"/>
                <w:color w:val="auto"/>
              </w:rPr>
            </w:pPr>
          </w:p>
        </w:tc>
        <w:tc>
          <w:tcPr>
            <w:tcW w:w="260" w:type="dxa"/>
            <w:vAlign w:val="bottom"/>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Functioning of</w:t>
            </w:r>
          </w:p>
        </w:tc>
        <w:tc>
          <w:tcPr>
            <w:tcW w:w="1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800" w:type="dxa"/>
            <w:vAlign w:val="bottom"/>
            <w:gridSpan w:val="2"/>
            <w:shd w:val="clear" w:color="auto" w:fill="F2F2F2"/>
          </w:tcPr>
          <w:p>
            <w:pPr>
              <w:ind w:left="40"/>
              <w:spacing w:after="0"/>
              <w:rPr>
                <w:sz w:val="20"/>
                <w:szCs w:val="20"/>
                <w:color w:val="auto"/>
              </w:rPr>
            </w:pPr>
            <w:r>
              <w:rPr>
                <w:rFonts w:ascii="Arial" w:cs="Arial" w:eastAsia="Arial" w:hAnsi="Arial"/>
                <w:sz w:val="15"/>
                <w:szCs w:val="15"/>
                <w:color w:val="auto"/>
              </w:rPr>
              <w:t>practices</w:t>
            </w: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880" w:type="dxa"/>
            <w:vAlign w:val="bottom"/>
            <w:shd w:val="clear" w:color="auto" w:fill="F2F2F2"/>
          </w:tcPr>
          <w:p>
            <w:pPr>
              <w:ind w:left="40"/>
              <w:spacing w:after="0"/>
              <w:rPr>
                <w:sz w:val="20"/>
                <w:szCs w:val="20"/>
                <w:color w:val="auto"/>
              </w:rPr>
            </w:pPr>
            <w:r>
              <w:rPr>
                <w:rFonts w:ascii="Arial" w:cs="Arial" w:eastAsia="Arial" w:hAnsi="Arial"/>
                <w:sz w:val="15"/>
                <w:szCs w:val="15"/>
                <w:color w:val="auto"/>
              </w:rPr>
              <w:t>management program</w:t>
            </w: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880" w:type="dxa"/>
            <w:vAlign w:val="bottom"/>
            <w:shd w:val="clear" w:color="auto" w:fill="F2F2F2"/>
          </w:tcPr>
          <w:p>
            <w:pPr>
              <w:ind w:left="60"/>
              <w:spacing w:after="0"/>
              <w:rPr>
                <w:sz w:val="20"/>
                <w:szCs w:val="20"/>
                <w:color w:val="auto"/>
              </w:rPr>
            </w:pPr>
            <w:r>
              <w:rPr>
                <w:rFonts w:ascii="Arial" w:cs="Arial" w:eastAsia="Arial" w:hAnsi="Arial"/>
                <w:sz w:val="15"/>
                <w:szCs w:val="15"/>
                <w:color w:val="auto"/>
              </w:rPr>
              <w:t>and benefits</w:t>
            </w: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Company’s internal</w:t>
            </w:r>
          </w:p>
        </w:tc>
        <w:tc>
          <w:tcPr>
            <w:tcW w:w="1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220" w:type="dxa"/>
            <w:vAlign w:val="bottom"/>
            <w:vMerge w:val="restart"/>
            <w:shd w:val="clear" w:color="auto" w:fill="F2F2F2"/>
          </w:tcPr>
          <w:p>
            <w:pPr>
              <w:ind w:left="100"/>
              <w:spacing w:after="0"/>
              <w:rPr>
                <w:sz w:val="20"/>
                <w:szCs w:val="20"/>
                <w:color w:val="auto"/>
              </w:rPr>
            </w:pPr>
            <w:r>
              <w:rPr>
                <w:rFonts w:ascii="Arial" w:cs="Arial" w:eastAsia="Arial" w:hAnsi="Arial"/>
                <w:sz w:val="15"/>
                <w:szCs w:val="15"/>
                <w:color w:val="BF5B5A"/>
              </w:rPr>
              <w:t>•</w:t>
            </w:r>
          </w:p>
        </w:tc>
        <w:tc>
          <w:tcPr>
            <w:tcW w:w="1800" w:type="dxa"/>
            <w:vAlign w:val="bottom"/>
            <w:gridSpan w:val="2"/>
            <w:vMerge w:val="restart"/>
            <w:shd w:val="clear" w:color="auto" w:fill="F2F2F2"/>
          </w:tcPr>
          <w:p>
            <w:pPr>
              <w:ind w:left="40"/>
              <w:spacing w:after="0"/>
              <w:rPr>
                <w:sz w:val="20"/>
                <w:szCs w:val="20"/>
                <w:color w:val="auto"/>
              </w:rPr>
            </w:pPr>
            <w:r>
              <w:rPr>
                <w:rFonts w:ascii="Arial" w:cs="Arial" w:eastAsia="Arial" w:hAnsi="Arial"/>
                <w:sz w:val="15"/>
                <w:szCs w:val="15"/>
                <w:color w:val="auto"/>
              </w:rPr>
              <w:t>Voluntary ESG</w:t>
            </w:r>
          </w:p>
        </w:tc>
        <w:tc>
          <w:tcPr>
            <w:tcW w:w="220" w:type="dxa"/>
            <w:vAlign w:val="bottom"/>
          </w:tcPr>
          <w:p>
            <w:pPr>
              <w:spacing w:after="0"/>
              <w:rPr>
                <w:sz w:val="18"/>
                <w:szCs w:val="18"/>
                <w:color w:val="auto"/>
              </w:rPr>
            </w:pPr>
          </w:p>
        </w:tc>
        <w:tc>
          <w:tcPr>
            <w:tcW w:w="260" w:type="dxa"/>
            <w:vAlign w:val="bottom"/>
            <w:vMerge w:val="restart"/>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vMerge w:val="restart"/>
            <w:shd w:val="clear" w:color="auto" w:fill="F2F2F2"/>
          </w:tcPr>
          <w:p>
            <w:pPr>
              <w:ind w:left="40"/>
              <w:spacing w:after="0"/>
              <w:rPr>
                <w:sz w:val="20"/>
                <w:szCs w:val="20"/>
                <w:color w:val="auto"/>
              </w:rPr>
            </w:pPr>
            <w:r>
              <w:rPr>
                <w:rFonts w:ascii="Arial" w:cs="Arial" w:eastAsia="Arial" w:hAnsi="Arial"/>
                <w:sz w:val="15"/>
                <w:szCs w:val="15"/>
                <w:color w:val="auto"/>
              </w:rPr>
              <w:t>Organizational alignment</w:t>
            </w:r>
          </w:p>
        </w:tc>
        <w:tc>
          <w:tcPr>
            <w:tcW w:w="220" w:type="dxa"/>
            <w:vAlign w:val="bottom"/>
          </w:tcPr>
          <w:p>
            <w:pPr>
              <w:spacing w:after="0"/>
              <w:rPr>
                <w:sz w:val="18"/>
                <w:szCs w:val="18"/>
                <w:color w:val="auto"/>
              </w:rPr>
            </w:pPr>
          </w:p>
        </w:tc>
        <w:tc>
          <w:tcPr>
            <w:tcW w:w="260" w:type="dxa"/>
            <w:vAlign w:val="bottom"/>
            <w:vMerge w:val="restart"/>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Human resources</w:t>
            </w:r>
          </w:p>
        </w:tc>
        <w:tc>
          <w:tcPr>
            <w:tcW w:w="220" w:type="dxa"/>
            <w:vAlign w:val="bottom"/>
          </w:tcPr>
          <w:p>
            <w:pPr>
              <w:spacing w:after="0"/>
              <w:rPr>
                <w:sz w:val="18"/>
                <w:szCs w:val="18"/>
                <w:color w:val="auto"/>
              </w:rPr>
            </w:pPr>
          </w:p>
        </w:tc>
        <w:tc>
          <w:tcPr>
            <w:tcW w:w="260" w:type="dxa"/>
            <w:vAlign w:val="bottom"/>
            <w:shd w:val="clear" w:color="auto" w:fill="F2F2F2"/>
          </w:tcPr>
          <w:p>
            <w:pPr>
              <w:spacing w:after="0"/>
              <w:rPr>
                <w:sz w:val="18"/>
                <w:szCs w:val="18"/>
                <w:color w:val="auto"/>
              </w:rPr>
            </w:pP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controls and disclosure</w:t>
            </w:r>
          </w:p>
        </w:tc>
        <w:tc>
          <w:tcPr>
            <w:tcW w:w="16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2F2F2"/>
          </w:tcPr>
          <w:p>
            <w:pPr>
              <w:spacing w:after="0"/>
              <w:rPr>
                <w:sz w:val="8"/>
                <w:szCs w:val="8"/>
                <w:color w:val="auto"/>
              </w:rPr>
            </w:pPr>
          </w:p>
        </w:tc>
        <w:tc>
          <w:tcPr>
            <w:tcW w:w="220" w:type="dxa"/>
            <w:vAlign w:val="bottom"/>
            <w:vMerge w:val="continue"/>
            <w:shd w:val="clear" w:color="auto" w:fill="F2F2F2"/>
          </w:tcPr>
          <w:p>
            <w:pPr>
              <w:spacing w:after="0"/>
              <w:rPr>
                <w:sz w:val="8"/>
                <w:szCs w:val="8"/>
                <w:color w:val="auto"/>
              </w:rPr>
            </w:pPr>
          </w:p>
        </w:tc>
        <w:tc>
          <w:tcPr>
            <w:tcW w:w="1800" w:type="dxa"/>
            <w:vAlign w:val="bottom"/>
            <w:gridSpan w:val="2"/>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vMerge w:val="continue"/>
            <w:shd w:val="clear" w:color="auto" w:fill="F2F2F2"/>
          </w:tcPr>
          <w:p>
            <w:pPr>
              <w:spacing w:after="0"/>
              <w:rPr>
                <w:sz w:val="8"/>
                <w:szCs w:val="8"/>
                <w:color w:val="auto"/>
              </w:rPr>
            </w:pPr>
          </w:p>
        </w:tc>
        <w:tc>
          <w:tcPr>
            <w:tcW w:w="1880" w:type="dxa"/>
            <w:vAlign w:val="bottom"/>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vMerge w:val="continue"/>
            <w:shd w:val="clear" w:color="auto" w:fill="F2F2F2"/>
          </w:tcPr>
          <w:p>
            <w:pPr>
              <w:spacing w:after="0"/>
              <w:rPr>
                <w:sz w:val="8"/>
                <w:szCs w:val="8"/>
                <w:color w:val="auto"/>
              </w:rPr>
            </w:pPr>
          </w:p>
        </w:tc>
        <w:tc>
          <w:tcPr>
            <w:tcW w:w="1880" w:type="dxa"/>
            <w:vAlign w:val="bottom"/>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440" w:type="dxa"/>
            <w:vAlign w:val="bottom"/>
            <w:shd w:val="clear" w:color="auto" w:fill="F2F2F2"/>
          </w:tcPr>
          <w:p>
            <w:pPr>
              <w:spacing w:after="0"/>
              <w:rPr>
                <w:sz w:val="8"/>
                <w:szCs w:val="8"/>
                <w:color w:val="auto"/>
              </w:rPr>
            </w:pPr>
          </w:p>
        </w:tc>
        <w:tc>
          <w:tcPr>
            <w:tcW w:w="28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800" w:type="dxa"/>
            <w:vAlign w:val="bottom"/>
            <w:gridSpan w:val="2"/>
            <w:shd w:val="clear" w:color="auto" w:fill="F2F2F2"/>
          </w:tcPr>
          <w:p>
            <w:pPr>
              <w:ind w:left="40"/>
              <w:spacing w:after="0"/>
              <w:rPr>
                <w:sz w:val="20"/>
                <w:szCs w:val="20"/>
                <w:color w:val="auto"/>
              </w:rPr>
            </w:pPr>
            <w:r>
              <w:rPr>
                <w:rFonts w:ascii="Arial" w:cs="Arial" w:eastAsia="Arial" w:hAnsi="Arial"/>
                <w:sz w:val="15"/>
                <w:szCs w:val="15"/>
                <w:color w:val="auto"/>
              </w:rPr>
              <w:t>disclosures</w:t>
            </w: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880" w:type="dxa"/>
            <w:vAlign w:val="bottom"/>
            <w:shd w:val="clear" w:color="auto" w:fill="F2F2F2"/>
          </w:tcPr>
          <w:p>
            <w:pPr>
              <w:ind w:left="40"/>
              <w:spacing w:after="0"/>
              <w:rPr>
                <w:sz w:val="20"/>
                <w:szCs w:val="20"/>
                <w:color w:val="auto"/>
              </w:rPr>
            </w:pPr>
            <w:r>
              <w:rPr>
                <w:rFonts w:ascii="Arial" w:cs="Arial" w:eastAsia="Arial" w:hAnsi="Arial"/>
                <w:sz w:val="15"/>
                <w:szCs w:val="15"/>
                <w:color w:val="auto"/>
              </w:rPr>
              <w:t>within risk appetite</w:t>
            </w: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880" w:type="dxa"/>
            <w:vAlign w:val="bottom"/>
            <w:shd w:val="clear" w:color="auto" w:fill="F2F2F2"/>
          </w:tcPr>
          <w:p>
            <w:pPr>
              <w:ind w:left="60"/>
              <w:spacing w:after="0"/>
              <w:rPr>
                <w:sz w:val="20"/>
                <w:szCs w:val="20"/>
                <w:color w:val="auto"/>
              </w:rPr>
            </w:pPr>
            <w:r>
              <w:rPr>
                <w:rFonts w:ascii="Arial" w:cs="Arial" w:eastAsia="Arial" w:hAnsi="Arial"/>
                <w:sz w:val="15"/>
                <w:szCs w:val="15"/>
                <w:color w:val="auto"/>
              </w:rPr>
              <w:t>practices and strategies</w:t>
            </w:r>
          </w:p>
        </w:tc>
        <w:tc>
          <w:tcPr>
            <w:tcW w:w="220" w:type="dxa"/>
            <w:vAlign w:val="bottom"/>
          </w:tcPr>
          <w:p>
            <w:pPr>
              <w:spacing w:after="0"/>
              <w:rPr>
                <w:sz w:val="17"/>
                <w:szCs w:val="17"/>
                <w:color w:val="auto"/>
              </w:rPr>
            </w:pPr>
          </w:p>
        </w:tc>
        <w:tc>
          <w:tcPr>
            <w:tcW w:w="260" w:type="dxa"/>
            <w:vAlign w:val="bottom"/>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Disclosure of material</w:t>
            </w:r>
          </w:p>
        </w:tc>
        <w:tc>
          <w:tcPr>
            <w:tcW w:w="1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220" w:type="dxa"/>
            <w:vAlign w:val="bottom"/>
            <w:vMerge w:val="restart"/>
            <w:shd w:val="clear" w:color="auto" w:fill="F2F2F2"/>
          </w:tcPr>
          <w:p>
            <w:pPr>
              <w:ind w:left="100"/>
              <w:spacing w:after="0"/>
              <w:rPr>
                <w:sz w:val="20"/>
                <w:szCs w:val="20"/>
                <w:color w:val="auto"/>
              </w:rPr>
            </w:pPr>
            <w:r>
              <w:rPr>
                <w:rFonts w:ascii="Arial" w:cs="Arial" w:eastAsia="Arial" w:hAnsi="Arial"/>
                <w:sz w:val="15"/>
                <w:szCs w:val="15"/>
                <w:color w:val="BF5B5A"/>
              </w:rPr>
              <w:t>•</w:t>
            </w:r>
          </w:p>
        </w:tc>
        <w:tc>
          <w:tcPr>
            <w:tcW w:w="1800" w:type="dxa"/>
            <w:vAlign w:val="bottom"/>
            <w:gridSpan w:val="2"/>
            <w:vMerge w:val="restart"/>
            <w:shd w:val="clear" w:color="auto" w:fill="F2F2F2"/>
          </w:tcPr>
          <w:p>
            <w:pPr>
              <w:ind w:left="40"/>
              <w:spacing w:after="0"/>
              <w:rPr>
                <w:sz w:val="20"/>
                <w:szCs w:val="20"/>
                <w:color w:val="auto"/>
              </w:rPr>
            </w:pPr>
            <w:r>
              <w:rPr>
                <w:rFonts w:ascii="Arial" w:cs="Arial" w:eastAsia="Arial" w:hAnsi="Arial"/>
                <w:sz w:val="15"/>
                <w:szCs w:val="15"/>
                <w:color w:val="auto"/>
              </w:rPr>
              <w:t>Stakeholder</w:t>
            </w:r>
          </w:p>
        </w:tc>
        <w:tc>
          <w:tcPr>
            <w:tcW w:w="220" w:type="dxa"/>
            <w:vAlign w:val="bottom"/>
          </w:tcPr>
          <w:p>
            <w:pPr>
              <w:spacing w:after="0"/>
              <w:rPr>
                <w:sz w:val="18"/>
                <w:szCs w:val="18"/>
                <w:color w:val="auto"/>
              </w:rPr>
            </w:pPr>
          </w:p>
        </w:tc>
        <w:tc>
          <w:tcPr>
            <w:tcW w:w="260" w:type="dxa"/>
            <w:vAlign w:val="bottom"/>
            <w:shd w:val="clear" w:color="auto" w:fill="F2F2F2"/>
          </w:tcPr>
          <w:p>
            <w:pPr>
              <w:spacing w:after="0"/>
              <w:rPr>
                <w:sz w:val="18"/>
                <w:szCs w:val="18"/>
                <w:color w:val="auto"/>
              </w:rPr>
            </w:pPr>
          </w:p>
        </w:tc>
        <w:tc>
          <w:tcPr>
            <w:tcW w:w="1880" w:type="dxa"/>
            <w:vAlign w:val="bottom"/>
            <w:shd w:val="clear" w:color="auto" w:fill="F2F2F2"/>
          </w:tcPr>
          <w:p>
            <w:pPr>
              <w:ind w:left="40"/>
              <w:spacing w:after="0"/>
              <w:rPr>
                <w:sz w:val="20"/>
                <w:szCs w:val="20"/>
                <w:color w:val="auto"/>
              </w:rPr>
            </w:pPr>
            <w:r>
              <w:rPr>
                <w:rFonts w:ascii="Arial" w:cs="Arial" w:eastAsia="Arial" w:hAnsi="Arial"/>
                <w:sz w:val="15"/>
                <w:szCs w:val="15"/>
                <w:color w:val="auto"/>
              </w:rPr>
              <w:t>framework, including</w:t>
            </w:r>
          </w:p>
        </w:tc>
        <w:tc>
          <w:tcPr>
            <w:tcW w:w="220" w:type="dxa"/>
            <w:vAlign w:val="bottom"/>
          </w:tcPr>
          <w:p>
            <w:pPr>
              <w:spacing w:after="0"/>
              <w:rPr>
                <w:sz w:val="18"/>
                <w:szCs w:val="18"/>
                <w:color w:val="auto"/>
              </w:rPr>
            </w:pPr>
          </w:p>
        </w:tc>
        <w:tc>
          <w:tcPr>
            <w:tcW w:w="260" w:type="dxa"/>
            <w:vAlign w:val="bottom"/>
            <w:vMerge w:val="restart"/>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Talent management and</w:t>
            </w:r>
          </w:p>
        </w:tc>
        <w:tc>
          <w:tcPr>
            <w:tcW w:w="220" w:type="dxa"/>
            <w:vAlign w:val="bottom"/>
          </w:tcPr>
          <w:p>
            <w:pPr>
              <w:spacing w:after="0"/>
              <w:rPr>
                <w:sz w:val="18"/>
                <w:szCs w:val="18"/>
                <w:color w:val="auto"/>
              </w:rPr>
            </w:pPr>
          </w:p>
        </w:tc>
        <w:tc>
          <w:tcPr>
            <w:tcW w:w="260" w:type="dxa"/>
            <w:vAlign w:val="bottom"/>
            <w:shd w:val="clear" w:color="auto" w:fill="F2F2F2"/>
          </w:tcPr>
          <w:p>
            <w:pPr>
              <w:spacing w:after="0"/>
              <w:rPr>
                <w:sz w:val="18"/>
                <w:szCs w:val="18"/>
                <w:color w:val="auto"/>
              </w:rPr>
            </w:pP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ESG matters</w:t>
            </w:r>
          </w:p>
        </w:tc>
        <w:tc>
          <w:tcPr>
            <w:tcW w:w="16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2F2F2"/>
          </w:tcPr>
          <w:p>
            <w:pPr>
              <w:spacing w:after="0"/>
              <w:rPr>
                <w:sz w:val="8"/>
                <w:szCs w:val="8"/>
                <w:color w:val="auto"/>
              </w:rPr>
            </w:pPr>
          </w:p>
        </w:tc>
        <w:tc>
          <w:tcPr>
            <w:tcW w:w="220" w:type="dxa"/>
            <w:vAlign w:val="bottom"/>
            <w:vMerge w:val="continue"/>
            <w:shd w:val="clear" w:color="auto" w:fill="F2F2F2"/>
          </w:tcPr>
          <w:p>
            <w:pPr>
              <w:spacing w:after="0"/>
              <w:rPr>
                <w:sz w:val="8"/>
                <w:szCs w:val="8"/>
                <w:color w:val="auto"/>
              </w:rPr>
            </w:pPr>
          </w:p>
        </w:tc>
        <w:tc>
          <w:tcPr>
            <w:tcW w:w="1800" w:type="dxa"/>
            <w:vAlign w:val="bottom"/>
            <w:gridSpan w:val="2"/>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880" w:type="dxa"/>
            <w:vAlign w:val="bottom"/>
            <w:vMerge w:val="restart"/>
            <w:shd w:val="clear" w:color="auto" w:fill="F2F2F2"/>
          </w:tcPr>
          <w:p>
            <w:pPr>
              <w:ind w:left="40"/>
              <w:spacing w:after="0"/>
              <w:rPr>
                <w:sz w:val="20"/>
                <w:szCs w:val="20"/>
                <w:color w:val="auto"/>
              </w:rPr>
            </w:pPr>
            <w:r>
              <w:rPr>
                <w:rFonts w:ascii="Arial" w:cs="Arial" w:eastAsia="Arial" w:hAnsi="Arial"/>
                <w:sz w:val="15"/>
                <w:szCs w:val="15"/>
                <w:color w:val="auto"/>
              </w:rPr>
              <w:t>ESG risks</w:t>
            </w:r>
          </w:p>
        </w:tc>
        <w:tc>
          <w:tcPr>
            <w:tcW w:w="220" w:type="dxa"/>
            <w:vAlign w:val="bottom"/>
          </w:tcPr>
          <w:p>
            <w:pPr>
              <w:spacing w:after="0"/>
              <w:rPr>
                <w:sz w:val="8"/>
                <w:szCs w:val="8"/>
                <w:color w:val="auto"/>
              </w:rPr>
            </w:pPr>
          </w:p>
        </w:tc>
        <w:tc>
          <w:tcPr>
            <w:tcW w:w="260" w:type="dxa"/>
            <w:vAlign w:val="bottom"/>
            <w:vMerge w:val="continue"/>
            <w:shd w:val="clear" w:color="auto" w:fill="F2F2F2"/>
          </w:tcPr>
          <w:p>
            <w:pPr>
              <w:spacing w:after="0"/>
              <w:rPr>
                <w:sz w:val="8"/>
                <w:szCs w:val="8"/>
                <w:color w:val="auto"/>
              </w:rPr>
            </w:pPr>
          </w:p>
        </w:tc>
        <w:tc>
          <w:tcPr>
            <w:tcW w:w="1880" w:type="dxa"/>
            <w:vAlign w:val="bottom"/>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440" w:type="dxa"/>
            <w:vAlign w:val="bottom"/>
            <w:shd w:val="clear" w:color="auto" w:fill="F2F2F2"/>
          </w:tcPr>
          <w:p>
            <w:pPr>
              <w:spacing w:after="0"/>
              <w:rPr>
                <w:sz w:val="8"/>
                <w:szCs w:val="8"/>
                <w:color w:val="auto"/>
              </w:rPr>
            </w:pPr>
          </w:p>
        </w:tc>
        <w:tc>
          <w:tcPr>
            <w:tcW w:w="28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1800" w:type="dxa"/>
            <w:vAlign w:val="bottom"/>
            <w:gridSpan w:val="2"/>
            <w:vMerge w:val="restart"/>
            <w:shd w:val="clear" w:color="auto" w:fill="F2F2F2"/>
          </w:tcPr>
          <w:p>
            <w:pPr>
              <w:ind w:left="40"/>
              <w:spacing w:after="0"/>
              <w:rPr>
                <w:sz w:val="20"/>
                <w:szCs w:val="20"/>
                <w:color w:val="auto"/>
              </w:rPr>
            </w:pPr>
            <w:r>
              <w:rPr>
                <w:rFonts w:ascii="Arial" w:cs="Arial" w:eastAsia="Arial" w:hAnsi="Arial"/>
                <w:sz w:val="15"/>
                <w:szCs w:val="15"/>
                <w:color w:val="auto"/>
              </w:rPr>
              <w:t>engagement on ESG</w:t>
            </w:r>
          </w:p>
        </w:tc>
        <w:tc>
          <w:tcPr>
            <w:tcW w:w="220" w:type="dxa"/>
            <w:vAlign w:val="bottom"/>
          </w:tcPr>
          <w:p>
            <w:pPr>
              <w:spacing w:after="0"/>
              <w:rPr>
                <w:sz w:val="9"/>
                <w:szCs w:val="9"/>
                <w:color w:val="auto"/>
              </w:rPr>
            </w:pPr>
          </w:p>
        </w:tc>
        <w:tc>
          <w:tcPr>
            <w:tcW w:w="260" w:type="dxa"/>
            <w:vAlign w:val="bottom"/>
            <w:shd w:val="clear" w:color="auto" w:fill="F2F2F2"/>
          </w:tcPr>
          <w:p>
            <w:pPr>
              <w:spacing w:after="0"/>
              <w:rPr>
                <w:sz w:val="9"/>
                <w:szCs w:val="9"/>
                <w:color w:val="auto"/>
              </w:rPr>
            </w:pPr>
          </w:p>
        </w:tc>
        <w:tc>
          <w:tcPr>
            <w:tcW w:w="1880" w:type="dxa"/>
            <w:vAlign w:val="bottom"/>
            <w:vMerge w:val="continue"/>
            <w:shd w:val="clear" w:color="auto" w:fill="F2F2F2"/>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shd w:val="clear" w:color="auto" w:fill="F2F2F2"/>
          </w:tcPr>
          <w:p>
            <w:pPr>
              <w:spacing w:after="0"/>
              <w:rPr>
                <w:sz w:val="9"/>
                <w:szCs w:val="9"/>
                <w:color w:val="auto"/>
              </w:rPr>
            </w:pPr>
          </w:p>
        </w:tc>
        <w:tc>
          <w:tcPr>
            <w:tcW w:w="1880" w:type="dxa"/>
            <w:vAlign w:val="bottom"/>
            <w:vMerge w:val="restart"/>
            <w:shd w:val="clear" w:color="auto" w:fill="F2F2F2"/>
          </w:tcPr>
          <w:p>
            <w:pPr>
              <w:ind w:left="60"/>
              <w:spacing w:after="0"/>
              <w:rPr>
                <w:sz w:val="20"/>
                <w:szCs w:val="20"/>
                <w:color w:val="auto"/>
              </w:rPr>
            </w:pPr>
            <w:r>
              <w:rPr>
                <w:rFonts w:ascii="Arial" w:cs="Arial" w:eastAsia="Arial" w:hAnsi="Arial"/>
                <w:sz w:val="15"/>
                <w:szCs w:val="15"/>
                <w:color w:val="auto"/>
              </w:rPr>
              <w:t>succession planning</w:t>
            </w:r>
          </w:p>
        </w:tc>
        <w:tc>
          <w:tcPr>
            <w:tcW w:w="220" w:type="dxa"/>
            <w:vAlign w:val="bottom"/>
          </w:tcPr>
          <w:p>
            <w:pPr>
              <w:spacing w:after="0"/>
              <w:rPr>
                <w:sz w:val="9"/>
                <w:szCs w:val="9"/>
                <w:color w:val="auto"/>
              </w:rPr>
            </w:pPr>
          </w:p>
        </w:tc>
        <w:tc>
          <w:tcPr>
            <w:tcW w:w="260" w:type="dxa"/>
            <w:vAlign w:val="bottom"/>
            <w:vMerge w:val="restart"/>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720" w:type="dxa"/>
            <w:vAlign w:val="bottom"/>
            <w:gridSpan w:val="2"/>
            <w:vMerge w:val="restart"/>
            <w:shd w:val="clear" w:color="auto" w:fill="F2F2F2"/>
          </w:tcPr>
          <w:p>
            <w:pPr>
              <w:ind w:left="60"/>
              <w:spacing w:after="0"/>
              <w:rPr>
                <w:sz w:val="20"/>
                <w:szCs w:val="20"/>
                <w:color w:val="auto"/>
              </w:rPr>
            </w:pPr>
            <w:r>
              <w:rPr>
                <w:rFonts w:ascii="Arial" w:cs="Arial" w:eastAsia="Arial" w:hAnsi="Arial"/>
                <w:sz w:val="15"/>
                <w:szCs w:val="15"/>
                <w:color w:val="auto"/>
              </w:rPr>
              <w:t>Code of Conduct and</w:t>
            </w:r>
          </w:p>
        </w:tc>
        <w:tc>
          <w:tcPr>
            <w:tcW w:w="160" w:type="dxa"/>
            <w:vAlign w:val="bottom"/>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2F2F2"/>
          </w:tcPr>
          <w:p>
            <w:pPr>
              <w:spacing w:after="0"/>
              <w:rPr>
                <w:sz w:val="8"/>
                <w:szCs w:val="8"/>
                <w:color w:val="auto"/>
              </w:rPr>
            </w:pPr>
          </w:p>
        </w:tc>
        <w:tc>
          <w:tcPr>
            <w:tcW w:w="220" w:type="dxa"/>
            <w:vAlign w:val="bottom"/>
            <w:shd w:val="clear" w:color="auto" w:fill="F2F2F2"/>
          </w:tcPr>
          <w:p>
            <w:pPr>
              <w:spacing w:after="0"/>
              <w:rPr>
                <w:sz w:val="8"/>
                <w:szCs w:val="8"/>
                <w:color w:val="auto"/>
              </w:rPr>
            </w:pPr>
          </w:p>
        </w:tc>
        <w:tc>
          <w:tcPr>
            <w:tcW w:w="1800" w:type="dxa"/>
            <w:vAlign w:val="bottom"/>
            <w:gridSpan w:val="2"/>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vMerge w:val="restart"/>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880" w:type="dxa"/>
            <w:vAlign w:val="bottom"/>
            <w:vMerge w:val="restart"/>
            <w:shd w:val="clear" w:color="auto" w:fill="F2F2F2"/>
          </w:tcPr>
          <w:p>
            <w:pPr>
              <w:ind w:left="40"/>
              <w:spacing w:after="0"/>
              <w:rPr>
                <w:sz w:val="20"/>
                <w:szCs w:val="20"/>
                <w:color w:val="auto"/>
              </w:rPr>
            </w:pPr>
            <w:r>
              <w:rPr>
                <w:rFonts w:ascii="Arial" w:cs="Arial" w:eastAsia="Arial" w:hAnsi="Arial"/>
                <w:sz w:val="15"/>
                <w:szCs w:val="15"/>
                <w:color w:val="auto"/>
              </w:rPr>
              <w:t>Information security</w:t>
            </w:r>
          </w:p>
        </w:tc>
        <w:tc>
          <w:tcPr>
            <w:tcW w:w="220" w:type="dxa"/>
            <w:vAlign w:val="bottom"/>
          </w:tcPr>
          <w:p>
            <w:pPr>
              <w:spacing w:after="0"/>
              <w:rPr>
                <w:sz w:val="8"/>
                <w:szCs w:val="8"/>
                <w:color w:val="auto"/>
              </w:rPr>
            </w:pPr>
          </w:p>
        </w:tc>
        <w:tc>
          <w:tcPr>
            <w:tcW w:w="260" w:type="dxa"/>
            <w:vAlign w:val="bottom"/>
            <w:shd w:val="clear" w:color="auto" w:fill="F2F2F2"/>
          </w:tcPr>
          <w:p>
            <w:pPr>
              <w:spacing w:after="0"/>
              <w:rPr>
                <w:sz w:val="8"/>
                <w:szCs w:val="8"/>
                <w:color w:val="auto"/>
              </w:rPr>
            </w:pPr>
          </w:p>
        </w:tc>
        <w:tc>
          <w:tcPr>
            <w:tcW w:w="1880" w:type="dxa"/>
            <w:vAlign w:val="bottom"/>
            <w:vMerge w:val="continue"/>
            <w:shd w:val="clear" w:color="auto" w:fill="F2F2F2"/>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vMerge w:val="continue"/>
            <w:shd w:val="clear" w:color="auto" w:fill="F2F2F2"/>
          </w:tcPr>
          <w:p>
            <w:pPr>
              <w:spacing w:after="0"/>
              <w:rPr>
                <w:sz w:val="8"/>
                <w:szCs w:val="8"/>
                <w:color w:val="auto"/>
              </w:rPr>
            </w:pPr>
          </w:p>
        </w:tc>
        <w:tc>
          <w:tcPr>
            <w:tcW w:w="1720" w:type="dxa"/>
            <w:vAlign w:val="bottom"/>
            <w:gridSpan w:val="2"/>
            <w:vMerge w:val="continue"/>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800" w:type="dxa"/>
            <w:vAlign w:val="bottom"/>
            <w:gridSpan w:val="2"/>
            <w:shd w:val="clear" w:color="auto" w:fill="F2F2F2"/>
          </w:tcPr>
          <w:p>
            <w:pPr>
              <w:ind w:left="40"/>
              <w:spacing w:after="0"/>
              <w:rPr>
                <w:sz w:val="20"/>
                <w:szCs w:val="20"/>
                <w:color w:val="auto"/>
              </w:rPr>
            </w:pPr>
            <w:r>
              <w:rPr>
                <w:rFonts w:ascii="Arial" w:cs="Arial" w:eastAsia="Arial" w:hAnsi="Arial"/>
                <w:sz w:val="15"/>
                <w:szCs w:val="15"/>
                <w:color w:val="auto"/>
              </w:rPr>
              <w:t>issues</w:t>
            </w:r>
          </w:p>
        </w:tc>
        <w:tc>
          <w:tcPr>
            <w:tcW w:w="220" w:type="dxa"/>
            <w:vAlign w:val="bottom"/>
          </w:tcPr>
          <w:p>
            <w:pPr>
              <w:spacing w:after="0"/>
              <w:rPr>
                <w:sz w:val="17"/>
                <w:szCs w:val="17"/>
                <w:color w:val="auto"/>
              </w:rPr>
            </w:pPr>
          </w:p>
        </w:tc>
        <w:tc>
          <w:tcPr>
            <w:tcW w:w="260" w:type="dxa"/>
            <w:vAlign w:val="bottom"/>
            <w:vMerge w:val="continue"/>
            <w:shd w:val="clear" w:color="auto" w:fill="F2F2F2"/>
          </w:tcPr>
          <w:p>
            <w:pPr>
              <w:spacing w:after="0"/>
              <w:rPr>
                <w:sz w:val="17"/>
                <w:szCs w:val="17"/>
                <w:color w:val="auto"/>
              </w:rPr>
            </w:pPr>
          </w:p>
        </w:tc>
        <w:tc>
          <w:tcPr>
            <w:tcW w:w="1880" w:type="dxa"/>
            <w:vAlign w:val="bottom"/>
            <w:vMerge w:val="continue"/>
            <w:shd w:val="clear" w:color="auto" w:fill="F2F2F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880" w:type="dxa"/>
            <w:vAlign w:val="bottom"/>
            <w:shd w:val="clear" w:color="auto" w:fill="F2F2F2"/>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Ethics</w:t>
            </w:r>
          </w:p>
        </w:tc>
        <w:tc>
          <w:tcPr>
            <w:tcW w:w="160" w:type="dxa"/>
            <w:vAlign w:val="bottom"/>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680" w:type="dxa"/>
            <w:vAlign w:val="bottom"/>
            <w:shd w:val="clear" w:color="auto" w:fill="F2F2F2"/>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shd w:val="clear" w:color="auto" w:fill="F2F2F2"/>
          </w:tcPr>
          <w:p>
            <w:pPr>
              <w:spacing w:after="0"/>
              <w:rPr>
                <w:sz w:val="24"/>
                <w:szCs w:val="24"/>
                <w:color w:val="auto"/>
              </w:rPr>
            </w:pPr>
          </w:p>
        </w:tc>
        <w:tc>
          <w:tcPr>
            <w:tcW w:w="1880" w:type="dxa"/>
            <w:vAlign w:val="bottom"/>
            <w:shd w:val="clear" w:color="auto" w:fill="F2F2F2"/>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shd w:val="clear" w:color="auto" w:fill="F2F2F2"/>
          </w:tcPr>
          <w:p>
            <w:pPr>
              <w:spacing w:after="0"/>
              <w:rPr>
                <w:sz w:val="24"/>
                <w:szCs w:val="24"/>
                <w:color w:val="auto"/>
              </w:rPr>
            </w:pPr>
          </w:p>
        </w:tc>
        <w:tc>
          <w:tcPr>
            <w:tcW w:w="1880" w:type="dxa"/>
            <w:vAlign w:val="bottom"/>
            <w:shd w:val="clear" w:color="auto" w:fill="F2F2F2"/>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shd w:val="clear" w:color="auto" w:fill="F2F2F2"/>
          </w:tcPr>
          <w:p>
            <w:pPr>
              <w:ind w:left="160"/>
              <w:spacing w:after="0"/>
              <w:rPr>
                <w:sz w:val="20"/>
                <w:szCs w:val="20"/>
                <w:color w:val="auto"/>
              </w:rPr>
            </w:pPr>
            <w:r>
              <w:rPr>
                <w:rFonts w:ascii="Arial" w:cs="Arial" w:eastAsia="Arial" w:hAnsi="Arial"/>
                <w:sz w:val="15"/>
                <w:szCs w:val="15"/>
                <w:color w:val="BF5B5A"/>
              </w:rPr>
              <w:t>•</w:t>
            </w:r>
          </w:p>
        </w:tc>
        <w:tc>
          <w:tcPr>
            <w:tcW w:w="1720" w:type="dxa"/>
            <w:vAlign w:val="bottom"/>
            <w:gridSpan w:val="2"/>
            <w:shd w:val="clear" w:color="auto" w:fill="F2F2F2"/>
          </w:tcPr>
          <w:p>
            <w:pPr>
              <w:ind w:left="60"/>
              <w:spacing w:after="0"/>
              <w:rPr>
                <w:sz w:val="20"/>
                <w:szCs w:val="20"/>
                <w:color w:val="auto"/>
              </w:rPr>
            </w:pPr>
            <w:r>
              <w:rPr>
                <w:rFonts w:ascii="Arial" w:cs="Arial" w:eastAsia="Arial" w:hAnsi="Arial"/>
                <w:sz w:val="15"/>
                <w:szCs w:val="15"/>
                <w:color w:val="auto"/>
              </w:rPr>
              <w:t>Legal and Compliance</w:t>
            </w:r>
          </w:p>
        </w:tc>
        <w:tc>
          <w:tcPr>
            <w:tcW w:w="1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 w:type="dxa"/>
            <w:vAlign w:val="bottom"/>
            <w:tcBorders>
              <w:bottom w:val="single" w:sz="8" w:color="F2F2F2"/>
            </w:tcBorders>
            <w:shd w:val="clear" w:color="auto" w:fill="F2F2F2"/>
          </w:tcPr>
          <w:p>
            <w:pPr>
              <w:spacing w:after="0"/>
              <w:rPr>
                <w:sz w:val="22"/>
                <w:szCs w:val="22"/>
                <w:color w:val="auto"/>
              </w:rPr>
            </w:pPr>
          </w:p>
        </w:tc>
        <w:tc>
          <w:tcPr>
            <w:tcW w:w="22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F2F2F2"/>
            </w:tcBorders>
            <w:shd w:val="clear" w:color="auto" w:fill="F2F2F2"/>
          </w:tcPr>
          <w:p>
            <w:pPr>
              <w:spacing w:after="0"/>
              <w:rPr>
                <w:sz w:val="22"/>
                <w:szCs w:val="22"/>
                <w:color w:val="auto"/>
              </w:rPr>
            </w:pPr>
          </w:p>
        </w:tc>
        <w:tc>
          <w:tcPr>
            <w:tcW w:w="1880" w:type="dxa"/>
            <w:vAlign w:val="bottom"/>
            <w:tcBorders>
              <w:bottom w:val="single" w:sz="8" w:color="F2F2F2"/>
            </w:tcBorders>
            <w:shd w:val="clear" w:color="auto" w:fill="F2F2F2"/>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F2F2F2"/>
            </w:tcBorders>
            <w:shd w:val="clear" w:color="auto" w:fill="F2F2F2"/>
          </w:tcPr>
          <w:p>
            <w:pPr>
              <w:spacing w:after="0"/>
              <w:rPr>
                <w:sz w:val="22"/>
                <w:szCs w:val="22"/>
                <w:color w:val="auto"/>
              </w:rPr>
            </w:pPr>
          </w:p>
        </w:tc>
        <w:tc>
          <w:tcPr>
            <w:tcW w:w="1880" w:type="dxa"/>
            <w:vAlign w:val="bottom"/>
            <w:tcBorders>
              <w:bottom w:val="single" w:sz="8" w:color="F2F2F2"/>
            </w:tcBorders>
            <w:shd w:val="clear" w:color="auto" w:fill="F2F2F2"/>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F2F2F2"/>
            </w:tcBorders>
            <w:shd w:val="clear" w:color="auto" w:fill="F2F2F2"/>
          </w:tcPr>
          <w:p>
            <w:pPr>
              <w:spacing w:after="0"/>
              <w:rPr>
                <w:sz w:val="22"/>
                <w:szCs w:val="22"/>
                <w:color w:val="auto"/>
              </w:rPr>
            </w:pPr>
          </w:p>
        </w:tc>
        <w:tc>
          <w:tcPr>
            <w:tcW w:w="172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5"/>
                <w:szCs w:val="15"/>
                <w:color w:val="auto"/>
              </w:rPr>
              <w:t>matters</w:t>
            </w:r>
          </w:p>
        </w:tc>
        <w:tc>
          <w:tcPr>
            <w:tcW w:w="160" w:type="dxa"/>
            <w:vAlign w:val="bottom"/>
            <w:tcBorders>
              <w:bottom w:val="single" w:sz="8" w:color="F2F2F2"/>
            </w:tcBorders>
            <w:shd w:val="clear" w:color="auto" w:fill="F2F2F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300" w:type="dxa"/>
            <w:vAlign w:val="bottom"/>
            <w:tcBorders>
              <w:top w:val="single" w:sz="8" w:color="BF5B5A"/>
            </w:tcBorders>
            <w:gridSpan w:val="2"/>
          </w:tcPr>
          <w:p>
            <w:pPr>
              <w:spacing w:after="0"/>
              <w:rPr>
                <w:sz w:val="24"/>
                <w:szCs w:val="24"/>
                <w:color w:val="auto"/>
              </w:rPr>
            </w:pPr>
          </w:p>
        </w:tc>
        <w:tc>
          <w:tcPr>
            <w:tcW w:w="120" w:type="dxa"/>
            <w:vAlign w:val="bottom"/>
            <w:tcBorders>
              <w:top w:val="single" w:sz="8" w:color="BF5B5A"/>
            </w:tcBorders>
          </w:tcPr>
          <w:p>
            <w:pPr>
              <w:spacing w:after="0"/>
              <w:rPr>
                <w:sz w:val="24"/>
                <w:szCs w:val="24"/>
                <w:color w:val="auto"/>
              </w:rPr>
            </w:pPr>
          </w:p>
        </w:tc>
        <w:tc>
          <w:tcPr>
            <w:tcW w:w="1680" w:type="dxa"/>
            <w:vAlign w:val="bottom"/>
            <w:tcBorders>
              <w:top w:val="single" w:sz="8" w:color="BF5B5A"/>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BF5B5A"/>
            </w:tcBorders>
          </w:tcPr>
          <w:p>
            <w:pPr>
              <w:spacing w:after="0"/>
              <w:rPr>
                <w:sz w:val="24"/>
                <w:szCs w:val="24"/>
                <w:color w:val="auto"/>
              </w:rPr>
            </w:pPr>
          </w:p>
        </w:tc>
        <w:tc>
          <w:tcPr>
            <w:tcW w:w="1880" w:type="dxa"/>
            <w:vAlign w:val="bottom"/>
            <w:tcBorders>
              <w:top w:val="single" w:sz="8" w:color="BF5B5A"/>
            </w:tcBorders>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top w:val="single" w:sz="8" w:color="BF5B5A"/>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BF5B5A"/>
            </w:tcBorders>
          </w:tcPr>
          <w:p>
            <w:pPr>
              <w:spacing w:after="0"/>
              <w:rPr>
                <w:sz w:val="24"/>
                <w:szCs w:val="24"/>
                <w:color w:val="auto"/>
              </w:rPr>
            </w:pPr>
          </w:p>
        </w:tc>
        <w:tc>
          <w:tcPr>
            <w:tcW w:w="1440" w:type="dxa"/>
            <w:vAlign w:val="bottom"/>
            <w:tcBorders>
              <w:top w:val="single" w:sz="8" w:color="BF5B5A"/>
            </w:tcBorders>
          </w:tcPr>
          <w:p>
            <w:pPr>
              <w:spacing w:after="0"/>
              <w:rPr>
                <w:sz w:val="24"/>
                <w:szCs w:val="24"/>
                <w:color w:val="auto"/>
              </w:rPr>
            </w:pPr>
          </w:p>
        </w:tc>
        <w:tc>
          <w:tcPr>
            <w:tcW w:w="280" w:type="dxa"/>
            <w:vAlign w:val="bottom"/>
            <w:tcBorders>
              <w:top w:val="single" w:sz="8" w:color="BF5B5A"/>
            </w:tcBorders>
          </w:tcPr>
          <w:p>
            <w:pPr>
              <w:spacing w:after="0"/>
              <w:rPr>
                <w:sz w:val="24"/>
                <w:szCs w:val="24"/>
                <w:color w:val="auto"/>
              </w:rPr>
            </w:pPr>
          </w:p>
        </w:tc>
        <w:tc>
          <w:tcPr>
            <w:tcW w:w="160" w:type="dxa"/>
            <w:vAlign w:val="bottom"/>
            <w:tcBorders>
              <w:top w:val="single" w:sz="8" w:color="BF5B5A"/>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c>
          <w:tcPr>
            <w:tcW w:w="120" w:type="dxa"/>
            <w:vAlign w:val="bottom"/>
            <w:shd w:val="clear" w:color="auto" w:fill="BF5B5A"/>
          </w:tcPr>
          <w:p>
            <w:pPr>
              <w:spacing w:after="0"/>
              <w:rPr>
                <w:sz w:val="22"/>
                <w:szCs w:val="22"/>
                <w:color w:val="auto"/>
              </w:rPr>
            </w:pPr>
          </w:p>
        </w:tc>
        <w:tc>
          <w:tcPr>
            <w:tcW w:w="1680" w:type="dxa"/>
            <w:vAlign w:val="bottom"/>
            <w:shd w:val="clear" w:color="auto" w:fill="BF5B5A"/>
          </w:tcPr>
          <w:p>
            <w:pPr>
              <w:spacing w:after="0"/>
              <w:rPr>
                <w:sz w:val="22"/>
                <w:szCs w:val="22"/>
                <w:color w:val="auto"/>
              </w:rPr>
            </w:pPr>
          </w:p>
        </w:tc>
        <w:tc>
          <w:tcPr>
            <w:tcW w:w="220" w:type="dxa"/>
            <w:vAlign w:val="bottom"/>
            <w:shd w:val="clear" w:color="auto" w:fill="BF5B5A"/>
          </w:tcPr>
          <w:p>
            <w:pPr>
              <w:spacing w:after="0"/>
              <w:rPr>
                <w:sz w:val="22"/>
                <w:szCs w:val="22"/>
                <w:color w:val="auto"/>
              </w:rPr>
            </w:pPr>
          </w:p>
        </w:tc>
        <w:tc>
          <w:tcPr>
            <w:tcW w:w="260" w:type="dxa"/>
            <w:vAlign w:val="bottom"/>
            <w:shd w:val="clear" w:color="auto" w:fill="BF5B5A"/>
          </w:tcPr>
          <w:p>
            <w:pPr>
              <w:spacing w:after="0"/>
              <w:rPr>
                <w:sz w:val="22"/>
                <w:szCs w:val="22"/>
                <w:color w:val="auto"/>
              </w:rPr>
            </w:pPr>
          </w:p>
        </w:tc>
        <w:tc>
          <w:tcPr>
            <w:tcW w:w="4240" w:type="dxa"/>
            <w:vAlign w:val="bottom"/>
            <w:gridSpan w:val="4"/>
            <w:shd w:val="clear" w:color="auto" w:fill="BF5B5A"/>
          </w:tcPr>
          <w:p>
            <w:pPr>
              <w:ind w:left="280"/>
              <w:spacing w:after="0"/>
              <w:rPr>
                <w:sz w:val="20"/>
                <w:szCs w:val="20"/>
                <w:color w:val="auto"/>
              </w:rPr>
            </w:pPr>
            <w:r>
              <w:rPr>
                <w:rFonts w:ascii="Arial" w:cs="Arial" w:eastAsia="Arial" w:hAnsi="Arial"/>
                <w:sz w:val="16"/>
                <w:szCs w:val="16"/>
                <w:b w:val="1"/>
                <w:bCs w:val="1"/>
                <w:color w:val="FFFFFF"/>
              </w:rPr>
              <w:t>Management-level Committees (Execution)</w:t>
            </w:r>
            <w:r>
              <w:rPr>
                <w:rFonts w:ascii="Arial" w:cs="Arial" w:eastAsia="Arial" w:hAnsi="Arial"/>
                <w:sz w:val="15"/>
                <w:szCs w:val="15"/>
                <w:color w:val="000000"/>
              </w:rPr>
              <w:t>​</w:t>
            </w:r>
          </w:p>
        </w:tc>
        <w:tc>
          <w:tcPr>
            <w:tcW w:w="220" w:type="dxa"/>
            <w:vAlign w:val="bottom"/>
            <w:shd w:val="clear" w:color="auto" w:fill="BF5B5A"/>
          </w:tcPr>
          <w:p>
            <w:pPr>
              <w:spacing w:after="0"/>
              <w:rPr>
                <w:sz w:val="22"/>
                <w:szCs w:val="22"/>
                <w:color w:val="auto"/>
              </w:rPr>
            </w:pPr>
          </w:p>
        </w:tc>
        <w:tc>
          <w:tcPr>
            <w:tcW w:w="260" w:type="dxa"/>
            <w:vAlign w:val="bottom"/>
            <w:shd w:val="clear" w:color="auto" w:fill="BF5B5A"/>
          </w:tcPr>
          <w:p>
            <w:pPr>
              <w:spacing w:after="0"/>
              <w:rPr>
                <w:sz w:val="22"/>
                <w:szCs w:val="22"/>
                <w:color w:val="auto"/>
              </w:rPr>
            </w:pPr>
          </w:p>
        </w:tc>
        <w:tc>
          <w:tcPr>
            <w:tcW w:w="1440" w:type="dxa"/>
            <w:vAlign w:val="bottom"/>
            <w:shd w:val="clear" w:color="auto" w:fill="BF5B5A"/>
          </w:tcPr>
          <w:p>
            <w:pPr>
              <w:spacing w:after="0"/>
              <w:rPr>
                <w:sz w:val="22"/>
                <w:szCs w:val="22"/>
                <w:color w:val="auto"/>
              </w:rPr>
            </w:pPr>
          </w:p>
        </w:tc>
        <w:tc>
          <w:tcPr>
            <w:tcW w:w="280" w:type="dxa"/>
            <w:vAlign w:val="bottom"/>
            <w:shd w:val="clear" w:color="auto" w:fill="BF5B5A"/>
          </w:tcPr>
          <w:p>
            <w:pPr>
              <w:spacing w:after="0"/>
              <w:rPr>
                <w:sz w:val="22"/>
                <w:szCs w:val="22"/>
                <w:color w:val="auto"/>
              </w:rPr>
            </w:pPr>
          </w:p>
        </w:tc>
        <w:tc>
          <w:tcPr>
            <w:tcW w:w="16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120" w:type="dxa"/>
            <w:vAlign w:val="bottom"/>
            <w:shd w:val="clear" w:color="auto" w:fill="BF5B5A"/>
          </w:tcPr>
          <w:p>
            <w:pPr>
              <w:spacing w:after="0"/>
              <w:rPr>
                <w:sz w:val="7"/>
                <w:szCs w:val="7"/>
                <w:color w:val="auto"/>
              </w:rPr>
            </w:pPr>
          </w:p>
        </w:tc>
        <w:tc>
          <w:tcPr>
            <w:tcW w:w="16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8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880" w:type="dxa"/>
            <w:vAlign w:val="bottom"/>
            <w:shd w:val="clear" w:color="auto" w:fill="BF5B5A"/>
          </w:tcPr>
          <w:p>
            <w:pPr>
              <w:spacing w:after="0"/>
              <w:rPr>
                <w:sz w:val="7"/>
                <w:szCs w:val="7"/>
                <w:color w:val="auto"/>
              </w:rPr>
            </w:pPr>
          </w:p>
        </w:tc>
        <w:tc>
          <w:tcPr>
            <w:tcW w:w="220" w:type="dxa"/>
            <w:vAlign w:val="bottom"/>
            <w:shd w:val="clear" w:color="auto" w:fill="BF5B5A"/>
          </w:tcPr>
          <w:p>
            <w:pPr>
              <w:spacing w:after="0"/>
              <w:rPr>
                <w:sz w:val="7"/>
                <w:szCs w:val="7"/>
                <w:color w:val="auto"/>
              </w:rPr>
            </w:pPr>
          </w:p>
        </w:tc>
        <w:tc>
          <w:tcPr>
            <w:tcW w:w="260" w:type="dxa"/>
            <w:vAlign w:val="bottom"/>
            <w:shd w:val="clear" w:color="auto" w:fill="BF5B5A"/>
          </w:tcPr>
          <w:p>
            <w:pPr>
              <w:spacing w:after="0"/>
              <w:rPr>
                <w:sz w:val="7"/>
                <w:szCs w:val="7"/>
                <w:color w:val="auto"/>
              </w:rPr>
            </w:pPr>
          </w:p>
        </w:tc>
        <w:tc>
          <w:tcPr>
            <w:tcW w:w="1440" w:type="dxa"/>
            <w:vAlign w:val="bottom"/>
            <w:shd w:val="clear" w:color="auto" w:fill="BF5B5A"/>
          </w:tcPr>
          <w:p>
            <w:pPr>
              <w:spacing w:after="0"/>
              <w:rPr>
                <w:sz w:val="7"/>
                <w:szCs w:val="7"/>
                <w:color w:val="auto"/>
              </w:rPr>
            </w:pPr>
          </w:p>
        </w:tc>
        <w:tc>
          <w:tcPr>
            <w:tcW w:w="280" w:type="dxa"/>
            <w:vAlign w:val="bottom"/>
            <w:shd w:val="clear" w:color="auto" w:fill="BF5B5A"/>
          </w:tcPr>
          <w:p>
            <w:pPr>
              <w:spacing w:after="0"/>
              <w:rPr>
                <w:sz w:val="7"/>
                <w:szCs w:val="7"/>
                <w:color w:val="auto"/>
              </w:rPr>
            </w:pPr>
          </w:p>
        </w:tc>
        <w:tc>
          <w:tcPr>
            <w:tcW w:w="160" w:type="dxa"/>
            <w:vAlign w:val="bottom"/>
            <w:shd w:val="clear" w:color="auto" w:fill="BF5B5A"/>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120" w:type="dxa"/>
            <w:vAlign w:val="bottom"/>
            <w:shd w:val="clear" w:color="auto" w:fill="FEFEFE"/>
          </w:tcPr>
          <w:p>
            <w:pPr>
              <w:spacing w:after="0"/>
              <w:rPr>
                <w:sz w:val="18"/>
                <w:szCs w:val="18"/>
                <w:color w:val="auto"/>
              </w:rPr>
            </w:pPr>
          </w:p>
        </w:tc>
        <w:tc>
          <w:tcPr>
            <w:tcW w:w="16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8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880" w:type="dxa"/>
            <w:vAlign w:val="bottom"/>
            <w:shd w:val="clear" w:color="auto" w:fill="FEFEFE"/>
          </w:tcPr>
          <w:p>
            <w:pPr>
              <w:spacing w:after="0"/>
              <w:rPr>
                <w:sz w:val="18"/>
                <w:szCs w:val="18"/>
                <w:color w:val="auto"/>
              </w:rPr>
            </w:pPr>
          </w:p>
        </w:tc>
        <w:tc>
          <w:tcPr>
            <w:tcW w:w="220" w:type="dxa"/>
            <w:vAlign w:val="bottom"/>
            <w:shd w:val="clear" w:color="auto" w:fill="FEFEFE"/>
          </w:tcPr>
          <w:p>
            <w:pPr>
              <w:spacing w:after="0"/>
              <w:rPr>
                <w:sz w:val="18"/>
                <w:szCs w:val="18"/>
                <w:color w:val="auto"/>
              </w:rPr>
            </w:pPr>
          </w:p>
        </w:tc>
        <w:tc>
          <w:tcPr>
            <w:tcW w:w="26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80" w:type="dxa"/>
            <w:vAlign w:val="bottom"/>
            <w:shd w:val="clear" w:color="auto" w:fill="FEFEFE"/>
          </w:tcPr>
          <w:p>
            <w:pPr>
              <w:spacing w:after="0"/>
              <w:rPr>
                <w:sz w:val="18"/>
                <w:szCs w:val="18"/>
                <w:color w:val="auto"/>
              </w:rPr>
            </w:pPr>
          </w:p>
        </w:tc>
        <w:tc>
          <w:tcPr>
            <w:tcW w:w="160" w:type="dxa"/>
            <w:vAlign w:val="bottom"/>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-3282315</wp:posOffset>
            </wp:positionV>
            <wp:extent cx="5829300" cy="38061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0" cy="380619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568"/>
        </w:trPr>
        <w:tc>
          <w:tcPr>
            <w:tcW w:w="60" w:type="dxa"/>
            <w:vAlign w:val="bottom"/>
            <w:shd w:val="clear" w:color="auto" w:fill="BF5B5A"/>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5"/>
                <w:szCs w:val="15"/>
                <w:b w:val="1"/>
                <w:bCs w:val="1"/>
                <w:color w:val="FFFFFF"/>
                <w:w w:val="99"/>
              </w:rPr>
              <w:t>Executive Leadership</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2"/>
        </w:trPr>
        <w:tc>
          <w:tcPr>
            <w:tcW w:w="60" w:type="dxa"/>
            <w:vAlign w:val="bottom"/>
            <w:shd w:val="clear" w:color="auto" w:fill="BF5B5A"/>
          </w:tcPr>
          <w:p>
            <w:pPr>
              <w:spacing w:after="0"/>
              <w:rPr>
                <w:sz w:val="20"/>
                <w:szCs w:val="20"/>
                <w:color w:val="auto"/>
              </w:rPr>
            </w:pPr>
            <w:r>
              <w:rPr>
                <w:rFonts w:ascii="Arial" w:cs="Arial" w:eastAsia="Arial" w:hAnsi="Arial"/>
                <w:sz w:val="15"/>
                <w:szCs w:val="15"/>
                <w:b w:val="1"/>
                <w:bCs w:val="1"/>
                <w:color w:val="FFFFFF"/>
              </w:rPr>
              <w:t>​</w:t>
            </w:r>
          </w:p>
        </w:tc>
        <w:tc>
          <w:tcPr>
            <w:tcW w:w="1560" w:type="dxa"/>
            <w:vAlign w:val="bottom"/>
            <w:gridSpan w:val="2"/>
          </w:tcPr>
          <w:p>
            <w:pPr>
              <w:spacing w:after="0"/>
              <w:rPr>
                <w:sz w:val="20"/>
                <w:szCs w:val="20"/>
                <w:color w:val="auto"/>
              </w:rPr>
            </w:pPr>
            <w:r>
              <w:rPr>
                <w:rFonts w:ascii="Arial" w:cs="Arial" w:eastAsia="Arial" w:hAnsi="Arial"/>
                <w:sz w:val="15"/>
                <w:szCs w:val="15"/>
                <w:b w:val="1"/>
                <w:bCs w:val="1"/>
                <w:color w:val="FFFFFF"/>
              </w:rPr>
              <w:t>Team</w:t>
            </w:r>
          </w:p>
        </w:tc>
        <w:tc>
          <w:tcPr>
            <w:tcW w:w="200" w:type="dxa"/>
            <w:vAlign w:val="bottom"/>
          </w:tcPr>
          <w:p>
            <w:pPr>
              <w:ind w:left="60"/>
              <w:spacing w:after="0"/>
              <w:rPr>
                <w:sz w:val="20"/>
                <w:szCs w:val="20"/>
                <w:color w:val="auto"/>
              </w:rPr>
            </w:pPr>
            <w:r>
              <w:rPr>
                <w:rFonts w:ascii="Arial" w:cs="Arial" w:eastAsia="Arial" w:hAnsi="Arial"/>
                <w:sz w:val="15"/>
                <w:szCs w:val="15"/>
                <w:b w:val="1"/>
                <w:bCs w:val="1"/>
                <w:color w:val="FFFFFF"/>
              </w:rPr>
              <w:t>​</w:t>
            </w:r>
          </w:p>
        </w:tc>
        <w:tc>
          <w:tcPr>
            <w:tcW w:w="1600" w:type="dxa"/>
            <w:vAlign w:val="bottom"/>
            <w:gridSpan w:val="2"/>
          </w:tcPr>
          <w:p>
            <w:pPr>
              <w:ind w:left="80"/>
              <w:spacing w:after="0" w:line="204"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3"/>
                <w:szCs w:val="13"/>
                <w:b w:val="1"/>
                <w:bCs w:val="1"/>
                <w:color w:val="FFFFFF"/>
              </w:rPr>
              <w:t xml:space="preserve"> ESG Committee</w:t>
            </w:r>
          </w:p>
        </w:tc>
      </w:tr>
      <w:tr>
        <w:trPr>
          <w:trHeight w:val="210"/>
        </w:trPr>
        <w:tc>
          <w:tcPr>
            <w:tcW w:w="60" w:type="dxa"/>
            <w:vAlign w:val="bottom"/>
          </w:tcPr>
          <w:p>
            <w:pPr>
              <w:spacing w:after="0"/>
              <w:rPr>
                <w:sz w:val="20"/>
                <w:szCs w:val="20"/>
                <w:color w:val="auto"/>
              </w:rPr>
            </w:pPr>
            <w:r>
              <w:rPr>
                <w:rFonts w:ascii="Arial" w:cs="Arial" w:eastAsia="Arial" w:hAnsi="Arial"/>
                <w:sz w:val="15"/>
                <w:szCs w:val="15"/>
                <w:color w:val="auto"/>
              </w:rPr>
              <w:t>​</w:t>
            </w:r>
          </w:p>
        </w:tc>
        <w:tc>
          <w:tcPr>
            <w:tcW w:w="220" w:type="dxa"/>
            <w:vAlign w:val="bottom"/>
          </w:tcPr>
          <w:p>
            <w:pPr>
              <w:ind w:left="120"/>
              <w:spacing w:after="0"/>
              <w:rPr>
                <w:sz w:val="20"/>
                <w:szCs w:val="20"/>
                <w:color w:val="auto"/>
              </w:rPr>
            </w:pPr>
            <w:r>
              <w:rPr>
                <w:rFonts w:ascii="Arial" w:cs="Arial" w:eastAsia="Arial" w:hAnsi="Arial"/>
                <w:sz w:val="15"/>
                <w:szCs w:val="15"/>
                <w:color w:val="BF5B5A"/>
              </w:rPr>
              <w:t>•</w:t>
            </w:r>
          </w:p>
        </w:tc>
        <w:tc>
          <w:tcPr>
            <w:tcW w:w="1340" w:type="dxa"/>
            <w:vAlign w:val="bottom"/>
          </w:tcPr>
          <w:p>
            <w:pPr>
              <w:ind w:left="40"/>
              <w:spacing w:after="0"/>
              <w:rPr>
                <w:sz w:val="20"/>
                <w:szCs w:val="20"/>
                <w:color w:val="auto"/>
              </w:rPr>
            </w:pPr>
            <w:r>
              <w:rPr>
                <w:rFonts w:ascii="Arial" w:cs="Arial" w:eastAsia="Arial" w:hAnsi="Arial"/>
                <w:sz w:val="15"/>
                <w:szCs w:val="15"/>
                <w:color w:val="auto"/>
              </w:rPr>
              <w:t>Evaluates ESG</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BF5B5A"/>
              </w:rPr>
              <w:t>•</w:t>
            </w:r>
          </w:p>
        </w:tc>
        <w:tc>
          <w:tcPr>
            <w:tcW w:w="1260" w:type="dxa"/>
            <w:vAlign w:val="bottom"/>
          </w:tcPr>
          <w:p>
            <w:pPr>
              <w:ind w:left="40"/>
              <w:spacing w:after="0"/>
              <w:rPr>
                <w:sz w:val="20"/>
                <w:szCs w:val="20"/>
                <w:color w:val="auto"/>
              </w:rPr>
            </w:pPr>
            <w:r>
              <w:rPr>
                <w:rFonts w:ascii="Arial" w:cs="Arial" w:eastAsia="Arial" w:hAnsi="Arial"/>
                <w:sz w:val="15"/>
                <w:szCs w:val="15"/>
                <w:color w:val="auto"/>
              </w:rPr>
              <w:t>Provides</w:t>
            </w:r>
          </w:p>
        </w:tc>
      </w:tr>
      <w:tr>
        <w:trPr>
          <w:trHeight w:val="203"/>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5"/>
                <w:szCs w:val="15"/>
                <w:color w:val="auto"/>
              </w:rPr>
              <w:t>considerations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ind w:left="40"/>
              <w:spacing w:after="0"/>
              <w:rPr>
                <w:sz w:val="20"/>
                <w:szCs w:val="20"/>
                <w:color w:val="auto"/>
              </w:rPr>
            </w:pPr>
            <w:r>
              <w:rPr>
                <w:rFonts w:ascii="Arial" w:cs="Arial" w:eastAsia="Arial" w:hAnsi="Arial"/>
                <w:sz w:val="15"/>
                <w:szCs w:val="15"/>
                <w:color w:val="auto"/>
              </w:rPr>
              <w:t>guidance and</w:t>
            </w:r>
          </w:p>
        </w:tc>
      </w:tr>
      <w:tr>
        <w:trPr>
          <w:trHeight w:val="203"/>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5"/>
                <w:szCs w:val="15"/>
                <w:color w:val="auto"/>
              </w:rPr>
              <w:t>within strategic</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ind w:left="40"/>
              <w:spacing w:after="0"/>
              <w:rPr>
                <w:sz w:val="20"/>
                <w:szCs w:val="20"/>
                <w:color w:val="auto"/>
              </w:rPr>
            </w:pPr>
            <w:r>
              <w:rPr>
                <w:rFonts w:ascii="Arial" w:cs="Arial" w:eastAsia="Arial" w:hAnsi="Arial"/>
                <w:sz w:val="15"/>
                <w:szCs w:val="15"/>
                <w:color w:val="auto"/>
              </w:rPr>
              <w:t>direction on</w:t>
            </w:r>
          </w:p>
        </w:tc>
      </w:tr>
      <w:tr>
        <w:trPr>
          <w:trHeight w:val="203"/>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5"/>
                <w:szCs w:val="15"/>
                <w:color w:val="auto"/>
              </w:rPr>
              <w:t>planning</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ind w:left="40"/>
              <w:spacing w:after="0"/>
              <w:rPr>
                <w:sz w:val="20"/>
                <w:szCs w:val="20"/>
                <w:color w:val="auto"/>
              </w:rPr>
            </w:pPr>
            <w:r>
              <w:rPr>
                <w:rFonts w:ascii="Arial" w:cs="Arial" w:eastAsia="Arial" w:hAnsi="Arial"/>
                <w:sz w:val="15"/>
                <w:szCs w:val="15"/>
                <w:color w:val="auto"/>
              </w:rPr>
              <w:t>internal initiatives</w:t>
            </w:r>
          </w:p>
        </w:tc>
      </w:tr>
      <w:tr>
        <w:trPr>
          <w:trHeight w:val="310"/>
        </w:trPr>
        <w:tc>
          <w:tcPr>
            <w:tcW w:w="6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5"/>
                <w:szCs w:val="15"/>
                <w:color w:val="BF5B5A"/>
              </w:rPr>
              <w:t>•</w:t>
            </w:r>
          </w:p>
        </w:tc>
        <w:tc>
          <w:tcPr>
            <w:tcW w:w="1340" w:type="dxa"/>
            <w:vAlign w:val="bottom"/>
          </w:tcPr>
          <w:p>
            <w:pPr>
              <w:ind w:left="40"/>
              <w:spacing w:after="0"/>
              <w:rPr>
                <w:sz w:val="20"/>
                <w:szCs w:val="20"/>
                <w:color w:val="auto"/>
              </w:rPr>
            </w:pPr>
            <w:r>
              <w:rPr>
                <w:rFonts w:ascii="Arial" w:cs="Arial" w:eastAsia="Arial" w:hAnsi="Arial"/>
                <w:sz w:val="15"/>
                <w:szCs w:val="15"/>
                <w:color w:val="auto"/>
              </w:rPr>
              <w:t>Oversees ESG</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BF5B5A"/>
              </w:rPr>
              <w:t>•</w:t>
            </w:r>
          </w:p>
        </w:tc>
        <w:tc>
          <w:tcPr>
            <w:tcW w:w="1260" w:type="dxa"/>
            <w:vAlign w:val="bottom"/>
          </w:tcPr>
          <w:p>
            <w:pPr>
              <w:ind w:left="40"/>
              <w:spacing w:after="0"/>
              <w:rPr>
                <w:sz w:val="20"/>
                <w:szCs w:val="20"/>
                <w:color w:val="auto"/>
              </w:rPr>
            </w:pPr>
            <w:r>
              <w:rPr>
                <w:rFonts w:ascii="Arial" w:cs="Arial" w:eastAsia="Arial" w:hAnsi="Arial"/>
                <w:sz w:val="15"/>
                <w:szCs w:val="15"/>
                <w:color w:val="auto"/>
              </w:rPr>
              <w:t>Prepares annual</w:t>
            </w:r>
          </w:p>
        </w:tc>
      </w:tr>
      <w:tr>
        <w:trPr>
          <w:trHeight w:val="203"/>
        </w:trPr>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ind w:left="40"/>
              <w:spacing w:after="0"/>
              <w:rPr>
                <w:sz w:val="20"/>
                <w:szCs w:val="20"/>
                <w:color w:val="auto"/>
              </w:rPr>
            </w:pPr>
            <w:r>
              <w:rPr>
                <w:rFonts w:ascii="Arial" w:cs="Arial" w:eastAsia="Arial" w:hAnsi="Arial"/>
                <w:sz w:val="15"/>
                <w:szCs w:val="15"/>
                <w:color w:val="auto"/>
              </w:rPr>
              <w:t>Committee</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ind w:left="40"/>
              <w:spacing w:after="0"/>
              <w:rPr>
                <w:sz w:val="20"/>
                <w:szCs w:val="20"/>
                <w:color w:val="auto"/>
              </w:rPr>
            </w:pPr>
            <w:r>
              <w:rPr>
                <w:rFonts w:ascii="Arial" w:cs="Arial" w:eastAsia="Arial" w:hAnsi="Arial"/>
                <w:sz w:val="15"/>
                <w:szCs w:val="15"/>
                <w:color w:val="auto"/>
              </w:rPr>
              <w:t>ESG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-843915</wp:posOffset>
            </wp:positionV>
            <wp:extent cx="2228850" cy="22371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28850" cy="2237105"/>
                    </a:xfrm>
                    <a:prstGeom prst="rect">
                      <a:avLst/>
                    </a:prstGeom>
                    <a:noFill/>
                  </pic:spPr>
                </pic:pic>
              </a:graphicData>
            </a:graphic>
          </wp:anchor>
        </w:drawing>
      </w:r>
    </w:p>
    <w:p>
      <w:pPr>
        <w:spacing w:after="0" w:line="90" w:lineRule="exact"/>
        <w:rPr>
          <w:sz w:val="20"/>
          <w:szCs w:val="20"/>
          <w:color w:val="auto"/>
        </w:rPr>
      </w:pPr>
    </w:p>
    <w:p>
      <w:pPr>
        <w:ind w:left="1100" w:right="1840" w:hanging="144"/>
        <w:spacing w:after="0" w:line="301" w:lineRule="auto"/>
        <w:tabs>
          <w:tab w:leader="none" w:pos="1100" w:val="left"/>
        </w:tabs>
        <w:numPr>
          <w:ilvl w:val="0"/>
          <w:numId w:val="28"/>
        </w:numPr>
        <w:rPr>
          <w:rFonts w:ascii="Arial" w:cs="Arial" w:eastAsia="Arial" w:hAnsi="Arial"/>
          <w:sz w:val="15"/>
          <w:szCs w:val="15"/>
          <w:color w:val="BF5B5A"/>
        </w:rPr>
      </w:pPr>
      <w:r>
        <w:rPr>
          <w:rFonts w:ascii="Arial" w:cs="Arial" w:eastAsia="Arial" w:hAnsi="Arial"/>
          <w:sz w:val="15"/>
          <w:szCs w:val="15"/>
          <w:color w:val="auto"/>
        </w:rPr>
        <w:t>Consists of senior management, including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910590</wp:posOffset>
            </wp:positionV>
            <wp:extent cx="22288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5"/>
                <w:szCs w:val="15"/>
                <w:b w:val="1"/>
                <w:bCs w:val="1"/>
                <w:color w:val="FFFFFF"/>
              </w:rPr>
              <w:t>Enterprise Risk</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5"/>
                <w:szCs w:val="15"/>
                <w:b w:val="1"/>
                <w:bCs w:val="1"/>
                <w:color w:val="FFFFFF"/>
              </w:rPr>
              <w:t>Management</w:t>
            </w:r>
          </w:p>
        </w:tc>
        <w:tc>
          <w:tcPr>
            <w:tcW w:w="0" w:type="dxa"/>
            <w:vAlign w:val="bottom"/>
          </w:tcPr>
          <w:p>
            <w:pPr>
              <w:spacing w:after="0"/>
              <w:rPr>
                <w:sz w:val="1"/>
                <w:szCs w:val="1"/>
                <w:color w:val="auto"/>
              </w:rPr>
            </w:pPr>
          </w:p>
        </w:tc>
      </w:tr>
      <w:tr>
        <w:trPr>
          <w:trHeight w:val="204"/>
        </w:trPr>
        <w:tc>
          <w:tcPr>
            <w:tcW w:w="120" w:type="dxa"/>
            <w:vAlign w:val="bottom"/>
          </w:tcPr>
          <w:p>
            <w:pPr>
              <w:spacing w:after="0"/>
              <w:rPr>
                <w:sz w:val="20"/>
                <w:szCs w:val="20"/>
                <w:color w:val="auto"/>
              </w:rPr>
            </w:pPr>
            <w:r>
              <w:rPr>
                <w:rFonts w:ascii="Arial" w:cs="Arial" w:eastAsia="Arial" w:hAnsi="Arial"/>
                <w:sz w:val="15"/>
                <w:szCs w:val="15"/>
                <w:b w:val="1"/>
                <w:bCs w:val="1"/>
                <w:color w:val="FFFFFF"/>
              </w:rPr>
              <w:t>​</w:t>
            </w:r>
          </w:p>
        </w:tc>
        <w:tc>
          <w:tcPr>
            <w:tcW w:w="1860" w:type="dxa"/>
            <w:vAlign w:val="bottom"/>
            <w:gridSpan w:val="2"/>
          </w:tcPr>
          <w:p>
            <w:pPr>
              <w:ind w:left="80"/>
              <w:spacing w:after="0" w:line="204"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3"/>
                <w:szCs w:val="13"/>
                <w:b w:val="1"/>
                <w:bCs w:val="1"/>
                <w:color w:val="FFFFFF"/>
              </w:rPr>
              <w:t xml:space="preserve"> Disclosure Committee </w:t>
            </w:r>
            <w:r>
              <w:rPr>
                <w:rFonts w:ascii="Arial" w:cs="Arial" w:eastAsia="Arial" w:hAnsi="Arial"/>
                <w:sz w:val="23"/>
                <w:szCs w:val="23"/>
                <w:b w:val="1"/>
                <w:bCs w:val="1"/>
                <w:color w:val="FFFFFF"/>
                <w:vertAlign w:val="subscript"/>
              </w:rPr>
              <w:t>​</w:t>
            </w:r>
          </w:p>
        </w:tc>
        <w:tc>
          <w:tcPr>
            <w:tcW w:w="1660" w:type="dxa"/>
            <w:vAlign w:val="bottom"/>
            <w:gridSpan w:val="2"/>
          </w:tcPr>
          <w:p>
            <w:pPr>
              <w:ind w:left="80"/>
              <w:spacing w:after="0" w:line="204"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3"/>
                <w:szCs w:val="13"/>
                <w:b w:val="1"/>
                <w:bCs w:val="1"/>
                <w:color w:val="FFFFFF"/>
              </w:rPr>
              <w:t xml:space="preserve"> Committee</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580" w:type="dxa"/>
            <w:vAlign w:val="bottom"/>
          </w:tcPr>
          <w:p>
            <w:pPr>
              <w:ind w:left="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BF5B5A"/>
              </w:rPr>
              <w:t>•</w:t>
            </w:r>
            <w:r>
              <w:rPr>
                <w:rFonts w:ascii="Arial" w:cs="Arial" w:eastAsia="Arial" w:hAnsi="Arial"/>
                <w:sz w:val="15"/>
                <w:szCs w:val="15"/>
                <w:color w:val="auto"/>
              </w:rPr>
              <w:t xml:space="preserve"> Reviews ESG-</w:t>
            </w:r>
          </w:p>
        </w:tc>
        <w:tc>
          <w:tcPr>
            <w:tcW w:w="280" w:type="dxa"/>
            <w:vAlign w:val="bottom"/>
          </w:tcPr>
          <w:p>
            <w:pPr>
              <w:ind w:left="16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BF5B5A"/>
              </w:rPr>
              <w:t>•</w:t>
            </w:r>
          </w:p>
        </w:tc>
        <w:tc>
          <w:tcPr>
            <w:tcW w:w="1320" w:type="dxa"/>
            <w:vAlign w:val="bottom"/>
          </w:tcPr>
          <w:p>
            <w:pPr>
              <w:ind w:left="60"/>
              <w:spacing w:after="0"/>
              <w:rPr>
                <w:sz w:val="20"/>
                <w:szCs w:val="20"/>
                <w:color w:val="auto"/>
              </w:rPr>
            </w:pPr>
            <w:r>
              <w:rPr>
                <w:rFonts w:ascii="Arial" w:cs="Arial" w:eastAsia="Arial" w:hAnsi="Arial"/>
                <w:sz w:val="15"/>
                <w:szCs w:val="15"/>
                <w:color w:val="auto"/>
              </w:rPr>
              <w:t>Monitors ESG-</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related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related updates to</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disclosures in</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risk inventory</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ind w:left="400"/>
              <w:spacing w:after="0"/>
              <w:rPr>
                <w:sz w:val="20"/>
                <w:szCs w:val="20"/>
                <w:color w:val="auto"/>
              </w:rPr>
            </w:pPr>
            <w:r>
              <w:rPr>
                <w:rFonts w:ascii="Arial" w:cs="Arial" w:eastAsia="Arial" w:hAnsi="Arial"/>
                <w:sz w:val="15"/>
                <w:szCs w:val="15"/>
                <w:color w:val="auto"/>
              </w:rPr>
              <w:t>SEC reporting</w:t>
            </w:r>
          </w:p>
        </w:tc>
        <w:tc>
          <w:tcPr>
            <w:tcW w:w="28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color w:val="BF5B5A"/>
              </w:rPr>
              <w:t>•</w:t>
            </w:r>
          </w:p>
        </w:tc>
        <w:tc>
          <w:tcPr>
            <w:tcW w:w="1320" w:type="dxa"/>
            <w:vAlign w:val="bottom"/>
            <w:vMerge w:val="restart"/>
          </w:tcPr>
          <w:p>
            <w:pPr>
              <w:ind w:left="60"/>
              <w:spacing w:after="0"/>
              <w:rPr>
                <w:sz w:val="20"/>
                <w:szCs w:val="20"/>
                <w:color w:val="auto"/>
              </w:rPr>
            </w:pPr>
            <w:r>
              <w:rPr>
                <w:rFonts w:ascii="Arial" w:cs="Arial" w:eastAsia="Arial" w:hAnsi="Arial"/>
                <w:sz w:val="15"/>
                <w:szCs w:val="15"/>
                <w:color w:val="auto"/>
              </w:rPr>
              <w:t>Reviews and</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manages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enterprise risk</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appetite and</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control</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environment and</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recommends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enhancements</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BF5B5A"/>
              </w:rPr>
              <w:t>•</w:t>
            </w:r>
          </w:p>
        </w:tc>
        <w:tc>
          <w:tcPr>
            <w:tcW w:w="1320" w:type="dxa"/>
            <w:vAlign w:val="bottom"/>
          </w:tcPr>
          <w:p>
            <w:pPr>
              <w:ind w:left="60"/>
              <w:spacing w:after="0"/>
              <w:rPr>
                <w:sz w:val="20"/>
                <w:szCs w:val="20"/>
                <w:color w:val="auto"/>
              </w:rPr>
            </w:pPr>
            <w:r>
              <w:rPr>
                <w:rFonts w:ascii="Arial" w:cs="Arial" w:eastAsia="Arial" w:hAnsi="Arial"/>
                <w:sz w:val="15"/>
                <w:szCs w:val="15"/>
                <w:color w:val="auto"/>
              </w:rPr>
              <w:t>Supervises</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5"/>
                <w:szCs w:val="15"/>
                <w:color w:val="auto"/>
              </w:rPr>
              <w:t>enterprise risk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-1812925</wp:posOffset>
            </wp:positionV>
            <wp:extent cx="2280285" cy="22371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0285" cy="223710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5"/>
          <w:szCs w:val="15"/>
          <w:color w:val="auto"/>
        </w:rPr>
        <w:t>assessments,</w:t>
      </w:r>
    </w:p>
    <w:p>
      <w:pPr>
        <w:spacing w:after="0" w:line="30"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incorporating ESG</w:t>
      </w:r>
    </w:p>
    <w:p>
      <w:pPr>
        <w:spacing w:after="0" w:line="30"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46990</wp:posOffset>
            </wp:positionV>
            <wp:extent cx="22802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1480" w:type="dxa"/>
            <w:vAlign w:val="bottom"/>
          </w:tcPr>
          <w:p>
            <w:pPr>
              <w:ind w:left="200"/>
              <w:spacing w:after="0"/>
              <w:rPr>
                <w:sz w:val="20"/>
                <w:szCs w:val="20"/>
                <w:color w:val="auto"/>
              </w:rPr>
            </w:pPr>
            <w:r>
              <w:rPr>
                <w:rFonts w:ascii="Arial" w:cs="Arial" w:eastAsia="Arial" w:hAnsi="Arial"/>
                <w:sz w:val="15"/>
                <w:szCs w:val="15"/>
                <w:b w:val="1"/>
                <w:bCs w:val="1"/>
                <w:color w:val="FFFFFF"/>
              </w:rPr>
              <w:t>Asset/Liability</w:t>
            </w:r>
          </w:p>
        </w:tc>
        <w:tc>
          <w:tcPr>
            <w:tcW w:w="2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1480" w:type="dxa"/>
            <w:vAlign w:val="bottom"/>
          </w:tcPr>
          <w:p>
            <w:pPr>
              <w:ind w:left="200"/>
              <w:spacing w:after="0"/>
              <w:rPr>
                <w:sz w:val="20"/>
                <w:szCs w:val="20"/>
                <w:color w:val="auto"/>
              </w:rPr>
            </w:pPr>
            <w:r>
              <w:rPr>
                <w:rFonts w:ascii="Arial" w:cs="Arial" w:eastAsia="Arial" w:hAnsi="Arial"/>
                <w:sz w:val="15"/>
                <w:szCs w:val="15"/>
                <w:b w:val="1"/>
                <w:bCs w:val="1"/>
                <w:color w:val="FFFFFF"/>
              </w:rPr>
              <w:t>Management</w:t>
            </w:r>
          </w:p>
        </w:tc>
        <w:tc>
          <w:tcPr>
            <w:tcW w:w="220" w:type="dxa"/>
            <w:vAlign w:val="bottom"/>
          </w:tcPr>
          <w:p>
            <w:pPr>
              <w:spacing w:after="0"/>
              <w:rPr>
                <w:sz w:val="17"/>
                <w:szCs w:val="17"/>
                <w:color w:val="auto"/>
              </w:rPr>
            </w:pPr>
          </w:p>
        </w:tc>
      </w:tr>
      <w:tr>
        <w:trPr>
          <w:trHeight w:val="204"/>
        </w:trPr>
        <w:tc>
          <w:tcPr>
            <w:tcW w:w="120" w:type="dxa"/>
            <w:vAlign w:val="bottom"/>
          </w:tcPr>
          <w:p>
            <w:pPr>
              <w:spacing w:after="0"/>
              <w:rPr>
                <w:sz w:val="20"/>
                <w:szCs w:val="20"/>
                <w:color w:val="auto"/>
              </w:rPr>
            </w:pPr>
            <w:r>
              <w:rPr>
                <w:rFonts w:ascii="Arial" w:cs="Arial" w:eastAsia="Arial" w:hAnsi="Arial"/>
                <w:sz w:val="15"/>
                <w:szCs w:val="15"/>
                <w:b w:val="1"/>
                <w:bCs w:val="1"/>
                <w:color w:val="FFFFFF"/>
              </w:rPr>
              <w:t>​</w:t>
            </w:r>
          </w:p>
        </w:tc>
        <w:tc>
          <w:tcPr>
            <w:tcW w:w="1480" w:type="dxa"/>
            <w:vAlign w:val="bottom"/>
          </w:tcPr>
          <w:p>
            <w:pPr>
              <w:ind w:left="100"/>
              <w:spacing w:after="0" w:line="204"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3"/>
                <w:szCs w:val="13"/>
                <w:b w:val="1"/>
                <w:bCs w:val="1"/>
                <w:color w:val="FFFFFF"/>
              </w:rPr>
              <w:t xml:space="preserve"> Committee</w:t>
            </w:r>
          </w:p>
        </w:tc>
        <w:tc>
          <w:tcPr>
            <w:tcW w:w="220" w:type="dxa"/>
            <w:vAlign w:val="bottom"/>
          </w:tcPr>
          <w:p>
            <w:pPr>
              <w:ind w:left="180"/>
              <w:spacing w:after="0"/>
              <w:rPr>
                <w:sz w:val="20"/>
                <w:szCs w:val="20"/>
                <w:color w:val="auto"/>
              </w:rPr>
            </w:pPr>
            <w:r>
              <w:rPr>
                <w:rFonts w:ascii="Arial" w:cs="Arial" w:eastAsia="Arial" w:hAnsi="Arial"/>
                <w:sz w:val="15"/>
                <w:szCs w:val="15"/>
                <w:b w:val="1"/>
                <w:bCs w:val="1"/>
                <w:color w:val="FFFFFF"/>
              </w:rPr>
              <w:t>​</w:t>
            </w:r>
          </w:p>
        </w:tc>
      </w:tr>
      <w:tr>
        <w:trPr>
          <w:trHeight w:val="227"/>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480" w:type="dxa"/>
            <w:vAlign w:val="bottom"/>
          </w:tcPr>
          <w:p>
            <w:pPr>
              <w:ind w:left="10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color w:val="BF5B5A"/>
              </w:rPr>
              <w:t>•</w:t>
            </w:r>
            <w:r>
              <w:rPr>
                <w:rFonts w:ascii="Arial" w:cs="Arial" w:eastAsia="Arial" w:hAnsi="Arial"/>
                <w:sz w:val="15"/>
                <w:szCs w:val="15"/>
                <w:color w:val="auto"/>
              </w:rPr>
              <w:t xml:space="preserve"> Monitors and</w:t>
            </w:r>
          </w:p>
        </w:tc>
        <w:tc>
          <w:tcPr>
            <w:tcW w:w="220" w:type="dxa"/>
            <w:vAlign w:val="bottom"/>
          </w:tcPr>
          <w:p>
            <w:pPr>
              <w:ind w:left="1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-132715</wp:posOffset>
            </wp:positionV>
            <wp:extent cx="1045845" cy="22371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45845" cy="2237105"/>
                    </a:xfrm>
                    <a:prstGeom prst="rect">
                      <a:avLst/>
                    </a:prstGeom>
                    <a:noFill/>
                  </pic:spPr>
                </pic:pic>
              </a:graphicData>
            </a:graphic>
          </wp:anchor>
        </w:drawing>
      </w:r>
    </w:p>
    <w:p>
      <w:pPr>
        <w:ind w:left="520" w:right="280"/>
        <w:spacing w:after="0" w:line="291" w:lineRule="auto"/>
        <w:rPr>
          <w:sz w:val="20"/>
          <w:szCs w:val="20"/>
          <w:color w:val="auto"/>
        </w:rPr>
      </w:pPr>
      <w:r>
        <w:rPr>
          <w:rFonts w:ascii="Arial" w:cs="Arial" w:eastAsia="Arial" w:hAnsi="Arial"/>
          <w:sz w:val="15"/>
          <w:szCs w:val="15"/>
          <w:color w:val="auto"/>
        </w:rPr>
        <w:t>manages risk appetite framework with respect to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1438910</wp:posOffset>
            </wp:positionV>
            <wp:extent cx="10458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391" w:lineRule="exact"/>
        <w:rPr>
          <w:sz w:val="20"/>
          <w:szCs w:val="20"/>
          <w:color w:val="auto"/>
        </w:rPr>
      </w:pPr>
    </w:p>
    <w:p>
      <w:pPr>
        <w:sectPr>
          <w:pgSz w:w="11900" w:h="16838" w:orient="portrait"/>
          <w:cols w:equalWidth="0" w:num="3">
            <w:col w:w="4200" w:space="100"/>
            <w:col w:w="3660" w:space="140"/>
            <w:col w:w="1860"/>
          </w:cols>
          <w:pgMar w:left="580" w:top="97" w:right="135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10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Stakeholder Engagement</w:t>
      </w:r>
    </w:p>
    <w:p>
      <w:pPr>
        <w:spacing w:after="0" w:line="177" w:lineRule="exact"/>
        <w:rPr>
          <w:sz w:val="20"/>
          <w:szCs w:val="20"/>
          <w:color w:val="auto"/>
        </w:rPr>
      </w:pPr>
    </w:p>
    <w:p>
      <w:pPr>
        <w:ind w:left="780" w:right="160"/>
        <w:spacing w:after="0" w:line="283" w:lineRule="auto"/>
        <w:rPr>
          <w:sz w:val="20"/>
          <w:szCs w:val="20"/>
          <w:color w:val="auto"/>
        </w:rPr>
      </w:pPr>
      <w:r>
        <w:rPr>
          <w:rFonts w:ascii="Arial" w:cs="Arial" w:eastAsia="Arial" w:hAnsi="Arial"/>
          <w:sz w:val="18"/>
          <w:szCs w:val="18"/>
          <w:color w:val="auto"/>
        </w:rPr>
        <w:t>We believe that engaging with our stakeholders should be a long-term, ongoing and two-way communication process. We proactively seek out opportunities that allow us to exchange information with our stakeholders about our respective viewpoints, strategies and practices, including those related to environmental, social and governance initiatives. Key stakeholders include our stockholders, our customers, our employees, our regulators and other policy-makers and the communities we serve.</w:t>
      </w:r>
    </w:p>
    <w:p>
      <w:pPr>
        <w:spacing w:after="0" w:line="103" w:lineRule="exact"/>
        <w:rPr>
          <w:sz w:val="20"/>
          <w:szCs w:val="20"/>
          <w:color w:val="auto"/>
        </w:rPr>
      </w:pPr>
    </w:p>
    <w:p>
      <w:pPr>
        <w:ind w:left="780" w:right="100"/>
        <w:spacing w:after="0" w:line="279" w:lineRule="auto"/>
        <w:rPr>
          <w:sz w:val="20"/>
          <w:szCs w:val="20"/>
          <w:color w:val="auto"/>
        </w:rPr>
      </w:pPr>
      <w:r>
        <w:rPr>
          <w:rFonts w:ascii="Arial" w:cs="Arial" w:eastAsia="Arial" w:hAnsi="Arial"/>
          <w:sz w:val="18"/>
          <w:szCs w:val="18"/>
          <w:color w:val="auto"/>
        </w:rPr>
        <w:t>Beyond these engagements, First Hawaiian Inc. also actively participates in several industry groups, including groups and task forces established through organizations such as the American Bankers Association and the Mid-Size Bank Coalition of America. These groups allow us to share ideas and discuss developments that further inform our own internal approach to ESG. Further details regarding our stakeholder engagement efforts can be found in our ESG Report and elsewhere in this Proxy Statement.</w:t>
      </w:r>
    </w:p>
    <w:p>
      <w:pPr>
        <w:spacing w:after="0" w:line="263"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Awards and Recognitions</w:t>
      </w:r>
    </w:p>
    <w:p>
      <w:pPr>
        <w:spacing w:after="0" w:line="19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2023, we collected the following accolades:</w:t>
      </w:r>
    </w:p>
    <w:p>
      <w:pPr>
        <w:spacing w:after="0" w:line="210" w:lineRule="exact"/>
        <w:rPr>
          <w:sz w:val="20"/>
          <w:szCs w:val="20"/>
          <w:color w:val="auto"/>
        </w:rPr>
      </w:pPr>
    </w:p>
    <w:tbl>
      <w:tblPr>
        <w:tblLayout w:type="fixed"/>
        <w:tblInd w:w="790" w:type="dxa"/>
        <w:tblCellMar>
          <w:top w:w="0" w:type="dxa"/>
          <w:left w:w="0" w:type="dxa"/>
          <w:bottom w:w="0" w:type="dxa"/>
          <w:right w:w="0" w:type="dxa"/>
        </w:tblCellMar>
      </w:tblPr>
      <w:tr>
        <w:trPr>
          <w:trHeight w:val="431"/>
        </w:trPr>
        <w:tc>
          <w:tcPr>
            <w:tcW w:w="160" w:type="dxa"/>
            <w:vAlign w:val="bottom"/>
            <w:tcBorders>
              <w:top w:val="single" w:sz="8" w:color="BF5B5A"/>
              <w:left w:val="single" w:sz="8" w:color="BF5B5A"/>
            </w:tcBorders>
          </w:tcPr>
          <w:p>
            <w:pPr>
              <w:ind w:left="20"/>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BF5B5A"/>
              </w:rPr>
              <w:t>•</w:t>
            </w:r>
          </w:p>
        </w:tc>
        <w:tc>
          <w:tcPr>
            <w:tcW w:w="3740" w:type="dxa"/>
            <w:vAlign w:val="bottom"/>
            <w:tcBorders>
              <w:top w:val="single" w:sz="8" w:color="BF5B5A"/>
            </w:tcBorders>
          </w:tcPr>
          <w:p>
            <w:pPr>
              <w:ind w:left="60"/>
              <w:spacing w:after="0"/>
              <w:rPr>
                <w:sz w:val="20"/>
                <w:szCs w:val="20"/>
                <w:color w:val="auto"/>
              </w:rPr>
            </w:pPr>
            <w:r>
              <w:rPr>
                <w:rFonts w:ascii="Arial" w:cs="Arial" w:eastAsia="Arial" w:hAnsi="Arial"/>
                <w:sz w:val="16"/>
                <w:szCs w:val="16"/>
                <w:i w:val="1"/>
                <w:iCs w:val="1"/>
                <w:color w:val="auto"/>
              </w:rPr>
              <w:t>Forbes</w:t>
            </w:r>
          </w:p>
        </w:tc>
        <w:tc>
          <w:tcPr>
            <w:tcW w:w="700" w:type="dxa"/>
            <w:vAlign w:val="bottom"/>
            <w:tcBorders>
              <w:top w:val="single" w:sz="8" w:color="BF5B5A"/>
              <w:right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BF5B5A"/>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BF5B5A"/>
              </w:rPr>
              <w:t xml:space="preserve"> •</w:t>
            </w:r>
          </w:p>
        </w:tc>
        <w:tc>
          <w:tcPr>
            <w:tcW w:w="3780" w:type="dxa"/>
            <w:vAlign w:val="bottom"/>
            <w:tcBorders>
              <w:top w:val="single" w:sz="8" w:color="BF5B5A"/>
            </w:tcBorders>
          </w:tcPr>
          <w:p>
            <w:pPr>
              <w:ind w:left="40"/>
              <w:spacing w:after="0"/>
              <w:rPr>
                <w:sz w:val="20"/>
                <w:szCs w:val="20"/>
                <w:color w:val="auto"/>
              </w:rPr>
            </w:pPr>
            <w:r>
              <w:rPr>
                <w:rFonts w:ascii="Arial" w:cs="Arial" w:eastAsia="Arial" w:hAnsi="Arial"/>
                <w:sz w:val="16"/>
                <w:szCs w:val="16"/>
                <w:i w:val="1"/>
                <w:iCs w:val="1"/>
                <w:color w:val="auto"/>
              </w:rPr>
              <w:t xml:space="preserve">Hawaii Business </w:t>
            </w:r>
            <w:r>
              <w:rPr>
                <w:rFonts w:ascii="Arial" w:cs="Arial" w:eastAsia="Arial" w:hAnsi="Arial"/>
                <w:sz w:val="16"/>
                <w:szCs w:val="16"/>
                <w:color w:val="auto"/>
              </w:rPr>
              <w:t>magazine</w:t>
            </w:r>
          </w:p>
        </w:tc>
        <w:tc>
          <w:tcPr>
            <w:tcW w:w="600" w:type="dxa"/>
            <w:vAlign w:val="bottom"/>
            <w:tcBorders>
              <w:top w:val="single" w:sz="8" w:color="BF5B5A"/>
              <w:right w:val="single" w:sz="8" w:color="BF5B5A"/>
            </w:tcBorders>
          </w:tcPr>
          <w:p>
            <w:pPr>
              <w:ind w:left="540"/>
              <w:spacing w:after="0"/>
              <w:rPr>
                <w:sz w:val="20"/>
                <w:szCs w:val="20"/>
                <w:color w:val="auto"/>
              </w:rPr>
            </w:pPr>
            <w:r>
              <w:rPr>
                <w:rFonts w:ascii="Arial" w:cs="Arial" w:eastAsia="Arial" w:hAnsi="Arial"/>
                <w:sz w:val="16"/>
                <w:szCs w:val="16"/>
                <w:color w:val="auto"/>
              </w:rPr>
              <w:t>​</w:t>
            </w:r>
          </w:p>
        </w:tc>
      </w:tr>
      <w:tr>
        <w:trPr>
          <w:trHeight w:val="223"/>
        </w:trPr>
        <w:tc>
          <w:tcPr>
            <w:tcW w:w="160" w:type="dxa"/>
            <w:vAlign w:val="bottom"/>
            <w:tcBorders>
              <w:left w:val="single" w:sz="8" w:color="BF5B5A"/>
            </w:tcBorders>
          </w:tcPr>
          <w:p>
            <w:pPr>
              <w:spacing w:after="0"/>
              <w:rPr>
                <w:sz w:val="19"/>
                <w:szCs w:val="19"/>
                <w:color w:val="auto"/>
              </w:rPr>
            </w:pPr>
          </w:p>
        </w:tc>
        <w:tc>
          <w:tcPr>
            <w:tcW w:w="3740" w:type="dxa"/>
            <w:vAlign w:val="bottom"/>
          </w:tcPr>
          <w:p>
            <w:pPr>
              <w:jc w:val="center"/>
              <w:ind w:left="199"/>
              <w:spacing w:after="0"/>
              <w:rPr>
                <w:sz w:val="20"/>
                <w:szCs w:val="20"/>
                <w:color w:val="auto"/>
              </w:rPr>
            </w:pPr>
            <w:r>
              <w:rPr>
                <w:rFonts w:ascii="Arial" w:cs="Arial" w:eastAsia="Arial" w:hAnsi="Arial"/>
                <w:sz w:val="16"/>
                <w:szCs w:val="16"/>
                <w:b w:val="1"/>
                <w:bCs w:val="1"/>
                <w:color w:val="BF5B5A"/>
                <w:w w:val="93"/>
              </w:rPr>
              <w:t>America’s Best Banks</w:t>
            </w:r>
          </w:p>
        </w:tc>
        <w:tc>
          <w:tcPr>
            <w:tcW w:w="7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left="159"/>
              <w:spacing w:after="0"/>
              <w:rPr>
                <w:sz w:val="20"/>
                <w:szCs w:val="20"/>
                <w:color w:val="auto"/>
              </w:rPr>
            </w:pPr>
            <w:r>
              <w:rPr>
                <w:rFonts w:ascii="Arial" w:cs="Arial" w:eastAsia="Arial" w:hAnsi="Arial"/>
                <w:sz w:val="16"/>
                <w:szCs w:val="16"/>
                <w:b w:val="1"/>
                <w:bCs w:val="1"/>
                <w:color w:val="BF5B5A"/>
                <w:w w:val="94"/>
              </w:rPr>
              <w:t>Hawai’i’s Best Places to Work</w:t>
            </w:r>
          </w:p>
        </w:tc>
        <w:tc>
          <w:tcPr>
            <w:tcW w:w="600" w:type="dxa"/>
            <w:vAlign w:val="bottom"/>
            <w:tcBorders>
              <w:right w:val="single" w:sz="8" w:color="BF5B5A"/>
            </w:tcBorders>
          </w:tcPr>
          <w:p>
            <w:pPr>
              <w:spacing w:after="0"/>
              <w:rPr>
                <w:sz w:val="19"/>
                <w:szCs w:val="19"/>
                <w:color w:val="auto"/>
              </w:rPr>
            </w:pPr>
          </w:p>
        </w:tc>
      </w:tr>
      <w:tr>
        <w:trPr>
          <w:trHeight w:val="75"/>
        </w:trPr>
        <w:tc>
          <w:tcPr>
            <w:tcW w:w="160" w:type="dxa"/>
            <w:vAlign w:val="bottom"/>
            <w:tcBorders>
              <w:left w:val="single" w:sz="8" w:color="BF5B5A"/>
              <w:bottom w:val="single" w:sz="8" w:color="7F7F7F"/>
            </w:tcBorders>
          </w:tcPr>
          <w:p>
            <w:pPr>
              <w:spacing w:after="0"/>
              <w:rPr>
                <w:sz w:val="6"/>
                <w:szCs w:val="6"/>
                <w:color w:val="auto"/>
              </w:rPr>
            </w:pPr>
          </w:p>
        </w:tc>
        <w:tc>
          <w:tcPr>
            <w:tcW w:w="3740" w:type="dxa"/>
            <w:vAlign w:val="bottom"/>
            <w:tcBorders>
              <w:bottom w:val="single" w:sz="8" w:color="7F7F7F"/>
            </w:tcBorders>
          </w:tcPr>
          <w:p>
            <w:pPr>
              <w:spacing w:after="0"/>
              <w:rPr>
                <w:sz w:val="6"/>
                <w:szCs w:val="6"/>
                <w:color w:val="auto"/>
              </w:rPr>
            </w:pPr>
          </w:p>
        </w:tc>
        <w:tc>
          <w:tcPr>
            <w:tcW w:w="700" w:type="dxa"/>
            <w:vAlign w:val="bottom"/>
            <w:tcBorders>
              <w:bottom w:val="single" w:sz="8" w:color="7F7F7F"/>
              <w:right w:val="single" w:sz="8" w:color="auto"/>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3780" w:type="dxa"/>
            <w:vAlign w:val="bottom"/>
            <w:tcBorders>
              <w:bottom w:val="single" w:sz="8" w:color="7F7F7F"/>
            </w:tcBorders>
          </w:tcPr>
          <w:p>
            <w:pPr>
              <w:spacing w:after="0"/>
              <w:rPr>
                <w:sz w:val="6"/>
                <w:szCs w:val="6"/>
                <w:color w:val="auto"/>
              </w:rPr>
            </w:pPr>
          </w:p>
        </w:tc>
        <w:tc>
          <w:tcPr>
            <w:tcW w:w="600" w:type="dxa"/>
            <w:vAlign w:val="bottom"/>
            <w:tcBorders>
              <w:bottom w:val="single" w:sz="8" w:color="7F7F7F"/>
              <w:right w:val="single" w:sz="8" w:color="BF5B5A"/>
            </w:tcBorders>
          </w:tcPr>
          <w:p>
            <w:pPr>
              <w:spacing w:after="0"/>
              <w:rPr>
                <w:sz w:val="6"/>
                <w:szCs w:val="6"/>
                <w:color w:val="auto"/>
              </w:rPr>
            </w:pPr>
          </w:p>
        </w:tc>
      </w:tr>
      <w:tr>
        <w:trPr>
          <w:trHeight w:val="411"/>
        </w:trPr>
        <w:tc>
          <w:tcPr>
            <w:tcW w:w="160" w:type="dxa"/>
            <w:vAlign w:val="bottom"/>
            <w:tcBorders>
              <w:left w:val="single" w:sz="8" w:color="BF5B5A"/>
            </w:tcBorders>
          </w:tcPr>
          <w:p>
            <w:pPr>
              <w:ind w:left="20"/>
              <w:spacing w:after="0"/>
              <w:rPr>
                <w:sz w:val="20"/>
                <w:szCs w:val="20"/>
                <w:color w:val="auto"/>
              </w:rPr>
            </w:pPr>
            <w:r>
              <w:rPr>
                <w:rFonts w:ascii="Arial" w:cs="Arial" w:eastAsia="Arial" w:hAnsi="Arial"/>
                <w:sz w:val="16"/>
                <w:szCs w:val="16"/>
                <w:color w:val="BF5B5A"/>
              </w:rPr>
              <w:t>​</w:t>
            </w:r>
            <w:r>
              <w:rPr>
                <w:rFonts w:ascii="Arial" w:cs="Arial" w:eastAsia="Arial" w:hAnsi="Arial"/>
                <w:sz w:val="32"/>
                <w:szCs w:val="32"/>
                <w:color w:val="BF5B5A"/>
                <w:vertAlign w:val="subscript"/>
              </w:rPr>
              <w:t>•</w:t>
            </w:r>
          </w:p>
        </w:tc>
        <w:tc>
          <w:tcPr>
            <w:tcW w:w="3740" w:type="dxa"/>
            <w:vAlign w:val="bottom"/>
          </w:tcPr>
          <w:p>
            <w:pPr>
              <w:ind w:left="60"/>
              <w:spacing w:after="0"/>
              <w:rPr>
                <w:sz w:val="20"/>
                <w:szCs w:val="20"/>
                <w:color w:val="auto"/>
              </w:rPr>
            </w:pPr>
            <w:r>
              <w:rPr>
                <w:rFonts w:ascii="Arial" w:cs="Arial" w:eastAsia="Arial" w:hAnsi="Arial"/>
                <w:sz w:val="16"/>
                <w:szCs w:val="16"/>
                <w:i w:val="1"/>
                <w:iCs w:val="1"/>
                <w:color w:val="auto"/>
              </w:rPr>
              <w:t>Forbes</w:t>
            </w:r>
          </w:p>
        </w:tc>
        <w:tc>
          <w:tcPr>
            <w:tcW w:w="7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BF5B5A"/>
              </w:rPr>
              <w:t>​</w:t>
            </w:r>
          </w:p>
        </w:tc>
        <w:tc>
          <w:tcPr>
            <w:tcW w:w="200" w:type="dxa"/>
            <w:vAlign w:val="bottom"/>
          </w:tcPr>
          <w:p>
            <w:pPr>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32"/>
                <w:szCs w:val="32"/>
                <w:color w:val="BF5B5A"/>
                <w:vertAlign w:val="subscript"/>
              </w:rPr>
              <w:t>•</w:t>
            </w:r>
          </w:p>
        </w:tc>
        <w:tc>
          <w:tcPr>
            <w:tcW w:w="3780" w:type="dxa"/>
            <w:vAlign w:val="bottom"/>
          </w:tcPr>
          <w:p>
            <w:pPr>
              <w:ind w:left="40"/>
              <w:spacing w:after="0"/>
              <w:rPr>
                <w:sz w:val="20"/>
                <w:szCs w:val="20"/>
                <w:color w:val="auto"/>
              </w:rPr>
            </w:pPr>
            <w:r>
              <w:rPr>
                <w:rFonts w:ascii="Arial" w:cs="Arial" w:eastAsia="Arial" w:hAnsi="Arial"/>
                <w:sz w:val="16"/>
                <w:szCs w:val="16"/>
                <w:i w:val="1"/>
                <w:iCs w:val="1"/>
                <w:color w:val="auto"/>
              </w:rPr>
              <w:t>Newsweek</w:t>
            </w:r>
          </w:p>
        </w:tc>
        <w:tc>
          <w:tcPr>
            <w:tcW w:w="600" w:type="dxa"/>
            <w:vAlign w:val="bottom"/>
            <w:tcBorders>
              <w:right w:val="single" w:sz="8" w:color="BF5B5A"/>
            </w:tcBorders>
          </w:tcPr>
          <w:p>
            <w:pPr>
              <w:ind w:left="540"/>
              <w:spacing w:after="0"/>
              <w:rPr>
                <w:sz w:val="20"/>
                <w:szCs w:val="20"/>
                <w:color w:val="auto"/>
              </w:rPr>
            </w:pPr>
            <w:r>
              <w:rPr>
                <w:rFonts w:ascii="Arial" w:cs="Arial" w:eastAsia="Arial" w:hAnsi="Arial"/>
                <w:sz w:val="16"/>
                <w:szCs w:val="16"/>
                <w:color w:val="BF5B5A"/>
              </w:rPr>
              <w:t>​</w:t>
            </w:r>
          </w:p>
        </w:tc>
      </w:tr>
      <w:tr>
        <w:trPr>
          <w:trHeight w:val="223"/>
        </w:trPr>
        <w:tc>
          <w:tcPr>
            <w:tcW w:w="160" w:type="dxa"/>
            <w:vAlign w:val="bottom"/>
            <w:tcBorders>
              <w:left w:val="single" w:sz="8" w:color="BF5B5A"/>
            </w:tcBorders>
          </w:tcPr>
          <w:p>
            <w:pPr>
              <w:spacing w:after="0"/>
              <w:rPr>
                <w:sz w:val="19"/>
                <w:szCs w:val="19"/>
                <w:color w:val="auto"/>
              </w:rPr>
            </w:pPr>
          </w:p>
        </w:tc>
        <w:tc>
          <w:tcPr>
            <w:tcW w:w="3740" w:type="dxa"/>
            <w:vAlign w:val="bottom"/>
          </w:tcPr>
          <w:p>
            <w:pPr>
              <w:jc w:val="center"/>
              <w:ind w:left="199"/>
              <w:spacing w:after="0"/>
              <w:rPr>
                <w:sz w:val="20"/>
                <w:szCs w:val="20"/>
                <w:color w:val="auto"/>
              </w:rPr>
            </w:pPr>
            <w:r>
              <w:rPr>
                <w:rFonts w:ascii="Arial" w:cs="Arial" w:eastAsia="Arial" w:hAnsi="Arial"/>
                <w:sz w:val="16"/>
                <w:szCs w:val="16"/>
                <w:b w:val="1"/>
                <w:bCs w:val="1"/>
                <w:color w:val="BF5B5A"/>
                <w:w w:val="94"/>
              </w:rPr>
              <w:t>Best Banks in the World</w:t>
            </w:r>
          </w:p>
        </w:tc>
        <w:tc>
          <w:tcPr>
            <w:tcW w:w="7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jc w:val="center"/>
              <w:ind w:left="139"/>
              <w:spacing w:after="0"/>
              <w:rPr>
                <w:sz w:val="20"/>
                <w:szCs w:val="20"/>
                <w:color w:val="auto"/>
              </w:rPr>
            </w:pPr>
            <w:r>
              <w:rPr>
                <w:rFonts w:ascii="Arial" w:cs="Arial" w:eastAsia="Arial" w:hAnsi="Arial"/>
                <w:sz w:val="16"/>
                <w:szCs w:val="16"/>
                <w:b w:val="1"/>
                <w:bCs w:val="1"/>
                <w:color w:val="BF5B5A"/>
                <w:w w:val="94"/>
              </w:rPr>
              <w:t>Best Big Bank in Hawai’i</w:t>
            </w:r>
          </w:p>
        </w:tc>
        <w:tc>
          <w:tcPr>
            <w:tcW w:w="600" w:type="dxa"/>
            <w:vAlign w:val="bottom"/>
            <w:tcBorders>
              <w:right w:val="single" w:sz="8" w:color="BF5B5A"/>
            </w:tcBorders>
          </w:tcPr>
          <w:p>
            <w:pPr>
              <w:spacing w:after="0"/>
              <w:rPr>
                <w:sz w:val="19"/>
                <w:szCs w:val="19"/>
                <w:color w:val="auto"/>
              </w:rPr>
            </w:pPr>
          </w:p>
        </w:tc>
      </w:tr>
      <w:tr>
        <w:trPr>
          <w:trHeight w:val="75"/>
        </w:trPr>
        <w:tc>
          <w:tcPr>
            <w:tcW w:w="160" w:type="dxa"/>
            <w:vAlign w:val="bottom"/>
            <w:tcBorders>
              <w:left w:val="single" w:sz="8" w:color="BF5B5A"/>
              <w:bottom w:val="single" w:sz="8" w:color="7F7F7F"/>
            </w:tcBorders>
          </w:tcPr>
          <w:p>
            <w:pPr>
              <w:spacing w:after="0"/>
              <w:rPr>
                <w:sz w:val="6"/>
                <w:szCs w:val="6"/>
                <w:color w:val="auto"/>
              </w:rPr>
            </w:pPr>
          </w:p>
        </w:tc>
        <w:tc>
          <w:tcPr>
            <w:tcW w:w="3740" w:type="dxa"/>
            <w:vAlign w:val="bottom"/>
            <w:tcBorders>
              <w:bottom w:val="single" w:sz="8" w:color="7F7F7F"/>
            </w:tcBorders>
          </w:tcPr>
          <w:p>
            <w:pPr>
              <w:spacing w:after="0"/>
              <w:rPr>
                <w:sz w:val="6"/>
                <w:szCs w:val="6"/>
                <w:color w:val="auto"/>
              </w:rPr>
            </w:pPr>
          </w:p>
        </w:tc>
        <w:tc>
          <w:tcPr>
            <w:tcW w:w="700" w:type="dxa"/>
            <w:vAlign w:val="bottom"/>
            <w:tcBorders>
              <w:bottom w:val="single" w:sz="8" w:color="7F7F7F"/>
              <w:right w:val="single" w:sz="8" w:color="auto"/>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3780" w:type="dxa"/>
            <w:vAlign w:val="bottom"/>
            <w:tcBorders>
              <w:bottom w:val="single" w:sz="8" w:color="7F7F7F"/>
            </w:tcBorders>
          </w:tcPr>
          <w:p>
            <w:pPr>
              <w:spacing w:after="0"/>
              <w:rPr>
                <w:sz w:val="6"/>
                <w:szCs w:val="6"/>
                <w:color w:val="auto"/>
              </w:rPr>
            </w:pPr>
          </w:p>
        </w:tc>
        <w:tc>
          <w:tcPr>
            <w:tcW w:w="600" w:type="dxa"/>
            <w:vAlign w:val="bottom"/>
            <w:tcBorders>
              <w:bottom w:val="single" w:sz="8" w:color="7F7F7F"/>
              <w:right w:val="single" w:sz="8" w:color="BF5B5A"/>
            </w:tcBorders>
          </w:tcPr>
          <w:p>
            <w:pPr>
              <w:spacing w:after="0"/>
              <w:rPr>
                <w:sz w:val="6"/>
                <w:szCs w:val="6"/>
                <w:color w:val="auto"/>
              </w:rPr>
            </w:pPr>
          </w:p>
        </w:tc>
      </w:tr>
      <w:tr>
        <w:trPr>
          <w:trHeight w:val="411"/>
        </w:trPr>
        <w:tc>
          <w:tcPr>
            <w:tcW w:w="160" w:type="dxa"/>
            <w:vAlign w:val="bottom"/>
            <w:tcBorders>
              <w:left w:val="single" w:sz="8" w:color="BF5B5A"/>
            </w:tcBorders>
          </w:tcPr>
          <w:p>
            <w:pPr>
              <w:ind w:left="20"/>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BF5B5A"/>
              </w:rPr>
              <w:t>•</w:t>
            </w:r>
          </w:p>
        </w:tc>
        <w:tc>
          <w:tcPr>
            <w:tcW w:w="3740" w:type="dxa"/>
            <w:vAlign w:val="bottom"/>
          </w:tcPr>
          <w:p>
            <w:pPr>
              <w:ind w:left="60"/>
              <w:spacing w:after="0"/>
              <w:rPr>
                <w:sz w:val="20"/>
                <w:szCs w:val="20"/>
                <w:color w:val="auto"/>
              </w:rPr>
            </w:pPr>
            <w:r>
              <w:rPr>
                <w:rFonts w:ascii="Arial" w:cs="Arial" w:eastAsia="Arial" w:hAnsi="Arial"/>
                <w:sz w:val="16"/>
                <w:szCs w:val="16"/>
                <w:color w:val="auto"/>
              </w:rPr>
              <w:t>SBA 504 Loan Program</w:t>
            </w:r>
          </w:p>
        </w:tc>
        <w:tc>
          <w:tcPr>
            <w:tcW w:w="7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BF5B5A"/>
              </w:rPr>
              <w:t xml:space="preserve"> •</w:t>
            </w:r>
          </w:p>
        </w:tc>
        <w:tc>
          <w:tcPr>
            <w:tcW w:w="3780" w:type="dxa"/>
            <w:vAlign w:val="bottom"/>
          </w:tcPr>
          <w:p>
            <w:pPr>
              <w:ind w:left="40"/>
              <w:spacing w:after="0"/>
              <w:rPr>
                <w:sz w:val="20"/>
                <w:szCs w:val="20"/>
                <w:color w:val="auto"/>
              </w:rPr>
            </w:pPr>
            <w:r>
              <w:rPr>
                <w:rFonts w:ascii="Arial" w:cs="Arial" w:eastAsia="Arial" w:hAnsi="Arial"/>
                <w:sz w:val="16"/>
                <w:szCs w:val="16"/>
                <w:color w:val="auto"/>
              </w:rPr>
              <w:t>Small Business Administration (SBA)</w:t>
            </w:r>
          </w:p>
        </w:tc>
        <w:tc>
          <w:tcPr>
            <w:tcW w:w="600" w:type="dxa"/>
            <w:vAlign w:val="bottom"/>
            <w:tcBorders>
              <w:right w:val="single" w:sz="8" w:color="BF5B5A"/>
            </w:tcBorders>
          </w:tcPr>
          <w:p>
            <w:pPr>
              <w:ind w:left="540"/>
              <w:spacing w:after="0"/>
              <w:rPr>
                <w:sz w:val="20"/>
                <w:szCs w:val="20"/>
                <w:color w:val="auto"/>
              </w:rPr>
            </w:pPr>
            <w:r>
              <w:rPr>
                <w:rFonts w:ascii="Arial" w:cs="Arial" w:eastAsia="Arial" w:hAnsi="Arial"/>
                <w:sz w:val="16"/>
                <w:szCs w:val="16"/>
                <w:color w:val="auto"/>
              </w:rPr>
              <w:t>​</w:t>
            </w:r>
          </w:p>
        </w:tc>
      </w:tr>
      <w:tr>
        <w:trPr>
          <w:trHeight w:val="223"/>
        </w:trPr>
        <w:tc>
          <w:tcPr>
            <w:tcW w:w="160" w:type="dxa"/>
            <w:vAlign w:val="bottom"/>
            <w:tcBorders>
              <w:left w:val="single" w:sz="8" w:color="BF5B5A"/>
            </w:tcBorders>
          </w:tcPr>
          <w:p>
            <w:pPr>
              <w:spacing w:after="0"/>
              <w:rPr>
                <w:sz w:val="19"/>
                <w:szCs w:val="19"/>
                <w:color w:val="auto"/>
              </w:rPr>
            </w:pPr>
          </w:p>
        </w:tc>
        <w:tc>
          <w:tcPr>
            <w:tcW w:w="3740" w:type="dxa"/>
            <w:vAlign w:val="bottom"/>
          </w:tcPr>
          <w:p>
            <w:pPr>
              <w:jc w:val="center"/>
              <w:ind w:left="219"/>
              <w:spacing w:after="0"/>
              <w:rPr>
                <w:sz w:val="20"/>
                <w:szCs w:val="20"/>
                <w:color w:val="auto"/>
              </w:rPr>
            </w:pPr>
            <w:r>
              <w:rPr>
                <w:rFonts w:ascii="Arial" w:cs="Arial" w:eastAsia="Arial" w:hAnsi="Arial"/>
                <w:sz w:val="16"/>
                <w:szCs w:val="16"/>
                <w:b w:val="1"/>
                <w:bCs w:val="1"/>
                <w:color w:val="BF5B5A"/>
                <w:w w:val="94"/>
              </w:rPr>
              <w:t>Lender of the Year in Category 1</w:t>
            </w:r>
          </w:p>
        </w:tc>
        <w:tc>
          <w:tcPr>
            <w:tcW w:w="7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ind w:left="820"/>
              <w:spacing w:after="0"/>
              <w:rPr>
                <w:sz w:val="20"/>
                <w:szCs w:val="20"/>
                <w:color w:val="auto"/>
              </w:rPr>
            </w:pPr>
            <w:r>
              <w:rPr>
                <w:rFonts w:ascii="Arial" w:cs="Arial" w:eastAsia="Arial" w:hAnsi="Arial"/>
                <w:sz w:val="16"/>
                <w:szCs w:val="16"/>
                <w:b w:val="1"/>
                <w:bCs w:val="1"/>
                <w:color w:val="BF5B5A"/>
              </w:rPr>
              <w:t>Lender of the Year in Category 1</w:t>
            </w:r>
          </w:p>
        </w:tc>
        <w:tc>
          <w:tcPr>
            <w:tcW w:w="600" w:type="dxa"/>
            <w:vAlign w:val="bottom"/>
            <w:tcBorders>
              <w:right w:val="single" w:sz="8" w:color="BF5B5A"/>
            </w:tcBorders>
          </w:tcPr>
          <w:p>
            <w:pPr>
              <w:spacing w:after="0"/>
              <w:rPr>
                <w:sz w:val="19"/>
                <w:szCs w:val="19"/>
                <w:color w:val="auto"/>
              </w:rPr>
            </w:pPr>
          </w:p>
        </w:tc>
      </w:tr>
      <w:tr>
        <w:trPr>
          <w:trHeight w:val="75"/>
        </w:trPr>
        <w:tc>
          <w:tcPr>
            <w:tcW w:w="160" w:type="dxa"/>
            <w:vAlign w:val="bottom"/>
            <w:tcBorders>
              <w:left w:val="single" w:sz="8" w:color="BF5B5A"/>
              <w:bottom w:val="single" w:sz="8" w:color="7F7F7F"/>
            </w:tcBorders>
          </w:tcPr>
          <w:p>
            <w:pPr>
              <w:spacing w:after="0"/>
              <w:rPr>
                <w:sz w:val="6"/>
                <w:szCs w:val="6"/>
                <w:color w:val="auto"/>
              </w:rPr>
            </w:pPr>
          </w:p>
        </w:tc>
        <w:tc>
          <w:tcPr>
            <w:tcW w:w="3740" w:type="dxa"/>
            <w:vAlign w:val="bottom"/>
            <w:tcBorders>
              <w:bottom w:val="single" w:sz="8" w:color="7F7F7F"/>
            </w:tcBorders>
          </w:tcPr>
          <w:p>
            <w:pPr>
              <w:spacing w:after="0"/>
              <w:rPr>
                <w:sz w:val="6"/>
                <w:szCs w:val="6"/>
                <w:color w:val="auto"/>
              </w:rPr>
            </w:pPr>
          </w:p>
        </w:tc>
        <w:tc>
          <w:tcPr>
            <w:tcW w:w="700" w:type="dxa"/>
            <w:vAlign w:val="bottom"/>
            <w:tcBorders>
              <w:bottom w:val="single" w:sz="8" w:color="7F7F7F"/>
              <w:right w:val="single" w:sz="8" w:color="auto"/>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3780" w:type="dxa"/>
            <w:vAlign w:val="bottom"/>
            <w:tcBorders>
              <w:bottom w:val="single" w:sz="8" w:color="7F7F7F"/>
            </w:tcBorders>
          </w:tcPr>
          <w:p>
            <w:pPr>
              <w:spacing w:after="0"/>
              <w:rPr>
                <w:sz w:val="6"/>
                <w:szCs w:val="6"/>
                <w:color w:val="auto"/>
              </w:rPr>
            </w:pPr>
          </w:p>
        </w:tc>
        <w:tc>
          <w:tcPr>
            <w:tcW w:w="600" w:type="dxa"/>
            <w:vAlign w:val="bottom"/>
            <w:tcBorders>
              <w:bottom w:val="single" w:sz="8" w:color="7F7F7F"/>
              <w:right w:val="single" w:sz="8" w:color="BF5B5A"/>
            </w:tcBorders>
          </w:tcPr>
          <w:p>
            <w:pPr>
              <w:spacing w:after="0"/>
              <w:rPr>
                <w:sz w:val="6"/>
                <w:szCs w:val="6"/>
                <w:color w:val="auto"/>
              </w:rPr>
            </w:pPr>
          </w:p>
        </w:tc>
      </w:tr>
    </w:tbl>
    <w:p>
      <w:pPr>
        <w:spacing w:after="0" w:line="286"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Corporate Governance</w:t>
      </w:r>
    </w:p>
    <w:p>
      <w:pPr>
        <w:spacing w:after="0" w:line="177" w:lineRule="exact"/>
        <w:rPr>
          <w:sz w:val="20"/>
          <w:szCs w:val="20"/>
          <w:color w:val="auto"/>
        </w:rPr>
      </w:pPr>
    </w:p>
    <w:p>
      <w:pPr>
        <w:ind w:left="780" w:right="140"/>
        <w:spacing w:after="0" w:line="277" w:lineRule="auto"/>
        <w:rPr>
          <w:sz w:val="20"/>
          <w:szCs w:val="20"/>
          <w:color w:val="auto"/>
        </w:rPr>
      </w:pPr>
      <w:r>
        <w:rPr>
          <w:rFonts w:ascii="Arial" w:cs="Arial" w:eastAsia="Arial" w:hAnsi="Arial"/>
          <w:sz w:val="18"/>
          <w:szCs w:val="18"/>
          <w:color w:val="auto"/>
        </w:rPr>
        <w:t>First Hawaiian Inc.’s Board and executive management work together to comply with laws and regulations, as well as to provide guidance for sound decision-making and accountability. Maintaining legal and regulatory compliance is, however, a minimum standard, and we seek to exceed this standard by keeping pace with the constantly evolving governance landscape. We maintain an environment of openness and strive to protect our culture by promoting our core values of caring, character and collaboration. We believe that by living these values, our customers, stockholders, employees and communities will continue giving us their trust and confidence.</w:t>
      </w:r>
    </w:p>
    <w:p>
      <w:pPr>
        <w:spacing w:after="0" w:line="11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xml:space="preserve">The following documents are available at </w:t>
      </w:r>
      <w:r>
        <w:rPr>
          <w:rFonts w:ascii="Arial" w:cs="Arial" w:eastAsia="Arial" w:hAnsi="Arial"/>
          <w:sz w:val="18"/>
          <w:szCs w:val="18"/>
          <w:color w:val="BF5B5A"/>
        </w:rPr>
        <w:t>https://ir.fhb.com/corporate-governance/highlights</w:t>
      </w:r>
      <w:r>
        <w:rPr>
          <w:rFonts w:ascii="Arial" w:cs="Arial" w:eastAsia="Arial" w:hAnsi="Arial"/>
          <w:sz w:val="18"/>
          <w:szCs w:val="18"/>
          <w:color w:val="auto"/>
        </w:rPr>
        <w:t>:</w:t>
      </w:r>
    </w:p>
    <w:p>
      <w:pPr>
        <w:spacing w:after="0" w:line="104" w:lineRule="exact"/>
        <w:rPr>
          <w:sz w:val="20"/>
          <w:szCs w:val="20"/>
          <w:color w:val="auto"/>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Certificate of Incorporation</w:t>
      </w:r>
    </w:p>
    <w:p>
      <w:pPr>
        <w:spacing w:after="0" w:line="103"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Bylaws</w:t>
      </w:r>
    </w:p>
    <w:p>
      <w:pPr>
        <w:spacing w:after="0" w:line="90"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Corporate Governance Guidelines</w:t>
      </w:r>
    </w:p>
    <w:p>
      <w:pPr>
        <w:spacing w:after="0" w:line="103"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Audit Committee Charter</w:t>
      </w:r>
    </w:p>
    <w:p>
      <w:pPr>
        <w:spacing w:after="0" w:line="103"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Compensation Committee Charter</w:t>
      </w:r>
    </w:p>
    <w:p>
      <w:pPr>
        <w:spacing w:after="0" w:line="90"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Corporate Governance and Nominating Committee Charter</w:t>
      </w:r>
    </w:p>
    <w:p>
      <w:pPr>
        <w:spacing w:after="0" w:line="103"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Risk Committee Charter</w:t>
      </w:r>
    </w:p>
    <w:p>
      <w:pPr>
        <w:spacing w:after="0" w:line="103"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Code of Conduct and Ethics</w:t>
      </w:r>
    </w:p>
    <w:p>
      <w:pPr>
        <w:spacing w:after="0" w:line="90" w:lineRule="exact"/>
        <w:rPr>
          <w:rFonts w:ascii="Arial" w:cs="Arial" w:eastAsia="Arial" w:hAnsi="Arial"/>
          <w:sz w:val="18"/>
          <w:szCs w:val="18"/>
          <w:color w:val="BF5B5A"/>
        </w:rPr>
      </w:pPr>
    </w:p>
    <w:p>
      <w:pPr>
        <w:ind w:left="1420" w:hanging="280"/>
        <w:spacing w:after="0"/>
        <w:tabs>
          <w:tab w:leader="none" w:pos="1420" w:val="left"/>
        </w:tabs>
        <w:numPr>
          <w:ilvl w:val="0"/>
          <w:numId w:val="29"/>
        </w:numPr>
        <w:rPr>
          <w:rFonts w:ascii="Arial" w:cs="Arial" w:eastAsia="Arial" w:hAnsi="Arial"/>
          <w:sz w:val="18"/>
          <w:szCs w:val="18"/>
          <w:color w:val="BF5B5A"/>
        </w:rPr>
      </w:pPr>
      <w:r>
        <w:rPr>
          <w:rFonts w:ascii="Arial" w:cs="Arial" w:eastAsia="Arial" w:hAnsi="Arial"/>
          <w:sz w:val="18"/>
          <w:szCs w:val="18"/>
          <w:color w:val="auto"/>
        </w:rPr>
        <w:t>Clawback Policy for the Mandatory Recoupment Of Erroneously Awarded Incentive Compensation</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11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33" w:lineRule="exact"/>
        <w:rPr>
          <w:sz w:val="20"/>
          <w:szCs w:val="20"/>
          <w:color w:val="auto"/>
        </w:rPr>
      </w:pPr>
    </w:p>
    <w:p>
      <w:pPr>
        <w:jc w:val="both"/>
        <w:ind w:left="780" w:right="140"/>
        <w:spacing w:after="0" w:line="292" w:lineRule="auto"/>
        <w:rPr>
          <w:sz w:val="20"/>
          <w:szCs w:val="20"/>
          <w:color w:val="auto"/>
        </w:rPr>
      </w:pPr>
      <w:r>
        <w:rPr>
          <w:rFonts w:ascii="Arial" w:cs="Arial" w:eastAsia="Arial" w:hAnsi="Arial"/>
          <w:sz w:val="18"/>
          <w:szCs w:val="18"/>
          <w:color w:val="auto"/>
        </w:rPr>
        <w:t xml:space="preserve">Our ESG Report is available at: </w:t>
      </w:r>
      <w:r>
        <w:rPr>
          <w:rFonts w:ascii="Arial" w:cs="Arial" w:eastAsia="Arial" w:hAnsi="Arial"/>
          <w:sz w:val="18"/>
          <w:szCs w:val="18"/>
          <w:color w:val="BF5B5A"/>
        </w:rPr>
        <w:t>https://ir.fhb.com/corporate-responsibility</w:t>
      </w:r>
      <w:r>
        <w:rPr>
          <w:rFonts w:ascii="Arial" w:cs="Arial" w:eastAsia="Arial" w:hAnsi="Arial"/>
          <w:sz w:val="18"/>
          <w:szCs w:val="18"/>
          <w:color w:val="auto"/>
        </w:rPr>
        <w:t xml:space="preserve">, and our Proxy Statement, our 2023 Annual Report to Stockholders and our Annual Report on Form 10-K for the year ended December 31, 2023, are available at </w:t>
      </w:r>
      <w:r>
        <w:rPr>
          <w:rFonts w:ascii="Arial" w:cs="Arial" w:eastAsia="Arial" w:hAnsi="Arial"/>
          <w:sz w:val="18"/>
          <w:szCs w:val="18"/>
          <w:color w:val="BF5B5A"/>
        </w:rPr>
        <w:t>https://proxy.fhb.com</w:t>
      </w:r>
      <w:r>
        <w:rPr>
          <w:rFonts w:ascii="Arial" w:cs="Arial" w:eastAsia="Arial" w:hAnsi="Arial"/>
          <w:sz w:val="18"/>
          <w:szCs w:val="18"/>
          <w:color w:val="auto"/>
        </w:rPr>
        <w:t>.</w:t>
      </w:r>
    </w:p>
    <w:p>
      <w:pPr>
        <w:spacing w:after="0" w:line="251"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Code of Conduct and Ethics</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First Hawaiian, Inc. the relationships we have with our stakeholders are of utmost importance to us.</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Establishing good relationships with our stakeholders requires trust, respect and fair treatment.</w:t>
      </w:r>
    </w:p>
    <w:p>
      <w:pPr>
        <w:spacing w:after="0" w:line="171" w:lineRule="exact"/>
        <w:rPr>
          <w:sz w:val="20"/>
          <w:szCs w:val="20"/>
          <w:color w:val="auto"/>
        </w:rPr>
      </w:pPr>
    </w:p>
    <w:p>
      <w:pPr>
        <w:ind w:left="780" w:right="40"/>
        <w:spacing w:after="0" w:line="275" w:lineRule="auto"/>
        <w:rPr>
          <w:sz w:val="20"/>
          <w:szCs w:val="20"/>
          <w:color w:val="auto"/>
        </w:rPr>
      </w:pPr>
      <w:r>
        <w:rPr>
          <w:rFonts w:ascii="Arial" w:cs="Arial" w:eastAsia="Arial" w:hAnsi="Arial"/>
          <w:sz w:val="18"/>
          <w:szCs w:val="18"/>
          <w:color w:val="auto"/>
        </w:rPr>
        <w:t>Our Code of Conduct and Ethics (the “Code”) forms the foundation of our ethical culture, describing how we as a company relate to others as we conduct business and how we work together as employees according to our core values. All employees, officers, and Directors of First Hawaiian, Inc. and its subsidiaries and affiliates are expected to comply with our Code of Conduct. The Code is fundamental to the success of the Company, as it promotes honest and ethical conduct, including fair dealing and the ethical handling of conflicts of interest; full, fair, accurate, timely and understandable disclosure; compliance with applicable laws, rules and regulations; the protection of the Company’s legitimate business interests, including corporate opportunities, assets and confidential information; and the deterrence of wrongdoing.</w:t>
      </w:r>
    </w:p>
    <w:p>
      <w:pPr>
        <w:spacing w:after="0" w:line="114" w:lineRule="exact"/>
        <w:rPr>
          <w:sz w:val="20"/>
          <w:szCs w:val="20"/>
          <w:color w:val="auto"/>
        </w:rPr>
      </w:pPr>
    </w:p>
    <w:p>
      <w:pPr>
        <w:ind w:left="780" w:right="300"/>
        <w:spacing w:after="0" w:line="303" w:lineRule="auto"/>
        <w:rPr>
          <w:sz w:val="20"/>
          <w:szCs w:val="20"/>
          <w:color w:val="auto"/>
        </w:rPr>
      </w:pPr>
      <w:r>
        <w:rPr>
          <w:rFonts w:ascii="Arial" w:cs="Arial" w:eastAsia="Arial" w:hAnsi="Arial"/>
          <w:sz w:val="18"/>
          <w:szCs w:val="18"/>
          <w:color w:val="auto"/>
        </w:rPr>
        <w:t>The Code of Conduct and Ethics is available at Governance Highlights—First Hawaiian, Inc. (</w:t>
      </w:r>
      <w:r>
        <w:rPr>
          <w:rFonts w:ascii="Arial" w:cs="Arial" w:eastAsia="Arial" w:hAnsi="Arial"/>
          <w:sz w:val="18"/>
          <w:szCs w:val="18"/>
          <w:color w:val="BF5B5A"/>
        </w:rPr>
        <w:t>fhb.com</w:t>
      </w:r>
      <w:r>
        <w:rPr>
          <w:rFonts w:ascii="Arial" w:cs="Arial" w:eastAsia="Arial" w:hAnsi="Arial"/>
          <w:sz w:val="18"/>
          <w:szCs w:val="18"/>
          <w:color w:val="auto"/>
        </w:rPr>
        <w:t>). Any amendments or waivers with respect to the Code of Conduct and Ethics will be disclosed on our website.</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Corporate Governance Stockholder Engagement</w:t>
      </w:r>
    </w:p>
    <w:p>
      <w:pPr>
        <w:spacing w:after="0" w:line="177" w:lineRule="exact"/>
        <w:rPr>
          <w:sz w:val="20"/>
          <w:szCs w:val="20"/>
          <w:color w:val="auto"/>
        </w:rPr>
      </w:pPr>
    </w:p>
    <w:p>
      <w:pPr>
        <w:ind w:left="780" w:right="320"/>
        <w:spacing w:after="0" w:line="303" w:lineRule="auto"/>
        <w:rPr>
          <w:sz w:val="20"/>
          <w:szCs w:val="20"/>
          <w:color w:val="auto"/>
        </w:rPr>
      </w:pPr>
      <w:r>
        <w:rPr>
          <w:rFonts w:ascii="Arial" w:cs="Arial" w:eastAsia="Arial" w:hAnsi="Arial"/>
          <w:sz w:val="18"/>
          <w:szCs w:val="18"/>
          <w:color w:val="auto"/>
        </w:rPr>
        <w:t>First Hawaiian, Inc. is committed to constructive and meaningful communications with our stockholders and building ongoing relationships over time.</w:t>
      </w:r>
    </w:p>
    <w:p>
      <w:pPr>
        <w:spacing w:after="0" w:line="85" w:lineRule="exact"/>
        <w:rPr>
          <w:sz w:val="20"/>
          <w:szCs w:val="20"/>
          <w:color w:val="auto"/>
        </w:rPr>
      </w:pPr>
    </w:p>
    <w:p>
      <w:pPr>
        <w:ind w:left="780" w:right="80"/>
        <w:spacing w:after="0" w:line="279" w:lineRule="auto"/>
        <w:rPr>
          <w:sz w:val="20"/>
          <w:szCs w:val="20"/>
          <w:color w:val="auto"/>
        </w:rPr>
      </w:pPr>
      <w:r>
        <w:rPr>
          <w:rFonts w:ascii="Arial" w:cs="Arial" w:eastAsia="Arial" w:hAnsi="Arial"/>
          <w:sz w:val="18"/>
          <w:szCs w:val="18"/>
          <w:color w:val="auto"/>
        </w:rPr>
        <w:t>On an annual basis, we reach out to the holders of a substantial percentage of our outstanding stock and offer to engage on governance, compensation or any other areas of interest. The feedback we receive is summarized and reported to the Chief Executive Officer, the Compensation Committee and the Corporate Governance and Nominating Committee, and the Board and the management team consider the points raised and, as appropriate, will take responsive actions with a view towards improving our practices and policies and enhancing long-term value for our stockholders and our other stakeholders.</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Corporate Social Responsibility</w:t>
      </w:r>
    </w:p>
    <w:p>
      <w:pPr>
        <w:spacing w:after="0" w:line="177" w:lineRule="exact"/>
        <w:rPr>
          <w:sz w:val="20"/>
          <w:szCs w:val="20"/>
          <w:color w:val="auto"/>
        </w:rPr>
      </w:pPr>
    </w:p>
    <w:p>
      <w:pPr>
        <w:ind w:left="780" w:right="100"/>
        <w:spacing w:after="0" w:line="292" w:lineRule="auto"/>
        <w:rPr>
          <w:sz w:val="20"/>
          <w:szCs w:val="20"/>
          <w:color w:val="auto"/>
        </w:rPr>
      </w:pPr>
      <w:r>
        <w:rPr>
          <w:rFonts w:ascii="Arial" w:cs="Arial" w:eastAsia="Arial" w:hAnsi="Arial"/>
          <w:sz w:val="18"/>
          <w:szCs w:val="18"/>
          <w:color w:val="auto"/>
        </w:rPr>
        <w:t>We seek to integrate sustainability considerations into our business strategies, products and services, thought leadership and operations. We offer financial solutions that provide positive long-term benefits for our customers, employees and other stakeholders.</w:t>
      </w:r>
    </w:p>
    <w:p>
      <w:pPr>
        <w:spacing w:after="0" w:line="95" w:lineRule="exact"/>
        <w:rPr>
          <w:sz w:val="20"/>
          <w:szCs w:val="20"/>
          <w:color w:val="auto"/>
        </w:rPr>
      </w:pPr>
    </w:p>
    <w:p>
      <w:pPr>
        <w:ind w:left="780"/>
        <w:spacing w:after="0" w:line="292" w:lineRule="auto"/>
        <w:rPr>
          <w:sz w:val="20"/>
          <w:szCs w:val="20"/>
          <w:color w:val="auto"/>
        </w:rPr>
      </w:pPr>
      <w:r>
        <w:rPr>
          <w:rFonts w:ascii="Arial" w:cs="Arial" w:eastAsia="Arial" w:hAnsi="Arial"/>
          <w:sz w:val="18"/>
          <w:szCs w:val="18"/>
          <w:color w:val="auto"/>
        </w:rPr>
        <w:t>Our people are our most important asset. To facilitate talent attraction and retention, we strive to support a diverse and inclusive workplace, with a strong culture and opportunities for our employees to grow and develop in their careers and to be supported by competitive compensation, benefits and health and wellness programs.</w:t>
      </w:r>
    </w:p>
    <w:p>
      <w:pPr>
        <w:spacing w:after="0" w:line="95" w:lineRule="exact"/>
        <w:rPr>
          <w:sz w:val="20"/>
          <w:szCs w:val="20"/>
          <w:color w:val="auto"/>
        </w:rPr>
      </w:pPr>
    </w:p>
    <w:p>
      <w:pPr>
        <w:ind w:left="780" w:right="160"/>
        <w:spacing w:after="0" w:line="271" w:lineRule="auto"/>
        <w:rPr>
          <w:sz w:val="20"/>
          <w:szCs w:val="20"/>
          <w:color w:val="auto"/>
        </w:rPr>
      </w:pPr>
      <w:r>
        <w:rPr>
          <w:rFonts w:ascii="Arial" w:cs="Arial" w:eastAsia="Arial" w:hAnsi="Arial"/>
          <w:sz w:val="18"/>
          <w:szCs w:val="18"/>
          <w:color w:val="auto"/>
        </w:rPr>
        <w:t>Supporting the island communities where we do business has always been a priority. First Hawaiian Bank, its Foundation and our employees contribute annually to more than 200 charities in the areas of civic and community support, education and financial literacy, health and human services and arts and culture</w:t>
      </w:r>
    </w:p>
    <w:p>
      <w:pPr>
        <w:spacing w:after="0" w:line="1" w:lineRule="exact"/>
        <w:rPr>
          <w:sz w:val="20"/>
          <w:szCs w:val="20"/>
          <w:color w:val="auto"/>
        </w:rPr>
      </w:pPr>
    </w:p>
    <w:p>
      <w:pPr>
        <w:ind w:left="780" w:right="80"/>
        <w:spacing w:after="0" w:line="284" w:lineRule="auto"/>
        <w:rPr>
          <w:sz w:val="20"/>
          <w:szCs w:val="20"/>
          <w:color w:val="auto"/>
        </w:rPr>
      </w:pPr>
      <w:r>
        <w:rPr>
          <w:rFonts w:ascii="Arial" w:cs="Arial" w:eastAsia="Arial" w:hAnsi="Arial"/>
          <w:sz w:val="18"/>
          <w:szCs w:val="18"/>
          <w:color w:val="auto"/>
        </w:rPr>
        <w:t>($4.4 million in donations in 2023). Professional development courses are a key component of our employee satisfaction and retention. Together with our award-winning online talent development program, we are able to achieve an inclusive and healthy work environment for our 2,000+ employees.</w:t>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12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80"/>
        <w:spacing w:after="0"/>
        <w:rPr>
          <w:sz w:val="20"/>
          <w:szCs w:val="20"/>
          <w:color w:val="auto"/>
        </w:rPr>
      </w:pPr>
      <w:r>
        <w:rPr>
          <w:rFonts w:ascii="Arial" w:cs="Arial" w:eastAsia="Arial" w:hAnsi="Arial"/>
          <w:sz w:val="23"/>
          <w:szCs w:val="23"/>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-43180</wp:posOffset>
            </wp:positionV>
            <wp:extent cx="334010" cy="3346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46"/>
          <w:szCs w:val="46"/>
          <w:b w:val="1"/>
          <w:bCs w:val="1"/>
          <w:color w:val="FEFEFE"/>
          <w:vertAlign w:val="superscript"/>
        </w:rPr>
        <w:t>​</w:t>
      </w:r>
      <w:r>
        <w:rPr>
          <w:rFonts w:ascii="Arial" w:cs="Arial" w:eastAsia="Arial" w:hAnsi="Arial"/>
          <w:sz w:val="23"/>
          <w:szCs w:val="23"/>
          <w:b w:val="1"/>
          <w:bCs w:val="1"/>
          <w:color w:val="FEFEFE"/>
        </w:rPr>
        <w:t xml:space="preserve"> 2,625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-322580</wp:posOffset>
            </wp:positionV>
            <wp:extent cx="1765935"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65935" cy="445770"/>
                    </a:xfrm>
                    <a:prstGeom prst="rect">
                      <a:avLst/>
                    </a:prstGeom>
                    <a:noFill/>
                  </pic:spPr>
                </pic:pic>
              </a:graphicData>
            </a:graphic>
          </wp:anchor>
        </w:drawing>
      </w:r>
    </w:p>
    <w:p>
      <w:pPr>
        <w:spacing w:after="0" w:line="2" w:lineRule="exact"/>
        <w:rPr>
          <w:sz w:val="20"/>
          <w:szCs w:val="20"/>
          <w:color w:val="auto"/>
        </w:rPr>
      </w:pPr>
    </w:p>
    <w:p>
      <w:pPr>
        <w:ind w:left="880"/>
        <w:spacing w:after="0"/>
        <w:rPr>
          <w:sz w:val="20"/>
          <w:szCs w:val="20"/>
          <w:color w:val="auto"/>
        </w:rPr>
      </w:pPr>
      <w:r>
        <w:rPr>
          <w:rFonts w:ascii="Arial" w:cs="Arial" w:eastAsia="Arial" w:hAnsi="Arial"/>
          <w:sz w:val="23"/>
          <w:szCs w:val="23"/>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635</wp:posOffset>
            </wp:positionV>
            <wp:extent cx="17659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8" w:lineRule="exact"/>
        <w:rPr>
          <w:sz w:val="20"/>
          <w:szCs w:val="20"/>
          <w:color w:val="auto"/>
        </w:rPr>
      </w:pPr>
    </w:p>
    <w:p>
      <w:pPr>
        <w:ind w:left="960" w:hanging="90"/>
        <w:spacing w:after="0" w:line="320" w:lineRule="auto"/>
        <w:tabs>
          <w:tab w:leader="none" w:pos="9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Pounds of e-waste collected and properly disposed of</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gridSpan w:val="2"/>
          </w:tcPr>
          <w:p>
            <w:pPr>
              <w:ind w:left="460"/>
              <w:spacing w:after="0"/>
              <w:rPr>
                <w:sz w:val="20"/>
                <w:szCs w:val="20"/>
                <w:color w:val="auto"/>
              </w:rPr>
            </w:pPr>
            <w:r>
              <w:rPr>
                <w:rFonts w:ascii="Arial" w:cs="Arial" w:eastAsia="Arial" w:hAnsi="Arial"/>
                <w:sz w:val="18"/>
                <w:szCs w:val="18"/>
                <w:b w:val="1"/>
                <w:bCs w:val="1"/>
                <w:color w:val="7F7F7F"/>
                <w:w w:val="92"/>
              </w:rPr>
              <w:t>PROXY STATEMENT SUMMARY</w:t>
            </w:r>
          </w:p>
        </w:tc>
      </w:tr>
      <w:tr>
        <w:trPr>
          <w:trHeight w:val="601"/>
        </w:trPr>
        <w:tc>
          <w:tcPr>
            <w:tcW w:w="2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2820" w:type="dxa"/>
            <w:vAlign w:val="bottom"/>
          </w:tcPr>
          <w:p>
            <w:pPr>
              <w:spacing w:after="0"/>
              <w:rPr>
                <w:sz w:val="20"/>
                <w:szCs w:val="20"/>
                <w:color w:val="auto"/>
              </w:rPr>
            </w:pPr>
            <w:r>
              <w:rPr>
                <w:rFonts w:ascii="Arial" w:cs="Arial" w:eastAsia="Arial" w:hAnsi="Arial"/>
                <w:sz w:val="23"/>
                <w:szCs w:val="23"/>
                <w:b w:val="1"/>
                <w:bCs w:val="1"/>
                <w:color w:val="FEFEFE"/>
              </w:rPr>
              <w:t>​</w:t>
            </w:r>
          </w:p>
        </w:tc>
        <w:tc>
          <w:tcPr>
            <w:tcW w:w="200" w:type="dxa"/>
            <w:vAlign w:val="bottom"/>
          </w:tcPr>
          <w:p>
            <w:pPr>
              <w:spacing w:after="0"/>
              <w:rPr>
                <w:sz w:val="20"/>
                <w:szCs w:val="20"/>
                <w:color w:val="auto"/>
              </w:rPr>
            </w:pPr>
            <w:r>
              <w:rPr>
                <w:rFonts w:ascii="Arial" w:cs="Arial" w:eastAsia="Arial" w:hAnsi="Arial"/>
                <w:sz w:val="23"/>
                <w:szCs w:val="23"/>
                <w:b w:val="1"/>
                <w:bCs w:val="1"/>
                <w:color w:val="FEFEFE"/>
              </w:rPr>
              <w:t>​</w:t>
            </w:r>
          </w:p>
        </w:tc>
        <w:tc>
          <w:tcPr>
            <w:tcW w:w="298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60" w:type="dxa"/>
            <w:vAlign w:val="bottom"/>
          </w:tcPr>
          <w:p>
            <w:pPr>
              <w:spacing w:after="0"/>
              <w:rPr>
                <w:sz w:val="20"/>
                <w:szCs w:val="20"/>
                <w:color w:val="auto"/>
              </w:rPr>
            </w:pPr>
            <w:r>
              <w:rPr>
                <w:rFonts w:ascii="Arial" w:cs="Arial" w:eastAsia="Arial" w:hAnsi="Arial"/>
                <w:sz w:val="23"/>
                <w:szCs w:val="23"/>
                <w:b w:val="1"/>
                <w:bCs w:val="1"/>
                <w:color w:val="FEFEFE"/>
              </w:rPr>
              <w:t>​</w:t>
            </w:r>
          </w:p>
        </w:tc>
      </w:tr>
      <w:tr>
        <w:trPr>
          <w:trHeight w:val="772"/>
        </w:trPr>
        <w:tc>
          <w:tcPr>
            <w:tcW w:w="2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2820" w:type="dxa"/>
            <w:vAlign w:val="bottom"/>
          </w:tcPr>
          <w:p>
            <w:pPr>
              <w:spacing w:after="0"/>
              <w:rPr>
                <w:sz w:val="20"/>
                <w:szCs w:val="20"/>
                <w:color w:val="auto"/>
              </w:rPr>
            </w:pPr>
            <w:r>
              <w:rPr>
                <w:rFonts w:ascii="Arial" w:cs="Arial" w:eastAsia="Arial" w:hAnsi="Arial"/>
                <w:sz w:val="46"/>
                <w:szCs w:val="46"/>
                <w:b w:val="1"/>
                <w:bCs w:val="1"/>
                <w:color w:val="FEFEFE"/>
                <w:vertAlign w:val="superscript"/>
              </w:rPr>
              <w:t>​</w:t>
            </w:r>
            <w:r>
              <w:rPr>
                <w:rFonts w:ascii="Arial" w:cs="Arial" w:eastAsia="Arial" w:hAnsi="Arial"/>
                <w:sz w:val="23"/>
                <w:szCs w:val="23"/>
                <w:b w:val="1"/>
                <w:bCs w:val="1"/>
                <w:color w:val="FEFEFE"/>
              </w:rPr>
              <w:t>20,000+</w:t>
            </w:r>
          </w:p>
        </w:tc>
        <w:tc>
          <w:tcPr>
            <w:tcW w:w="200" w:type="dxa"/>
            <w:vAlign w:val="bottom"/>
          </w:tcPr>
          <w:p>
            <w:pPr>
              <w:spacing w:after="0"/>
              <w:rPr>
                <w:sz w:val="20"/>
                <w:szCs w:val="20"/>
                <w:color w:val="auto"/>
              </w:rPr>
            </w:pPr>
            <w:r>
              <w:rPr>
                <w:rFonts w:ascii="Arial" w:cs="Arial" w:eastAsia="Arial" w:hAnsi="Arial"/>
                <w:sz w:val="23"/>
                <w:szCs w:val="23"/>
                <w:b w:val="1"/>
                <w:bCs w:val="1"/>
                <w:color w:val="FEFEFE"/>
              </w:rPr>
              <w:t>​</w:t>
            </w:r>
          </w:p>
        </w:tc>
        <w:tc>
          <w:tcPr>
            <w:tcW w:w="2980" w:type="dxa"/>
            <w:vAlign w:val="bottom"/>
          </w:tcPr>
          <w:p>
            <w:pPr>
              <w:ind w:left="20"/>
              <w:spacing w:after="0"/>
              <w:rPr>
                <w:sz w:val="20"/>
                <w:szCs w:val="20"/>
                <w:color w:val="auto"/>
              </w:rPr>
            </w:pPr>
            <w:r>
              <w:rPr>
                <w:rFonts w:ascii="Arial" w:cs="Arial" w:eastAsia="Arial" w:hAnsi="Arial"/>
                <w:sz w:val="46"/>
                <w:szCs w:val="46"/>
                <w:b w:val="1"/>
                <w:bCs w:val="1"/>
                <w:color w:val="FEFEFE"/>
                <w:vertAlign w:val="superscript"/>
              </w:rPr>
              <w:t>​</w:t>
            </w:r>
            <w:r>
              <w:rPr>
                <w:rFonts w:ascii="Arial" w:cs="Arial" w:eastAsia="Arial" w:hAnsi="Arial"/>
                <w:sz w:val="23"/>
                <w:szCs w:val="23"/>
                <w:b w:val="1"/>
                <w:bCs w:val="1"/>
                <w:color w:val="FEFEFE"/>
              </w:rPr>
              <w:t>866 lbs office paper</w:t>
            </w:r>
          </w:p>
        </w:tc>
        <w:tc>
          <w:tcPr>
            <w:tcW w:w="60" w:type="dxa"/>
            <w:vAlign w:val="bottom"/>
          </w:tcPr>
          <w:p>
            <w:pPr>
              <w:spacing w:after="0"/>
              <w:rPr>
                <w:sz w:val="20"/>
                <w:szCs w:val="20"/>
                <w:color w:val="auto"/>
              </w:rPr>
            </w:pPr>
            <w:r>
              <w:rPr>
                <w:rFonts w:ascii="Arial" w:cs="Arial" w:eastAsia="Arial" w:hAnsi="Arial"/>
                <w:sz w:val="23"/>
                <w:szCs w:val="23"/>
                <w:b w:val="1"/>
                <w:bCs w:val="1"/>
                <w:color w:val="FEFEFE"/>
              </w:rPr>
              <w:t>​</w:t>
            </w:r>
          </w:p>
        </w:tc>
      </w:tr>
      <w:tr>
        <w:trPr>
          <w:trHeight w:val="465"/>
        </w:trPr>
        <w:tc>
          <w:tcPr>
            <w:tcW w:w="220" w:type="dxa"/>
            <w:vAlign w:val="bottom"/>
          </w:tcPr>
          <w:p>
            <w:pPr>
              <w:ind w:left="20"/>
              <w:spacing w:after="0"/>
              <w:rPr>
                <w:sz w:val="20"/>
                <w:szCs w:val="20"/>
                <w:color w:val="auto"/>
              </w:rPr>
            </w:pPr>
            <w:r>
              <w:rPr>
                <w:rFonts w:ascii="Arial" w:cs="Arial" w:eastAsia="Arial" w:hAnsi="Arial"/>
                <w:sz w:val="23"/>
                <w:szCs w:val="23"/>
                <w:b w:val="1"/>
                <w:bCs w:val="1"/>
                <w:color w:val="FEFEFE"/>
              </w:rPr>
              <w:t>​</w:t>
            </w:r>
          </w:p>
        </w:tc>
        <w:tc>
          <w:tcPr>
            <w:tcW w:w="2820" w:type="dxa"/>
            <w:vAlign w:val="bottom"/>
            <w:tcBorders>
              <w:bottom w:val="single" w:sz="8" w:color="BF5B5A"/>
            </w:tcBorders>
          </w:tcPr>
          <w:p>
            <w:pPr>
              <w:spacing w:after="0"/>
              <w:rPr>
                <w:sz w:val="20"/>
                <w:szCs w:val="20"/>
                <w:color w:val="auto"/>
              </w:rPr>
            </w:pPr>
            <w:r>
              <w:rPr>
                <w:rFonts w:ascii="Arial" w:cs="Arial" w:eastAsia="Arial" w:hAnsi="Arial"/>
                <w:sz w:val="23"/>
                <w:szCs w:val="23"/>
                <w:b w:val="1"/>
                <w:bCs w:val="1"/>
                <w:color w:val="FEFEFE"/>
              </w:rPr>
              <w:t>​</w:t>
            </w:r>
          </w:p>
        </w:tc>
        <w:tc>
          <w:tcPr>
            <w:tcW w:w="200" w:type="dxa"/>
            <w:vAlign w:val="bottom"/>
          </w:tcPr>
          <w:p>
            <w:pPr>
              <w:spacing w:after="0"/>
              <w:rPr>
                <w:sz w:val="20"/>
                <w:szCs w:val="20"/>
                <w:color w:val="auto"/>
              </w:rPr>
            </w:pPr>
            <w:r>
              <w:rPr>
                <w:rFonts w:ascii="Arial" w:cs="Arial" w:eastAsia="Arial" w:hAnsi="Arial"/>
                <w:sz w:val="23"/>
                <w:szCs w:val="23"/>
                <w:b w:val="1"/>
                <w:bCs w:val="1"/>
                <w:color w:val="FEFEFE"/>
              </w:rPr>
              <w:t>​</w:t>
            </w:r>
          </w:p>
        </w:tc>
        <w:tc>
          <w:tcPr>
            <w:tcW w:w="2980" w:type="dxa"/>
            <w:vAlign w:val="bottom"/>
            <w:tcBorders>
              <w:bottom w:val="single" w:sz="8" w:color="BF5B5A"/>
            </w:tcBorders>
          </w:tcPr>
          <w:p>
            <w:pPr>
              <w:ind w:left="20"/>
              <w:spacing w:after="0" w:line="466" w:lineRule="exact"/>
              <w:rPr>
                <w:sz w:val="20"/>
                <w:szCs w:val="20"/>
                <w:color w:val="auto"/>
              </w:rPr>
            </w:pPr>
            <w:r>
              <w:rPr>
                <w:rFonts w:ascii="Arial" w:cs="Arial" w:eastAsia="Arial" w:hAnsi="Arial"/>
                <w:sz w:val="46"/>
                <w:szCs w:val="46"/>
                <w:b w:val="1"/>
                <w:bCs w:val="1"/>
                <w:color w:val="FEFEFE"/>
                <w:vertAlign w:val="subscript"/>
              </w:rPr>
              <w:t>​</w:t>
            </w:r>
            <w:r>
              <w:rPr>
                <w:rFonts w:ascii="Arial" w:cs="Arial" w:eastAsia="Arial" w:hAnsi="Arial"/>
                <w:sz w:val="23"/>
                <w:szCs w:val="23"/>
                <w:b w:val="1"/>
                <w:bCs w:val="1"/>
                <w:color w:val="FEFEFE"/>
              </w:rPr>
              <w:t>325 lbs glass and bottles</w:t>
            </w:r>
          </w:p>
        </w:tc>
        <w:tc>
          <w:tcPr>
            <w:tcW w:w="60" w:type="dxa"/>
            <w:vAlign w:val="bottom"/>
          </w:tcPr>
          <w:p>
            <w:pPr>
              <w:spacing w:after="0"/>
              <w:rPr>
                <w:sz w:val="20"/>
                <w:szCs w:val="20"/>
                <w:color w:val="auto"/>
              </w:rPr>
            </w:pPr>
            <w:r>
              <w:rPr>
                <w:rFonts w:ascii="Arial" w:cs="Arial" w:eastAsia="Arial" w:hAnsi="Arial"/>
                <w:sz w:val="23"/>
                <w:szCs w:val="23"/>
                <w:b w:val="1"/>
                <w:bCs w:val="1"/>
                <w:color w:val="FEFEFE"/>
              </w:rPr>
              <w:t>​</w:t>
            </w:r>
          </w:p>
        </w:tc>
      </w:tr>
      <w:tr>
        <w:trPr>
          <w:trHeight w:val="217"/>
        </w:trPr>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20"/>
                <w:szCs w:val="20"/>
                <w:color w:val="auto"/>
              </w:rPr>
            </w:pPr>
            <w:r>
              <w:rPr>
                <w:rFonts w:ascii="Arial" w:cs="Arial" w:eastAsia="Arial" w:hAnsi="Arial"/>
                <w:sz w:val="15"/>
                <w:szCs w:val="15"/>
                <w:color w:val="auto"/>
              </w:rPr>
              <w:t>​ Online learning courses accessible to</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2980" w:type="dxa"/>
            <w:vAlign w:val="bottom"/>
          </w:tcPr>
          <w:p>
            <w:pPr>
              <w:ind w:left="20"/>
              <w:spacing w:after="0"/>
              <w:rPr>
                <w:sz w:val="20"/>
                <w:szCs w:val="20"/>
                <w:color w:val="auto"/>
              </w:rPr>
            </w:pPr>
            <w:r>
              <w:rPr>
                <w:rFonts w:ascii="Arial" w:cs="Arial" w:eastAsia="Arial" w:hAnsi="Arial"/>
                <w:sz w:val="15"/>
                <w:szCs w:val="15"/>
                <w:color w:val="auto"/>
              </w:rPr>
              <w:t>​ Monthly average recycling collection</w:t>
            </w:r>
          </w:p>
        </w:tc>
        <w:tc>
          <w:tcPr>
            <w:tcW w:w="60" w:type="dxa"/>
            <w:vAlign w:val="bottom"/>
          </w:tcPr>
          <w:p>
            <w:pPr>
              <w:spacing w:after="0"/>
              <w:rPr>
                <w:sz w:val="20"/>
                <w:szCs w:val="20"/>
                <w:color w:val="auto"/>
              </w:rPr>
            </w:pPr>
            <w:r>
              <w:rPr>
                <w:rFonts w:ascii="Arial" w:cs="Arial" w:eastAsia="Arial" w:hAnsi="Arial"/>
                <w:sz w:val="15"/>
                <w:szCs w:val="15"/>
                <w:color w:val="auto"/>
              </w:rPr>
              <w:t>​</w:t>
            </w:r>
          </w:p>
        </w:tc>
      </w:tr>
      <w:tr>
        <w:trPr>
          <w:trHeight w:val="203"/>
        </w:trPr>
        <w:tc>
          <w:tcPr>
            <w:tcW w:w="2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Arial" w:cs="Arial" w:eastAsia="Arial" w:hAnsi="Arial"/>
                <w:sz w:val="15"/>
                <w:szCs w:val="15"/>
                <w:color w:val="auto"/>
              </w:rPr>
              <w:t>employees through our Online</w:t>
            </w:r>
          </w:p>
        </w:tc>
        <w:tc>
          <w:tcPr>
            <w:tcW w:w="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-1255395</wp:posOffset>
            </wp:positionV>
            <wp:extent cx="3943350" cy="1517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943350" cy="15170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5"/>
          <w:szCs w:val="15"/>
          <w:color w:val="auto"/>
        </w:rPr>
        <w:t>Learning Center and LinkedIn</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Learning</w:t>
      </w:r>
    </w:p>
    <w:p>
      <w:pPr>
        <w:spacing w:after="0" w:line="200" w:lineRule="exact"/>
        <w:rPr>
          <w:sz w:val="20"/>
          <w:szCs w:val="20"/>
          <w:color w:val="auto"/>
        </w:rPr>
      </w:pPr>
    </w:p>
    <w:p>
      <w:pPr>
        <w:sectPr>
          <w:pgSz w:w="11900" w:h="16838" w:orient="portrait"/>
          <w:cols w:equalWidth="0" w:num="2">
            <w:col w:w="3240" w:space="400"/>
            <w:col w:w="6280"/>
          </w:cols>
          <w:pgMar w:left="580" w:top="97" w:right="1399" w:bottom="1440" w:gutter="0" w:footer="0" w:header="0"/>
        </w:sectPr>
      </w:pPr>
    </w:p>
    <w:p>
      <w:pPr>
        <w:spacing w:after="0" w:line="136"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Environmental Impact</w:t>
      </w:r>
    </w:p>
    <w:p>
      <w:pPr>
        <w:spacing w:after="0" w:line="177" w:lineRule="exact"/>
        <w:rPr>
          <w:sz w:val="20"/>
          <w:szCs w:val="20"/>
          <w:color w:val="auto"/>
        </w:rPr>
      </w:pPr>
    </w:p>
    <w:p>
      <w:pPr>
        <w:ind w:left="780" w:right="240"/>
        <w:spacing w:after="0" w:line="283" w:lineRule="auto"/>
        <w:rPr>
          <w:sz w:val="20"/>
          <w:szCs w:val="20"/>
          <w:color w:val="auto"/>
        </w:rPr>
      </w:pPr>
      <w:r>
        <w:rPr>
          <w:rFonts w:ascii="Arial" w:cs="Arial" w:eastAsia="Arial" w:hAnsi="Arial"/>
          <w:sz w:val="18"/>
          <w:szCs w:val="18"/>
          <w:color w:val="auto"/>
        </w:rPr>
        <w:t>Hawaii generally has the highest energy costs of any state due to the high price of shipping petroleum to the archipelago. In 2023, First Hawaiian continued to actively pursue sustainability goals of maintaining energy efficient facilities, reducing waste, advancing sustainable transportation and encouraging employees to participate in ongoing community-led sustainability initiatives.</w:t>
      </w:r>
    </w:p>
    <w:p>
      <w:pPr>
        <w:spacing w:after="0" w:line="104" w:lineRule="exact"/>
        <w:rPr>
          <w:sz w:val="20"/>
          <w:szCs w:val="20"/>
          <w:color w:val="auto"/>
        </w:rPr>
      </w:pPr>
    </w:p>
    <w:p>
      <w:pPr>
        <w:ind w:left="780" w:right="20"/>
        <w:spacing w:after="0" w:line="292" w:lineRule="auto"/>
        <w:rPr>
          <w:sz w:val="20"/>
          <w:szCs w:val="20"/>
          <w:color w:val="auto"/>
        </w:rPr>
      </w:pPr>
      <w:r>
        <w:rPr>
          <w:rFonts w:ascii="Arial" w:cs="Arial" w:eastAsia="Arial" w:hAnsi="Arial"/>
          <w:sz w:val="18"/>
          <w:szCs w:val="18"/>
          <w:color w:val="auto"/>
        </w:rPr>
        <w:t>Our direct environmental impact stems primarily from the operations of our branch offices in Hawaii, Guam and Saipan. We strive to manage these offices in an efficient and environmentally sustainable manner, and we continue to find new and innovative ways to reduce our carbon footprint.</w:t>
      </w:r>
    </w:p>
    <w:p>
      <w:pPr>
        <w:spacing w:after="0" w:line="95" w:lineRule="exact"/>
        <w:rPr>
          <w:sz w:val="20"/>
          <w:szCs w:val="20"/>
          <w:color w:val="auto"/>
        </w:rPr>
      </w:pPr>
    </w:p>
    <w:p>
      <w:pPr>
        <w:ind w:left="780" w:right="120"/>
        <w:spacing w:after="0" w:line="292" w:lineRule="auto"/>
        <w:rPr>
          <w:sz w:val="20"/>
          <w:szCs w:val="20"/>
          <w:color w:val="auto"/>
        </w:rPr>
      </w:pPr>
      <w:r>
        <w:rPr>
          <w:rFonts w:ascii="Arial" w:cs="Arial" w:eastAsia="Arial" w:hAnsi="Arial"/>
          <w:sz w:val="18"/>
          <w:szCs w:val="18"/>
          <w:color w:val="auto"/>
        </w:rPr>
        <w:t>The Bank’s headquarters, the tallest building in downtown Honolulu, was built 27 years ago in 1996 to Energy Star standards. Since then, we have made energy-efficient upgrades to our facilities as well as key building systems at our First Hawaiian Bank headquarters, operations facility and branches.</w:t>
      </w:r>
    </w:p>
    <w:p>
      <w:pPr>
        <w:spacing w:after="0" w:line="95" w:lineRule="exact"/>
        <w:rPr>
          <w:sz w:val="20"/>
          <w:szCs w:val="20"/>
          <w:color w:val="auto"/>
        </w:rPr>
      </w:pPr>
    </w:p>
    <w:p>
      <w:pPr>
        <w:ind w:left="780" w:right="160"/>
        <w:spacing w:after="0" w:line="279" w:lineRule="auto"/>
        <w:rPr>
          <w:sz w:val="20"/>
          <w:szCs w:val="20"/>
          <w:color w:val="auto"/>
        </w:rPr>
      </w:pPr>
      <w:r>
        <w:rPr>
          <w:rFonts w:ascii="Arial" w:cs="Arial" w:eastAsia="Arial" w:hAnsi="Arial"/>
          <w:sz w:val="18"/>
          <w:szCs w:val="18"/>
          <w:color w:val="auto"/>
        </w:rPr>
        <w:t>Our current initiatives focus on energy and greenhouse gas reductions, limiting paper waste, increasing recycling efforts, advising on sustainable transactions, conserving energy and encouraging employees to use environmentally friendly forms of transportation. Ensuring the implementation of sustainable practices ultimately serves the long-term interest of our stockholders, our customers, our employees and the communities in which we work and live.</w:t>
      </w: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13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PROXY STATEMENT SUMMARY</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EXECUTIVE COMPENSATION HIGHLIGHTS</w:t>
      </w:r>
    </w:p>
    <w:p>
      <w:pPr>
        <w:spacing w:after="0" w:line="177" w:lineRule="exact"/>
        <w:rPr>
          <w:sz w:val="20"/>
          <w:szCs w:val="20"/>
          <w:color w:val="auto"/>
        </w:rPr>
      </w:pPr>
    </w:p>
    <w:p>
      <w:pPr>
        <w:ind w:left="780" w:right="320"/>
        <w:spacing w:after="0" w:line="283" w:lineRule="auto"/>
        <w:rPr>
          <w:sz w:val="20"/>
          <w:szCs w:val="20"/>
          <w:color w:val="auto"/>
        </w:rPr>
      </w:pPr>
      <w:r>
        <w:rPr>
          <w:rFonts w:ascii="Arial" w:cs="Arial" w:eastAsia="Arial" w:hAnsi="Arial"/>
          <w:sz w:val="18"/>
          <w:szCs w:val="18"/>
          <w:color w:val="auto"/>
        </w:rPr>
        <w:t>We believe the design and governance of our executive compensation program encourages executive performance consistent with the highest standards of risk management. The following table summarizes the notable features of our 2023 executive compensation program, which were designed to align with “best practice” 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103505</wp:posOffset>
            </wp:positionV>
            <wp:extent cx="306006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60065" cy="14541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171" w:lineRule="exact"/>
        <w:rPr>
          <w:sz w:val="20"/>
          <w:szCs w:val="20"/>
          <w:color w:val="auto"/>
        </w:rPr>
      </w:pPr>
    </w:p>
    <w:p>
      <w:pPr>
        <w:ind w:left="860" w:hanging="80"/>
        <w:spacing w:after="0"/>
        <w:tabs>
          <w:tab w:leader="none" w:pos="860" w:val="left"/>
        </w:tabs>
        <w:numPr>
          <w:ilvl w:val="0"/>
          <w:numId w:val="31"/>
        </w:numPr>
        <w:rPr>
          <w:rFonts w:ascii="Arial" w:cs="Arial" w:eastAsia="Arial" w:hAnsi="Arial"/>
          <w:sz w:val="18"/>
          <w:szCs w:val="18"/>
          <w:b w:val="1"/>
          <w:bCs w:val="1"/>
          <w:color w:val="FFFFFF"/>
        </w:rPr>
      </w:pPr>
      <w:r>
        <w:rPr>
          <w:rFonts w:ascii="Arial" w:cs="Arial" w:eastAsia="Arial" w:hAnsi="Arial"/>
          <w:sz w:val="18"/>
          <w:szCs w:val="18"/>
          <w:b w:val="1"/>
          <w:bCs w:val="1"/>
          <w:color w:val="FFFFFF"/>
        </w:rPr>
        <w:t>     Practices We Employ</w:t>
      </w:r>
    </w:p>
    <w:p>
      <w:pPr>
        <w:spacing w:after="0" w:line="68" w:lineRule="exact"/>
        <w:rPr>
          <w:rFonts w:ascii="Arial" w:cs="Arial" w:eastAsia="Arial" w:hAnsi="Arial"/>
          <w:sz w:val="18"/>
          <w:szCs w:val="18"/>
          <w:b w:val="1"/>
          <w:bCs w:val="1"/>
          <w:color w:val="FFFFFF"/>
        </w:rPr>
      </w:pPr>
    </w:p>
    <w:p>
      <w:pPr>
        <w:ind w:left="1280" w:right="140" w:hanging="500"/>
        <w:spacing w:after="0"/>
        <w:tabs>
          <w:tab w:leader="none" w:pos="959" w:val="left"/>
        </w:tabs>
        <w:numPr>
          <w:ilvl w:val="0"/>
          <w:numId w:val="31"/>
        </w:numPr>
        <w:rPr>
          <w:rFonts w:ascii="Arial" w:cs="Arial" w:eastAsia="Arial" w:hAnsi="Arial"/>
          <w:sz w:val="32"/>
          <w:szCs w:val="32"/>
          <w:color w:val="auto"/>
          <w:vertAlign w:val="superscript"/>
        </w:rPr>
      </w:pPr>
      <w:r>
        <w:rPr>
          <w:sz w:val="1"/>
          <w:szCs w:val="1"/>
          <w:color w:val="auto"/>
        </w:rPr>
        <w:drawing>
          <wp:inline distT="0" distB="0" distL="0" distR="0">
            <wp:extent cx="128905" cy="1200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r>
      <w:r>
        <w:rPr>
          <w:rFonts w:ascii="Arial" w:cs="Arial" w:eastAsia="Arial" w:hAnsi="Arial"/>
          <w:sz w:val="16"/>
          <w:szCs w:val="16"/>
          <w:color w:val="auto"/>
        </w:rPr>
        <w:t xml:space="preserve"> Substantial portion of pay in the form of variable,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35560</wp:posOffset>
            </wp:positionV>
            <wp:extent cx="128905"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62" w:lineRule="exact"/>
        <w:rPr>
          <w:sz w:val="20"/>
          <w:szCs w:val="20"/>
          <w:color w:val="auto"/>
        </w:rPr>
      </w:pPr>
    </w:p>
    <w:p>
      <w:pPr>
        <w:ind w:left="1280"/>
        <w:spacing w:after="0" w:line="321" w:lineRule="auto"/>
        <w:rPr>
          <w:sz w:val="20"/>
          <w:szCs w:val="20"/>
          <w:color w:val="auto"/>
        </w:rPr>
      </w:pPr>
      <w:r>
        <w:rPr>
          <w:rFonts w:ascii="Arial" w:cs="Arial" w:eastAsia="Arial" w:hAnsi="Arial"/>
          <w:sz w:val="16"/>
          <w:szCs w:val="16"/>
          <w:color w:val="auto"/>
        </w:rPr>
        <w:t>60% of long-term incentives in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860"/>
        <w:spacing w:after="0" w:line="321" w:lineRule="auto"/>
        <w:rPr>
          <w:sz w:val="20"/>
          <w:szCs w:val="20"/>
          <w:color w:val="auto"/>
        </w:rPr>
      </w:pPr>
      <w:r>
        <w:rPr>
          <w:rFonts w:ascii="Arial" w:cs="Arial" w:eastAsia="Arial" w:hAnsi="Arial"/>
          <w:sz w:val="16"/>
          <w:szCs w:val="16"/>
          <w:color w:val="auto"/>
        </w:rPr>
        <w:t>56% of CEO’s 2023 compensation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20"/>
        <w:spacing w:after="0" w:line="321" w:lineRule="auto"/>
        <w:rPr>
          <w:sz w:val="20"/>
          <w:szCs w:val="20"/>
          <w:color w:val="auto"/>
        </w:rPr>
      </w:pPr>
      <w:r>
        <w:rPr>
          <w:rFonts w:ascii="Arial" w:cs="Arial" w:eastAsia="Arial" w:hAnsi="Arial"/>
          <w:sz w:val="16"/>
          <w:szCs w:val="16"/>
          <w:color w:val="auto"/>
        </w:rPr>
        <w:t>Stock ownership guidelines for our executives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360"/>
        <w:spacing w:after="0" w:line="321" w:lineRule="auto"/>
        <w:rPr>
          <w:sz w:val="20"/>
          <w:szCs w:val="20"/>
          <w:color w:val="auto"/>
        </w:rPr>
      </w:pPr>
      <w:r>
        <w:rPr>
          <w:rFonts w:ascii="Arial" w:cs="Arial" w:eastAsia="Arial" w:hAnsi="Arial"/>
          <w:sz w:val="16"/>
          <w:szCs w:val="16"/>
          <w:color w:val="auto"/>
        </w:rPr>
        <w:t>Engage with stockholders on governance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ind w:left="1280" w:right="280"/>
        <w:spacing w:after="0" w:line="321" w:lineRule="auto"/>
        <w:rPr>
          <w:sz w:val="20"/>
          <w:szCs w:val="20"/>
          <w:color w:val="auto"/>
        </w:rPr>
      </w:pPr>
      <w:r>
        <w:rPr>
          <w:rFonts w:ascii="Arial" w:cs="Arial" w:eastAsia="Arial" w:hAnsi="Arial"/>
          <w:sz w:val="16"/>
          <w:szCs w:val="16"/>
          <w:color w:val="auto"/>
        </w:rPr>
        <w:t>Double-trigger vesting for executive change-in-control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240"/>
        <w:spacing w:after="0" w:line="321" w:lineRule="auto"/>
        <w:rPr>
          <w:sz w:val="20"/>
          <w:szCs w:val="20"/>
          <w:color w:val="auto"/>
        </w:rPr>
      </w:pPr>
      <w:r>
        <w:rPr>
          <w:rFonts w:ascii="Arial" w:cs="Arial" w:eastAsia="Arial" w:hAnsi="Arial"/>
          <w:sz w:val="16"/>
          <w:szCs w:val="16"/>
          <w:color w:val="auto"/>
        </w:rPr>
        <w:t>Clawback policies that apply to cash and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360"/>
        <w:spacing w:after="0" w:line="321" w:lineRule="auto"/>
        <w:rPr>
          <w:sz w:val="20"/>
          <w:szCs w:val="20"/>
          <w:color w:val="auto"/>
        </w:rPr>
      </w:pPr>
      <w:r>
        <w:rPr>
          <w:rFonts w:ascii="Arial" w:cs="Arial" w:eastAsia="Arial" w:hAnsi="Arial"/>
          <w:sz w:val="16"/>
          <w:szCs w:val="16"/>
          <w:color w:val="auto"/>
        </w:rPr>
        <w:t>Independent compensation consultant and independent Board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100"/>
        <w:spacing w:after="0" w:line="321" w:lineRule="auto"/>
        <w:rPr>
          <w:sz w:val="20"/>
          <w:szCs w:val="20"/>
          <w:color w:val="auto"/>
        </w:rPr>
      </w:pPr>
      <w:r>
        <w:rPr>
          <w:rFonts w:ascii="Arial" w:cs="Arial" w:eastAsia="Arial" w:hAnsi="Arial"/>
          <w:sz w:val="16"/>
          <w:szCs w:val="16"/>
          <w:color w:val="auto"/>
        </w:rPr>
        <w:t>Annual risk assessment of compensation policies and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340"/>
        <w:spacing w:after="0" w:line="321" w:lineRule="auto"/>
        <w:rPr>
          <w:sz w:val="20"/>
          <w:szCs w:val="20"/>
          <w:color w:val="auto"/>
        </w:rPr>
      </w:pPr>
      <w:r>
        <w:rPr>
          <w:rFonts w:ascii="Arial" w:cs="Arial" w:eastAsia="Arial" w:hAnsi="Arial"/>
          <w:sz w:val="16"/>
          <w:szCs w:val="16"/>
          <w:color w:val="auto"/>
        </w:rPr>
        <w:t>Annual evaluation of our peer group to ensure ongoing relevance of each peer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-3175</wp:posOffset>
            </wp:positionV>
            <wp:extent cx="12890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1" w:lineRule="exact"/>
        <w:rPr>
          <w:sz w:val="20"/>
          <w:szCs w:val="20"/>
          <w:color w:val="auto"/>
        </w:rPr>
      </w:pPr>
    </w:p>
    <w:p>
      <w:pPr>
        <w:ind w:left="1280" w:right="100"/>
        <w:spacing w:after="0" w:line="301" w:lineRule="auto"/>
        <w:rPr>
          <w:sz w:val="20"/>
          <w:szCs w:val="20"/>
          <w:color w:val="auto"/>
        </w:rPr>
      </w:pPr>
      <w:r>
        <w:rPr>
          <w:rFonts w:ascii="Arial" w:cs="Arial" w:eastAsia="Arial" w:hAnsi="Arial"/>
          <w:sz w:val="16"/>
          <w:szCs w:val="16"/>
          <w:color w:val="auto"/>
        </w:rPr>
        <w:t>Strong risk and control policies and consideration of risk management factors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-35560</wp:posOffset>
            </wp:positionV>
            <wp:extent cx="27514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60" w:type="dxa"/>
            <w:vAlign w:val="bottom"/>
            <w:gridSpan w:val="2"/>
            <w:shd w:val="clear" w:color="auto" w:fill="BF5B5A"/>
          </w:tcPr>
          <w:p>
            <w:pPr>
              <w:spacing w:after="0"/>
              <w:rPr>
                <w:sz w:val="20"/>
                <w:szCs w:val="20"/>
                <w:color w:val="auto"/>
              </w:rPr>
            </w:pPr>
            <w:r>
              <w:rPr>
                <w:rFonts w:ascii="Arial" w:cs="Arial" w:eastAsia="Arial" w:hAnsi="Arial"/>
                <w:sz w:val="18"/>
                <w:szCs w:val="18"/>
                <w:b w:val="1"/>
                <w:bCs w:val="1"/>
                <w:color w:val="FFFFFF"/>
              </w:rPr>
              <w:t>​      Practices We Avoid</w:t>
            </w:r>
          </w:p>
        </w:tc>
        <w:tc>
          <w:tcPr>
            <w:tcW w:w="1300" w:type="dxa"/>
            <w:vAlign w:val="bottom"/>
            <w:shd w:val="clear" w:color="auto" w:fill="BF5B5A"/>
          </w:tcPr>
          <w:p>
            <w:pPr>
              <w:jc w:val="right"/>
              <w:spacing w:after="0"/>
              <w:rPr>
                <w:sz w:val="20"/>
                <w:szCs w:val="20"/>
                <w:color w:val="auto"/>
              </w:rPr>
            </w:pPr>
            <w:r>
              <w:rPr>
                <w:rFonts w:ascii="Arial" w:cs="Arial" w:eastAsia="Arial" w:hAnsi="Arial"/>
                <w:sz w:val="18"/>
                <w:szCs w:val="18"/>
                <w:b w:val="1"/>
                <w:bCs w:val="1"/>
                <w:color w:val="FFFFFF"/>
              </w:rPr>
              <w:t>​</w:t>
            </w:r>
          </w:p>
        </w:tc>
      </w:tr>
      <w:tr>
        <w:trPr>
          <w:trHeight w:val="326"/>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4080" w:type="dxa"/>
            <w:vAlign w:val="bottom"/>
            <w:gridSpan w:val="2"/>
          </w:tcPr>
          <w:p>
            <w:pPr>
              <w:jc w:val="right"/>
              <w:spacing w:after="0" w:line="326" w:lineRule="exact"/>
              <w:rPr>
                <w:sz w:val="20"/>
                <w:szCs w:val="20"/>
                <w:color w:val="auto"/>
              </w:rPr>
            </w:pPr>
            <w:r>
              <w:rPr>
                <w:rFonts w:ascii="Arial" w:cs="Arial" w:eastAsia="Arial" w:hAnsi="Arial"/>
                <w:sz w:val="16"/>
                <w:szCs w:val="16"/>
                <w:color w:val="auto"/>
              </w:rPr>
              <w:t xml:space="preserve">Hedging, speculative trading or pledging of shares </w:t>
            </w:r>
            <w:r>
              <w:rPr>
                <w:rFonts w:ascii="Arial" w:cs="Arial" w:eastAsia="Arial" w:hAnsi="Arial"/>
                <w:sz w:val="32"/>
                <w:szCs w:val="32"/>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-163195</wp:posOffset>
            </wp:positionV>
            <wp:extent cx="111125" cy="1117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500" w:right="180"/>
        <w:spacing w:after="0" w:line="300" w:lineRule="auto"/>
        <w:rPr>
          <w:sz w:val="20"/>
          <w:szCs w:val="20"/>
          <w:color w:val="auto"/>
        </w:rPr>
      </w:pPr>
      <w:r>
        <w:rPr>
          <w:rFonts w:ascii="Arial" w:cs="Arial" w:eastAsia="Arial" w:hAnsi="Arial"/>
          <w:sz w:val="16"/>
          <w:szCs w:val="16"/>
          <w:color w:val="auto"/>
        </w:rPr>
        <w:t>of Company stock held by employees or directors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6985</wp:posOffset>
            </wp:positionV>
            <wp:extent cx="111125"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4" w:lineRule="exact"/>
        <w:rPr>
          <w:sz w:val="20"/>
          <w:szCs w:val="20"/>
          <w:color w:val="auto"/>
        </w:rPr>
      </w:pPr>
    </w:p>
    <w:p>
      <w:pPr>
        <w:ind w:left="500" w:right="340"/>
        <w:spacing w:after="0" w:line="321" w:lineRule="auto"/>
        <w:rPr>
          <w:sz w:val="20"/>
          <w:szCs w:val="20"/>
          <w:color w:val="auto"/>
        </w:rPr>
      </w:pPr>
      <w:r>
        <w:rPr>
          <w:rFonts w:ascii="Arial" w:cs="Arial" w:eastAsia="Arial" w:hAnsi="Arial"/>
          <w:sz w:val="16"/>
          <w:szCs w:val="16"/>
          <w:color w:val="auto"/>
        </w:rPr>
        <w:t>No gross-up of severance payments or benefits for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500" w:right="160"/>
        <w:spacing w:after="0" w:line="321" w:lineRule="auto"/>
        <w:rPr>
          <w:sz w:val="20"/>
          <w:szCs w:val="20"/>
          <w:color w:val="auto"/>
        </w:rPr>
      </w:pPr>
      <w:r>
        <w:rPr>
          <w:rFonts w:ascii="Arial" w:cs="Arial" w:eastAsia="Arial" w:hAnsi="Arial"/>
          <w:sz w:val="16"/>
          <w:szCs w:val="16"/>
          <w:color w:val="auto"/>
        </w:rPr>
        <w:t>No dividends paid on unearned performance units 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 w:lineRule="exact"/>
        <w:rPr>
          <w:sz w:val="20"/>
          <w:szCs w:val="20"/>
          <w:color w:val="auto"/>
        </w:rPr>
      </w:pPr>
    </w:p>
    <w:p>
      <w:pPr>
        <w:ind w:left="500" w:right="460"/>
        <w:spacing w:after="0" w:line="321" w:lineRule="auto"/>
        <w:rPr>
          <w:sz w:val="20"/>
          <w:szCs w:val="20"/>
          <w:color w:val="auto"/>
        </w:rPr>
      </w:pPr>
      <w:r>
        <w:rPr>
          <w:rFonts w:ascii="Arial" w:cs="Arial" w:eastAsia="Arial" w:hAnsi="Arial"/>
          <w:sz w:val="16"/>
          <w:szCs w:val="16"/>
          <w:color w:val="auto"/>
        </w:rPr>
        <w:t>No discounting, reloading or repricing of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500" w:right="400"/>
        <w:spacing w:after="0" w:line="321" w:lineRule="auto"/>
        <w:rPr>
          <w:sz w:val="20"/>
          <w:szCs w:val="20"/>
          <w:color w:val="auto"/>
        </w:rPr>
      </w:pPr>
      <w:r>
        <w:rPr>
          <w:rFonts w:ascii="Arial" w:cs="Arial" w:eastAsia="Arial" w:hAnsi="Arial"/>
          <w:sz w:val="16"/>
          <w:szCs w:val="16"/>
          <w:color w:val="auto"/>
        </w:rPr>
        <w:t>No automatic share replenishment (evergreen) provisions in any share-based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ind w:left="500" w:right="260"/>
        <w:spacing w:after="0" w:line="321" w:lineRule="auto"/>
        <w:rPr>
          <w:sz w:val="20"/>
          <w:szCs w:val="20"/>
          <w:color w:val="auto"/>
        </w:rPr>
      </w:pPr>
      <w:r>
        <w:rPr>
          <w:rFonts w:ascii="Arial" w:cs="Arial" w:eastAsia="Arial" w:hAnsi="Arial"/>
          <w:sz w:val="16"/>
          <w:szCs w:val="16"/>
          <w:color w:val="auto"/>
        </w:rPr>
        <w:t>No single-trigger vesting of equity-based awards held by executives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7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 new benefit accruals under executive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55245</wp:posOffset>
            </wp:positionV>
            <wp:extent cx="111125" cy="1111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80" w:lineRule="exact"/>
        <w:rPr>
          <w:sz w:val="20"/>
          <w:szCs w:val="20"/>
          <w:color w:val="auto"/>
        </w:rPr>
      </w:pPr>
    </w:p>
    <w:p>
      <w:pPr>
        <w:ind w:left="500" w:right="120"/>
        <w:spacing w:after="0" w:line="321" w:lineRule="auto"/>
        <w:rPr>
          <w:sz w:val="20"/>
          <w:szCs w:val="20"/>
          <w:color w:val="auto"/>
        </w:rPr>
      </w:pPr>
      <w:r>
        <w:rPr>
          <w:rFonts w:ascii="Arial" w:cs="Arial" w:eastAsia="Arial" w:hAnsi="Arial"/>
          <w:sz w:val="16"/>
          <w:szCs w:val="16"/>
          <w:color w:val="auto"/>
        </w:rPr>
        <w:t>No multi-year compensation guarantees that could incentivize imprudent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1102360</wp:posOffset>
            </wp:positionV>
            <wp:extent cx="27686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993" w:lineRule="exact"/>
        <w:rPr>
          <w:sz w:val="20"/>
          <w:szCs w:val="20"/>
          <w:color w:val="auto"/>
        </w:rPr>
      </w:pPr>
    </w:p>
    <w:p>
      <w:pPr>
        <w:sectPr>
          <w:pgSz w:w="11900" w:h="16838" w:orient="portrait"/>
          <w:cols w:equalWidth="0" w:num="3">
            <w:col w:w="5020" w:space="100"/>
            <w:col w:w="40" w:space="440"/>
            <w:col w:w="43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14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235585</wp:posOffset>
            </wp:positionV>
            <wp:extent cx="2562860" cy="848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6286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CORPORATE</w:t>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GOVERNANCE AND</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PROPOSAL 1</w:t>
      </w:r>
      <w:r>
        <w:rPr>
          <w:rFonts w:ascii="Arial" w:cs="Arial" w:eastAsia="Arial" w:hAnsi="Arial"/>
          <w:sz w:val="25"/>
          <w:szCs w:val="25"/>
          <w:b w:val="1"/>
          <w:bCs w:val="1"/>
          <w:color w:val="00000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99060</wp:posOffset>
            </wp:positionV>
            <wp:extent cx="5829300" cy="18256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0" cy="1825625"/>
                    </a:xfrm>
                    <a:prstGeom prst="rect">
                      <a:avLst/>
                    </a:prstGeom>
                    <a:noFill/>
                  </pic:spPr>
                </pic:pic>
              </a:graphicData>
            </a:graphic>
          </wp:anchor>
        </w:drawing>
      </w:r>
    </w:p>
    <w:p>
      <w:pPr>
        <w:spacing w:after="0" w:line="51" w:lineRule="exact"/>
        <w:rPr>
          <w:sz w:val="20"/>
          <w:szCs w:val="20"/>
          <w:color w:val="auto"/>
        </w:rPr>
      </w:pPr>
    </w:p>
    <w:tbl>
      <w:tblPr>
        <w:tblLayout w:type="fixed"/>
        <w:tblInd w:w="800" w:type="dxa"/>
        <w:tblCellMar>
          <w:top w:w="0" w:type="dxa"/>
          <w:left w:w="0" w:type="dxa"/>
          <w:bottom w:w="0" w:type="dxa"/>
          <w:right w:w="0" w:type="dxa"/>
        </w:tblCellMar>
      </w:tblPr>
      <w:tr>
        <w:trPr>
          <w:trHeight w:val="368"/>
        </w:trPr>
        <w:tc>
          <w:tcPr>
            <w:tcW w:w="2080" w:type="dxa"/>
            <w:vAlign w:val="bottom"/>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Election of Directors</w:t>
            </w:r>
          </w:p>
        </w:tc>
        <w:tc>
          <w:tcPr>
            <w:tcW w:w="1360" w:type="dxa"/>
            <w:vAlign w:val="bottom"/>
            <w:gridSpan w:val="2"/>
          </w:tcPr>
          <w:p>
            <w:pPr>
              <w:ind w:left="50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Proposal</w:t>
            </w:r>
          </w:p>
        </w:tc>
        <w:tc>
          <w:tcPr>
            <w:tcW w:w="5640" w:type="dxa"/>
            <w:vAlign w:val="bottom"/>
          </w:tcPr>
          <w:p>
            <w:pPr>
              <w:ind w:left="5600"/>
              <w:spacing w:after="0"/>
              <w:rPr>
                <w:sz w:val="20"/>
                <w:szCs w:val="20"/>
                <w:color w:val="auto"/>
              </w:rPr>
            </w:pPr>
            <w:r>
              <w:rPr>
                <w:rFonts w:ascii="Arial" w:cs="Arial" w:eastAsia="Arial" w:hAnsi="Arial"/>
                <w:sz w:val="16"/>
                <w:szCs w:val="16"/>
                <w:color w:val="auto"/>
              </w:rPr>
              <w:t>​</w:t>
            </w:r>
          </w:p>
        </w:tc>
      </w:tr>
      <w:tr>
        <w:trPr>
          <w:trHeight w:val="20"/>
        </w:trPr>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pacing w:after="0" w:line="107" w:lineRule="exact"/>
        <w:rPr>
          <w:sz w:val="20"/>
          <w:szCs w:val="20"/>
          <w:color w:val="auto"/>
        </w:rPr>
      </w:pPr>
    </w:p>
    <w:p>
      <w:pPr>
        <w:ind w:left="3760" w:right="200" w:hanging="172"/>
        <w:spacing w:after="0" w:line="301" w:lineRule="auto"/>
        <w:tabs>
          <w:tab w:leader="none" w:pos="3760" w:val="left"/>
        </w:tabs>
        <w:numPr>
          <w:ilvl w:val="0"/>
          <w:numId w:val="32"/>
        </w:numPr>
        <w:rPr>
          <w:rFonts w:ascii="Arial" w:cs="Arial" w:eastAsia="Arial" w:hAnsi="Arial"/>
          <w:sz w:val="16"/>
          <w:szCs w:val="16"/>
          <w:color w:val="BF5B5A"/>
        </w:rPr>
      </w:pPr>
      <w:r>
        <w:rPr>
          <w:rFonts w:ascii="Arial" w:cs="Arial" w:eastAsia="Arial" w:hAnsi="Arial"/>
          <w:sz w:val="16"/>
          <w:szCs w:val="16"/>
          <w:color w:val="auto"/>
        </w:rPr>
        <w:t>We are asking stockholders to elect the nine nominees named in this proxy statement to serve on our Board until the 2025 annual meeting of stockholders or until their successors have been duly elected and qualified.</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6"/>
          <w:szCs w:val="16"/>
          <w:b w:val="1"/>
          <w:bCs w:val="1"/>
          <w:u w:val="single" w:color="auto"/>
          <w:color w:val="auto"/>
        </w:rPr>
        <w:t>Background</w:t>
      </w:r>
    </w:p>
    <w:p>
      <w:pPr>
        <w:spacing w:after="0" w:line="73" w:lineRule="exact"/>
        <w:rPr>
          <w:sz w:val="20"/>
          <w:szCs w:val="20"/>
          <w:color w:val="auto"/>
        </w:rPr>
      </w:pPr>
    </w:p>
    <w:p>
      <w:pPr>
        <w:ind w:left="3760" w:hanging="172"/>
        <w:spacing w:after="0"/>
        <w:tabs>
          <w:tab w:leader="none" w:pos="3760" w:val="left"/>
        </w:tabs>
        <w:numPr>
          <w:ilvl w:val="0"/>
          <w:numId w:val="33"/>
        </w:numPr>
        <w:rPr>
          <w:rFonts w:ascii="Arial" w:cs="Arial" w:eastAsia="Arial" w:hAnsi="Arial"/>
          <w:sz w:val="16"/>
          <w:szCs w:val="16"/>
          <w:color w:val="BF5B5A"/>
        </w:rPr>
      </w:pPr>
      <w:r>
        <w:rPr>
          <w:rFonts w:ascii="Arial" w:cs="Arial" w:eastAsia="Arial" w:hAnsi="Arial"/>
          <w:sz w:val="16"/>
          <w:szCs w:val="16"/>
          <w:color w:val="auto"/>
        </w:rPr>
        <w:t>All nine nominees currently serve on our Board</w:t>
      </w:r>
    </w:p>
    <w:p>
      <w:pPr>
        <w:spacing w:after="0" w:line="59" w:lineRule="exact"/>
        <w:rPr>
          <w:rFonts w:ascii="Arial" w:cs="Arial" w:eastAsia="Arial" w:hAnsi="Arial"/>
          <w:sz w:val="16"/>
          <w:szCs w:val="16"/>
          <w:color w:val="BF5B5A"/>
        </w:rPr>
      </w:pPr>
    </w:p>
    <w:p>
      <w:pPr>
        <w:ind w:left="3760" w:hanging="172"/>
        <w:spacing w:after="0"/>
        <w:tabs>
          <w:tab w:leader="none" w:pos="3760" w:val="left"/>
        </w:tabs>
        <w:numPr>
          <w:ilvl w:val="0"/>
          <w:numId w:val="33"/>
        </w:numPr>
        <w:rPr>
          <w:rFonts w:ascii="Arial" w:cs="Arial" w:eastAsia="Arial" w:hAnsi="Arial"/>
          <w:sz w:val="16"/>
          <w:szCs w:val="16"/>
          <w:color w:val="BF5B5A"/>
        </w:rPr>
      </w:pPr>
      <w:r>
        <w:rPr>
          <w:rFonts w:ascii="Arial" w:cs="Arial" w:eastAsia="Arial" w:hAnsi="Arial"/>
          <w:sz w:val="16"/>
          <w:szCs w:val="16"/>
          <w:color w:val="auto"/>
        </w:rPr>
        <w:t>Eight of the nine nominees are independent</w:t>
      </w:r>
    </w:p>
    <w:p>
      <w:pPr>
        <w:spacing w:after="0" w:line="72" w:lineRule="exact"/>
        <w:rPr>
          <w:rFonts w:ascii="Arial" w:cs="Arial" w:eastAsia="Arial" w:hAnsi="Arial"/>
          <w:sz w:val="16"/>
          <w:szCs w:val="16"/>
          <w:color w:val="BF5B5A"/>
        </w:rPr>
      </w:pPr>
    </w:p>
    <w:p>
      <w:pPr>
        <w:ind w:left="3760" w:hanging="172"/>
        <w:spacing w:after="0"/>
        <w:tabs>
          <w:tab w:leader="none" w:pos="3760" w:val="left"/>
        </w:tabs>
        <w:numPr>
          <w:ilvl w:val="0"/>
          <w:numId w:val="33"/>
        </w:numPr>
        <w:rPr>
          <w:rFonts w:ascii="Arial" w:cs="Arial" w:eastAsia="Arial" w:hAnsi="Arial"/>
          <w:sz w:val="16"/>
          <w:szCs w:val="16"/>
          <w:color w:val="BF5B5A"/>
        </w:rPr>
      </w:pPr>
      <w:r>
        <w:rPr>
          <w:rFonts w:ascii="Arial" w:cs="Arial" w:eastAsia="Arial" w:hAnsi="Arial"/>
          <w:sz w:val="16"/>
          <w:szCs w:val="16"/>
          <w:color w:val="auto"/>
        </w:rPr>
        <w:t>33% of the nominees are women</w:t>
      </w:r>
    </w:p>
    <w:p>
      <w:pPr>
        <w:spacing w:after="0" w:line="72" w:lineRule="exact"/>
        <w:rPr>
          <w:rFonts w:ascii="Arial" w:cs="Arial" w:eastAsia="Arial" w:hAnsi="Arial"/>
          <w:sz w:val="16"/>
          <w:szCs w:val="16"/>
          <w:color w:val="BF5B5A"/>
        </w:rPr>
      </w:pPr>
    </w:p>
    <w:p>
      <w:pPr>
        <w:ind w:left="3760" w:hanging="172"/>
        <w:spacing w:after="0"/>
        <w:tabs>
          <w:tab w:leader="none" w:pos="3760" w:val="left"/>
        </w:tabs>
        <w:numPr>
          <w:ilvl w:val="0"/>
          <w:numId w:val="33"/>
        </w:numPr>
        <w:rPr>
          <w:rFonts w:ascii="Arial" w:cs="Arial" w:eastAsia="Arial" w:hAnsi="Arial"/>
          <w:sz w:val="16"/>
          <w:szCs w:val="16"/>
          <w:color w:val="BF5B5A"/>
        </w:rPr>
      </w:pPr>
      <w:r>
        <w:rPr>
          <w:rFonts w:ascii="Arial" w:cs="Arial" w:eastAsia="Arial" w:hAnsi="Arial"/>
          <w:sz w:val="16"/>
          <w:szCs w:val="16"/>
          <w:color w:val="auto"/>
        </w:rPr>
        <w:t>67% of the nominees represent an ethnic minority</w:t>
      </w:r>
    </w:p>
    <w:p>
      <w:pPr>
        <w:spacing w:after="0" w:line="88" w:lineRule="exact"/>
        <w:rPr>
          <w:sz w:val="20"/>
          <w:szCs w:val="20"/>
          <w:color w:val="auto"/>
        </w:rPr>
      </w:pPr>
    </w:p>
    <w:p>
      <w:pPr>
        <w:ind w:left="3580" w:right="620"/>
        <w:spacing w:after="0" w:line="329" w:lineRule="auto"/>
        <w:rPr>
          <w:sz w:val="20"/>
          <w:szCs w:val="20"/>
          <w:color w:val="auto"/>
        </w:rPr>
      </w:pPr>
      <w:r>
        <w:rPr>
          <w:rFonts w:ascii="Arial" w:cs="Arial" w:eastAsia="Arial" w:hAnsi="Arial"/>
          <w:sz w:val="16"/>
          <w:szCs w:val="16"/>
          <w:b w:val="1"/>
          <w:bCs w:val="1"/>
          <w:i w:val="1"/>
          <w:iCs w:val="1"/>
          <w:color w:val="auto"/>
        </w:rPr>
        <w:t>The Board of Directors unanimously recommends that you vote “FOR” the election of each of the nominees for director.</w:t>
      </w:r>
    </w:p>
    <w:p>
      <w:pPr>
        <w:sectPr>
          <w:pgSz w:w="11900" w:h="16838" w:orient="portrait"/>
          <w:cols w:equalWidth="0" w:num="1">
            <w:col w:w="9960"/>
          </w:cols>
          <w:pgMar w:left="580" w:top="97" w:right="1359" w:bottom="1440" w:gutter="0" w:footer="0" w:header="0"/>
        </w:sectPr>
      </w:pPr>
    </w:p>
    <w:p>
      <w:pPr>
        <w:spacing w:after="0" w:line="164"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Our Board currently has nine members, consisting of our Chief Executive Officer and President (who also serves as Chairman of the Board) and eight other directors, all of whom are “independent” under the listing standards of NASDAQ. The terms of office of all nine directors expire at the Annual Meeting.</w:t>
      </w:r>
    </w:p>
    <w:p>
      <w:pPr>
        <w:spacing w:after="0" w:line="1"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At the Annual Meeting, you will be asked to elect nine individuals to serve on the Board that the Board has nominated for re-election, each to serve for a one-year term expiring at the next annual meeting of stockholders in 2025. Each director will hold office until his or her successor has been elected and qualified or until the director’s earlier resignation or removal.</w:t>
      </w:r>
    </w:p>
    <w:p>
      <w:pPr>
        <w:spacing w:after="0" w:line="1" w:lineRule="exact"/>
        <w:rPr>
          <w:sz w:val="20"/>
          <w:szCs w:val="20"/>
          <w:color w:val="auto"/>
        </w:rPr>
      </w:pPr>
    </w:p>
    <w:p>
      <w:pPr>
        <w:ind w:left="780" w:right="560"/>
        <w:spacing w:after="0" w:line="303" w:lineRule="auto"/>
        <w:rPr>
          <w:sz w:val="20"/>
          <w:szCs w:val="20"/>
          <w:color w:val="auto"/>
        </w:rPr>
      </w:pPr>
      <w:r>
        <w:rPr>
          <w:rFonts w:ascii="Arial" w:cs="Arial" w:eastAsia="Arial" w:hAnsi="Arial"/>
          <w:sz w:val="18"/>
          <w:szCs w:val="18"/>
          <w:color w:val="auto"/>
        </w:rPr>
        <w:t>All of our directors are elected annually by the affirmative vote of a majority of votes cast.</w:t>
      </w:r>
    </w:p>
    <w:p>
      <w:pPr>
        <w:spacing w:after="0" w:line="44" w:lineRule="exact"/>
        <w:rPr>
          <w:sz w:val="20"/>
          <w:szCs w:val="20"/>
          <w:color w:val="auto"/>
        </w:rPr>
      </w:pPr>
    </w:p>
    <w:p>
      <w:pPr>
        <w:jc w:val="both"/>
        <w:ind w:left="1420" w:right="200" w:hanging="280"/>
        <w:spacing w:after="0" w:line="292" w:lineRule="auto"/>
        <w:tabs>
          <w:tab w:leader="none" w:pos="1420" w:val="left"/>
        </w:tabs>
        <w:numPr>
          <w:ilvl w:val="0"/>
          <w:numId w:val="34"/>
        </w:numPr>
        <w:rPr>
          <w:rFonts w:ascii="Arial" w:cs="Arial" w:eastAsia="Arial" w:hAnsi="Arial"/>
          <w:sz w:val="18"/>
          <w:szCs w:val="18"/>
          <w:color w:val="BF5B5A"/>
        </w:rPr>
      </w:pPr>
      <w:r>
        <w:rPr>
          <w:rFonts w:ascii="Arial" w:cs="Arial" w:eastAsia="Arial" w:hAnsi="Arial"/>
          <w:sz w:val="18"/>
          <w:szCs w:val="18"/>
          <w:color w:val="auto"/>
        </w:rPr>
        <w:t>A director who fails to receive a majority of FOR votes will be required to tender his or her resignation to our Board.</w:t>
      </w:r>
    </w:p>
    <w:p>
      <w:pPr>
        <w:spacing w:after="0" w:line="54" w:lineRule="exact"/>
        <w:rPr>
          <w:rFonts w:ascii="Arial" w:cs="Arial" w:eastAsia="Arial" w:hAnsi="Arial"/>
          <w:sz w:val="18"/>
          <w:szCs w:val="18"/>
          <w:color w:val="BF5B5A"/>
        </w:rPr>
      </w:pPr>
    </w:p>
    <w:p>
      <w:pPr>
        <w:ind w:left="1420" w:right="100" w:hanging="280"/>
        <w:spacing w:after="0" w:line="303" w:lineRule="auto"/>
        <w:tabs>
          <w:tab w:leader="none" w:pos="1420" w:val="left"/>
        </w:tabs>
        <w:numPr>
          <w:ilvl w:val="0"/>
          <w:numId w:val="34"/>
        </w:numPr>
        <w:rPr>
          <w:rFonts w:ascii="Arial" w:cs="Arial" w:eastAsia="Arial" w:hAnsi="Arial"/>
          <w:sz w:val="18"/>
          <w:szCs w:val="18"/>
          <w:color w:val="BF5B5A"/>
        </w:rPr>
      </w:pPr>
      <w:r>
        <w:rPr>
          <w:rFonts w:ascii="Arial" w:cs="Arial" w:eastAsia="Arial" w:hAnsi="Arial"/>
          <w:sz w:val="18"/>
          <w:szCs w:val="18"/>
          <w:color w:val="auto"/>
        </w:rPr>
        <w:t>Our Corporate Governance and Nominating Committee will then assess whether there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40" w:right="120"/>
        <w:spacing w:after="0" w:line="289" w:lineRule="auto"/>
        <w:rPr>
          <w:sz w:val="20"/>
          <w:szCs w:val="20"/>
          <w:color w:val="auto"/>
        </w:rPr>
      </w:pPr>
      <w:r>
        <w:rPr>
          <w:rFonts w:ascii="Arial" w:cs="Arial" w:eastAsia="Arial" w:hAnsi="Arial"/>
          <w:sz w:val="18"/>
          <w:szCs w:val="18"/>
          <w:color w:val="auto"/>
        </w:rPr>
        <w:t>is a significant reason for the director to remain on our Board and will make a recommendation to our Board regarding the resignation.</w:t>
      </w:r>
    </w:p>
    <w:p>
      <w:pPr>
        <w:spacing w:after="0" w:line="2" w:lineRule="exact"/>
        <w:rPr>
          <w:sz w:val="20"/>
          <w:szCs w:val="20"/>
          <w:color w:val="auto"/>
        </w:rPr>
      </w:pPr>
    </w:p>
    <w:p>
      <w:pPr>
        <w:ind w:left="20" w:right="100"/>
        <w:spacing w:after="0" w:line="294" w:lineRule="auto"/>
        <w:rPr>
          <w:sz w:val="20"/>
          <w:szCs w:val="20"/>
          <w:color w:val="auto"/>
        </w:rPr>
      </w:pPr>
      <w:r>
        <w:rPr>
          <w:rFonts w:ascii="Arial" w:cs="Arial" w:eastAsia="Arial" w:hAnsi="Arial"/>
          <w:sz w:val="18"/>
          <w:szCs w:val="18"/>
          <w:color w:val="auto"/>
        </w:rPr>
        <w:t>For detailed information on the vote required for the election of directors and the choices available for casting your vote, please see “</w:t>
      </w:r>
      <w:r>
        <w:rPr>
          <w:rFonts w:ascii="Arial" w:cs="Arial" w:eastAsia="Arial" w:hAnsi="Arial"/>
          <w:sz w:val="18"/>
          <w:szCs w:val="18"/>
          <w:i w:val="1"/>
          <w:iCs w:val="1"/>
          <w:color w:val="auto"/>
        </w:rPr>
        <w:t>Frequently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About the Annual Meeting and Voting</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Required Vote</w:t>
      </w:r>
    </w:p>
    <w:p>
      <w:pPr>
        <w:spacing w:after="0" w:line="83" w:lineRule="exact"/>
        <w:rPr>
          <w:sz w:val="20"/>
          <w:szCs w:val="20"/>
          <w:color w:val="auto"/>
        </w:rPr>
      </w:pPr>
    </w:p>
    <w:p>
      <w:pPr>
        <w:ind w:left="20" w:right="20"/>
        <w:spacing w:after="0" w:line="285" w:lineRule="auto"/>
        <w:rPr>
          <w:sz w:val="20"/>
          <w:szCs w:val="20"/>
          <w:color w:val="auto"/>
        </w:rPr>
      </w:pPr>
      <w:r>
        <w:rPr>
          <w:rFonts w:ascii="Arial" w:cs="Arial" w:eastAsia="Arial" w:hAnsi="Arial"/>
          <w:sz w:val="18"/>
          <w:szCs w:val="18"/>
          <w:color w:val="auto"/>
        </w:rPr>
        <w:t>With regard to the election of the director nominees, votes may be cast in favor or against. A majority of the votes cast is required for the election of directors in an uncontested election (which is the case for the election of directors at the 2024 Annual Meeting). A majority of the votes cast means that the number of votes cast “FOR” a director nominee must exceed the number of votes cast “AGAINST” that nominee. Abstentions and broker non-votes are not counted as votes “for” or “against” a director nominee.</w:t>
      </w:r>
    </w:p>
    <w:p>
      <w:pPr>
        <w:spacing w:after="0" w:line="295" w:lineRule="exact"/>
        <w:rPr>
          <w:sz w:val="20"/>
          <w:szCs w:val="20"/>
          <w:color w:val="auto"/>
        </w:rPr>
      </w:pPr>
    </w:p>
    <w:p>
      <w:pPr>
        <w:sectPr>
          <w:pgSz w:w="11900" w:h="16838" w:orient="portrait"/>
          <w:cols w:equalWidth="0" w:num="2">
            <w:col w:w="5120" w:space="480"/>
            <w:col w:w="4360"/>
          </w:cols>
          <w:pgMar w:left="580" w:top="97" w:right="1359" w:bottom="1440" w:gutter="0" w:footer="0" w:header="0"/>
          <w:type w:val="continuous"/>
        </w:sectPr>
      </w:pPr>
    </w:p>
    <w:tbl>
      <w:tblPr>
        <w:tblLayout w:type="fixed"/>
        <w:tblInd w:w="790" w:type="dxa"/>
        <w:tblCellMar>
          <w:top w:w="0" w:type="dxa"/>
          <w:left w:w="0" w:type="dxa"/>
          <w:bottom w:w="0" w:type="dxa"/>
          <w:right w:w="0" w:type="dxa"/>
        </w:tblCellMar>
      </w:tblPr>
      <w:tr>
        <w:trPr>
          <w:trHeight w:val="175"/>
        </w:trPr>
        <w:tc>
          <w:tcPr>
            <w:tcW w:w="480" w:type="dxa"/>
            <w:vAlign w:val="bottom"/>
            <w:tcBorders>
              <w:top w:val="single" w:sz="8" w:color="BF5B5A"/>
              <w:left w:val="single" w:sz="8" w:color="BF5B5A"/>
            </w:tcBorders>
          </w:tcPr>
          <w:p>
            <w:pPr>
              <w:ind w:left="20"/>
              <w:spacing w:after="0" w:line="176" w:lineRule="exact"/>
              <w:rPr>
                <w:sz w:val="20"/>
                <w:szCs w:val="20"/>
                <w:color w:val="auto"/>
              </w:rPr>
            </w:pPr>
            <w:r>
              <w:rPr>
                <w:rFonts w:ascii="Arial" w:cs="Arial" w:eastAsia="Arial" w:hAnsi="Arial"/>
                <w:sz w:val="18"/>
                <w:szCs w:val="18"/>
                <w:b w:val="1"/>
                <w:bCs w:val="1"/>
                <w:color w:val="auto"/>
              </w:rPr>
              <w:t>​</w:t>
            </w:r>
          </w:p>
        </w:tc>
        <w:tc>
          <w:tcPr>
            <w:tcW w:w="8480" w:type="dxa"/>
            <w:vAlign w:val="bottom"/>
            <w:tcBorders>
              <w:top w:val="single" w:sz="8" w:color="BF5B5A"/>
            </w:tcBorders>
          </w:tcPr>
          <w:p>
            <w:pPr>
              <w:ind w:left="40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BF5B5A"/>
              <w:right w:val="single" w:sz="8" w:color="BF5B5A"/>
            </w:tcBorders>
          </w:tcPr>
          <w:p>
            <w:pPr>
              <w:ind w:left="160"/>
              <w:spacing w:after="0" w:line="176" w:lineRule="exact"/>
              <w:rPr>
                <w:sz w:val="20"/>
                <w:szCs w:val="20"/>
                <w:color w:val="auto"/>
              </w:rPr>
            </w:pPr>
            <w:r>
              <w:rPr>
                <w:rFonts w:ascii="Arial" w:cs="Arial" w:eastAsia="Arial" w:hAnsi="Arial"/>
                <w:sz w:val="18"/>
                <w:szCs w:val="18"/>
                <w:b w:val="1"/>
                <w:bCs w:val="1"/>
                <w:color w:val="auto"/>
              </w:rPr>
              <w:t>​</w:t>
            </w:r>
          </w:p>
        </w:tc>
      </w:tr>
      <w:tr>
        <w:trPr>
          <w:trHeight w:val="197"/>
        </w:trPr>
        <w:tc>
          <w:tcPr>
            <w:tcW w:w="480" w:type="dxa"/>
            <w:vAlign w:val="bottom"/>
            <w:tcBorders>
              <w:left w:val="single" w:sz="8" w:color="BF5B5A"/>
            </w:tcBorders>
          </w:tcPr>
          <w:p>
            <w:pPr>
              <w:spacing w:after="0"/>
              <w:rPr>
                <w:sz w:val="17"/>
                <w:szCs w:val="17"/>
                <w:color w:val="auto"/>
              </w:rPr>
            </w:pPr>
          </w:p>
        </w:tc>
        <w:tc>
          <w:tcPr>
            <w:tcW w:w="8480" w:type="dxa"/>
            <w:vAlign w:val="bottom"/>
          </w:tcPr>
          <w:p>
            <w:pPr>
              <w:ind w:left="400"/>
              <w:spacing w:after="0" w:line="197" w:lineRule="exact"/>
              <w:rPr>
                <w:sz w:val="20"/>
                <w:szCs w:val="20"/>
                <w:color w:val="auto"/>
              </w:rPr>
            </w:pPr>
            <w:r>
              <w:rPr>
                <w:rFonts w:ascii="Arial" w:cs="Arial" w:eastAsia="Arial" w:hAnsi="Arial"/>
                <w:sz w:val="18"/>
                <w:szCs w:val="18"/>
                <w:b w:val="1"/>
                <w:bCs w:val="1"/>
                <w:color w:val="auto"/>
                <w:w w:val="98"/>
              </w:rPr>
              <w:t xml:space="preserve">The Board of Directors unanimously recommends that you vote </w:t>
            </w:r>
            <w:r>
              <w:rPr>
                <w:rFonts w:ascii="Arial" w:cs="Arial" w:eastAsia="Arial" w:hAnsi="Arial"/>
                <w:sz w:val="19"/>
                <w:szCs w:val="19"/>
                <w:b w:val="1"/>
                <w:bCs w:val="1"/>
                <w:color w:val="BF5B5A"/>
                <w:w w:val="98"/>
              </w:rPr>
              <w:t>FOR</w:t>
            </w:r>
            <w:r>
              <w:rPr>
                <w:rFonts w:ascii="Arial" w:cs="Arial" w:eastAsia="Arial" w:hAnsi="Arial"/>
                <w:sz w:val="18"/>
                <w:szCs w:val="18"/>
                <w:b w:val="1"/>
                <w:bCs w:val="1"/>
                <w:color w:val="auto"/>
                <w:w w:val="98"/>
              </w:rPr>
              <w:t xml:space="preserve"> the election of each of the</w:t>
            </w:r>
          </w:p>
        </w:tc>
        <w:tc>
          <w:tcPr>
            <w:tcW w:w="220" w:type="dxa"/>
            <w:vAlign w:val="bottom"/>
            <w:tcBorders>
              <w:right w:val="single" w:sz="8" w:color="BF5B5A"/>
            </w:tcBorders>
          </w:tcPr>
          <w:p>
            <w:pPr>
              <w:spacing w:after="0"/>
              <w:rPr>
                <w:sz w:val="17"/>
                <w:szCs w:val="17"/>
                <w:color w:val="auto"/>
              </w:rPr>
            </w:pPr>
          </w:p>
        </w:tc>
      </w:tr>
      <w:tr>
        <w:trPr>
          <w:trHeight w:val="247"/>
        </w:trPr>
        <w:tc>
          <w:tcPr>
            <w:tcW w:w="480" w:type="dxa"/>
            <w:vAlign w:val="bottom"/>
            <w:tcBorders>
              <w:left w:val="single" w:sz="8" w:color="BF5B5A"/>
            </w:tcBorders>
          </w:tcPr>
          <w:p>
            <w:pPr>
              <w:spacing w:after="0"/>
              <w:rPr>
                <w:sz w:val="21"/>
                <w:szCs w:val="21"/>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nominees named below.</w:t>
            </w:r>
          </w:p>
        </w:tc>
        <w:tc>
          <w:tcPr>
            <w:tcW w:w="220" w:type="dxa"/>
            <w:vAlign w:val="bottom"/>
            <w:tcBorders>
              <w:right w:val="single" w:sz="8" w:color="BF5B5A"/>
            </w:tcBorders>
          </w:tcPr>
          <w:p>
            <w:pPr>
              <w:spacing w:after="0"/>
              <w:rPr>
                <w:sz w:val="21"/>
                <w:szCs w:val="21"/>
                <w:color w:val="auto"/>
              </w:rPr>
            </w:pPr>
          </w:p>
        </w:tc>
      </w:tr>
      <w:tr>
        <w:trPr>
          <w:trHeight w:val="96"/>
        </w:trPr>
        <w:tc>
          <w:tcPr>
            <w:tcW w:w="480" w:type="dxa"/>
            <w:vAlign w:val="bottom"/>
            <w:tcBorders>
              <w:left w:val="single" w:sz="8" w:color="BF5B5A"/>
              <w:bottom w:val="single" w:sz="8" w:color="BF5B5A"/>
            </w:tcBorders>
          </w:tcPr>
          <w:p>
            <w:pPr>
              <w:spacing w:after="0"/>
              <w:rPr>
                <w:sz w:val="8"/>
                <w:szCs w:val="8"/>
                <w:color w:val="auto"/>
              </w:rPr>
            </w:pPr>
          </w:p>
        </w:tc>
        <w:tc>
          <w:tcPr>
            <w:tcW w:w="8480" w:type="dxa"/>
            <w:vAlign w:val="bottom"/>
            <w:tcBorders>
              <w:bottom w:val="single" w:sz="8" w:color="BF5B5A"/>
            </w:tcBorders>
          </w:tcPr>
          <w:p>
            <w:pPr>
              <w:spacing w:after="0"/>
              <w:rPr>
                <w:sz w:val="8"/>
                <w:szCs w:val="8"/>
                <w:color w:val="auto"/>
              </w:rPr>
            </w:pPr>
          </w:p>
        </w:tc>
        <w:tc>
          <w:tcPr>
            <w:tcW w:w="220" w:type="dxa"/>
            <w:vAlign w:val="bottom"/>
            <w:tcBorders>
              <w:bottom w:val="single" w:sz="8" w:color="BF5B5A"/>
              <w:right w:val="single" w:sz="8" w:color="BF5B5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-368300</wp:posOffset>
            </wp:positionV>
            <wp:extent cx="248285" cy="248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15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DIRECTOR NOMINEES</w:t>
      </w:r>
    </w:p>
    <w:p>
      <w:pPr>
        <w:sectPr>
          <w:pgSz w:w="11900" w:h="16838" w:orient="portrait"/>
          <w:cols w:equalWidth="0" w:num="1">
            <w:col w:w="9960"/>
          </w:cols>
          <w:pgMar w:left="580" w:top="97" w:right="1359" w:bottom="1440" w:gutter="0" w:footer="0" w:header="0"/>
        </w:sectPr>
      </w:pPr>
    </w:p>
    <w:p>
      <w:pPr>
        <w:spacing w:after="0" w:line="245" w:lineRule="exact"/>
        <w:rPr>
          <w:sz w:val="20"/>
          <w:szCs w:val="20"/>
          <w:color w:val="auto"/>
        </w:rPr>
      </w:pPr>
    </w:p>
    <w:p>
      <w:pPr>
        <w:ind w:left="780" w:right="40"/>
        <w:spacing w:after="0" w:line="280" w:lineRule="auto"/>
        <w:rPr>
          <w:sz w:val="20"/>
          <w:szCs w:val="20"/>
          <w:color w:val="auto"/>
        </w:rPr>
      </w:pPr>
      <w:r>
        <w:rPr>
          <w:rFonts w:ascii="Arial" w:cs="Arial" w:eastAsia="Arial" w:hAnsi="Arial"/>
          <w:sz w:val="17"/>
          <w:szCs w:val="17"/>
          <w:color w:val="auto"/>
        </w:rPr>
        <w:t>The Corporate Governance and Nominating Committee of the Board seeks candidates for nomination to the Board who are qualified to be directors consistent with the Company’s corporate governance guidelines, as described below under the section entitled “</w:t>
      </w:r>
      <w:r>
        <w:rPr>
          <w:rFonts w:ascii="Arial" w:cs="Arial" w:eastAsia="Arial" w:hAnsi="Arial"/>
          <w:sz w:val="17"/>
          <w:szCs w:val="17"/>
          <w:i w:val="1"/>
          <w:iCs w:val="1"/>
          <w:color w:val="auto"/>
        </w:rPr>
        <w:t>Board of Directors,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and Governance—Corporate Governance Guidelines and Code of Conduct and Ethics</w:t>
      </w:r>
      <w:r>
        <w:rPr>
          <w:rFonts w:ascii="Arial" w:cs="Arial" w:eastAsia="Arial" w:hAnsi="Arial"/>
          <w:sz w:val="17"/>
          <w:szCs w:val="17"/>
          <w:color w:val="auto"/>
        </w:rPr>
        <w:t>.” In evaluating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suitability of individuals for Board membership, the Corporate Governance and Nominating Committee considers many factors. Those factors include:</w:t>
      </w:r>
    </w:p>
    <w:p>
      <w:pPr>
        <w:spacing w:after="0" w:line="83" w:lineRule="exact"/>
        <w:rPr>
          <w:sz w:val="20"/>
          <w:szCs w:val="20"/>
          <w:color w:val="auto"/>
        </w:rPr>
      </w:pPr>
    </w:p>
    <w:p>
      <w:pPr>
        <w:ind w:left="1420" w:right="640" w:hanging="280"/>
        <w:spacing w:after="0" w:line="303" w:lineRule="auto"/>
        <w:tabs>
          <w:tab w:leader="none" w:pos="1420" w:val="left"/>
        </w:tabs>
        <w:numPr>
          <w:ilvl w:val="0"/>
          <w:numId w:val="35"/>
        </w:numPr>
        <w:rPr>
          <w:rFonts w:ascii="Arial" w:cs="Arial" w:eastAsia="Arial" w:hAnsi="Arial"/>
          <w:sz w:val="18"/>
          <w:szCs w:val="18"/>
          <w:color w:val="BF5B5A"/>
        </w:rPr>
      </w:pPr>
      <w:r>
        <w:rPr>
          <w:rFonts w:ascii="Arial" w:cs="Arial" w:eastAsia="Arial" w:hAnsi="Arial"/>
          <w:sz w:val="18"/>
          <w:szCs w:val="18"/>
          <w:color w:val="auto"/>
        </w:rPr>
        <w:t>whether the individual meets various independence requirements;</w:t>
      </w:r>
    </w:p>
    <w:p>
      <w:pPr>
        <w:spacing w:after="0" w:line="44" w:lineRule="exact"/>
        <w:rPr>
          <w:rFonts w:ascii="Arial" w:cs="Arial" w:eastAsia="Arial" w:hAnsi="Arial"/>
          <w:sz w:val="18"/>
          <w:szCs w:val="18"/>
          <w:color w:val="BF5B5A"/>
        </w:rPr>
      </w:pPr>
    </w:p>
    <w:p>
      <w:pPr>
        <w:ind w:left="1420" w:hanging="280"/>
        <w:spacing w:after="0" w:line="283" w:lineRule="auto"/>
        <w:tabs>
          <w:tab w:leader="none" w:pos="1420" w:val="left"/>
        </w:tabs>
        <w:numPr>
          <w:ilvl w:val="0"/>
          <w:numId w:val="35"/>
        </w:numPr>
        <w:rPr>
          <w:rFonts w:ascii="Arial" w:cs="Arial" w:eastAsia="Arial" w:hAnsi="Arial"/>
          <w:sz w:val="18"/>
          <w:szCs w:val="18"/>
          <w:color w:val="BF5B5A"/>
        </w:rPr>
      </w:pPr>
      <w:r>
        <w:rPr>
          <w:rFonts w:ascii="Arial" w:cs="Arial" w:eastAsia="Arial" w:hAnsi="Arial"/>
          <w:sz w:val="18"/>
          <w:szCs w:val="18"/>
          <w:color w:val="auto"/>
        </w:rPr>
        <w:t>the individual’s general understanding of the varied disciplines relevant to the success of a publicly traded company in today’s business environment;</w:t>
      </w:r>
    </w:p>
    <w:p>
      <w:pPr>
        <w:spacing w:after="0" w:line="63" w:lineRule="exact"/>
        <w:rPr>
          <w:rFonts w:ascii="Arial" w:cs="Arial" w:eastAsia="Arial" w:hAnsi="Arial"/>
          <w:sz w:val="18"/>
          <w:szCs w:val="18"/>
          <w:color w:val="BF5B5A"/>
        </w:rPr>
      </w:pPr>
    </w:p>
    <w:p>
      <w:pPr>
        <w:ind w:left="1420" w:right="200" w:hanging="280"/>
        <w:spacing w:after="0" w:line="303" w:lineRule="auto"/>
        <w:tabs>
          <w:tab w:leader="none" w:pos="1420" w:val="left"/>
        </w:tabs>
        <w:numPr>
          <w:ilvl w:val="0"/>
          <w:numId w:val="35"/>
        </w:numPr>
        <w:rPr>
          <w:rFonts w:ascii="Arial" w:cs="Arial" w:eastAsia="Arial" w:hAnsi="Arial"/>
          <w:sz w:val="18"/>
          <w:szCs w:val="18"/>
          <w:color w:val="BF5B5A"/>
        </w:rPr>
      </w:pPr>
      <w:r>
        <w:rPr>
          <w:rFonts w:ascii="Arial" w:cs="Arial" w:eastAsia="Arial" w:hAnsi="Arial"/>
          <w:sz w:val="18"/>
          <w:szCs w:val="18"/>
          <w:color w:val="auto"/>
        </w:rPr>
        <w:t>understanding of the Company’s business and markets;</w:t>
      </w:r>
    </w:p>
    <w:p>
      <w:pPr>
        <w:spacing w:after="0" w:line="44" w:lineRule="exact"/>
        <w:rPr>
          <w:rFonts w:ascii="Arial" w:cs="Arial" w:eastAsia="Arial" w:hAnsi="Arial"/>
          <w:sz w:val="18"/>
          <w:szCs w:val="18"/>
          <w:color w:val="BF5B5A"/>
        </w:rPr>
      </w:pPr>
    </w:p>
    <w:p>
      <w:pPr>
        <w:ind w:left="1420" w:right="480" w:hanging="280"/>
        <w:spacing w:after="0" w:line="318" w:lineRule="auto"/>
        <w:tabs>
          <w:tab w:leader="none" w:pos="1420" w:val="left"/>
        </w:tabs>
        <w:numPr>
          <w:ilvl w:val="0"/>
          <w:numId w:val="35"/>
        </w:numPr>
        <w:rPr>
          <w:rFonts w:ascii="Arial" w:cs="Arial" w:eastAsia="Arial" w:hAnsi="Arial"/>
          <w:sz w:val="18"/>
          <w:szCs w:val="18"/>
          <w:color w:val="BF5B5A"/>
        </w:rPr>
      </w:pPr>
      <w:r>
        <w:rPr>
          <w:rFonts w:ascii="Arial" w:cs="Arial" w:eastAsia="Arial" w:hAnsi="Arial"/>
          <w:sz w:val="18"/>
          <w:szCs w:val="18"/>
          <w:color w:val="auto"/>
        </w:rPr>
        <w:t>professional expertise and educational background; and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620" w:right="120" w:hanging="267"/>
        <w:spacing w:after="0" w:line="303" w:lineRule="auto"/>
        <w:tabs>
          <w:tab w:leader="none" w:pos="620" w:val="left"/>
        </w:tabs>
        <w:numPr>
          <w:ilvl w:val="0"/>
          <w:numId w:val="36"/>
        </w:numPr>
        <w:rPr>
          <w:rFonts w:ascii="Arial" w:cs="Arial" w:eastAsia="Arial" w:hAnsi="Arial"/>
          <w:sz w:val="18"/>
          <w:szCs w:val="18"/>
          <w:color w:val="BF5B5A"/>
        </w:rPr>
      </w:pPr>
      <w:r>
        <w:rPr>
          <w:rFonts w:ascii="Arial" w:cs="Arial" w:eastAsia="Arial" w:hAnsi="Arial"/>
          <w:sz w:val="18"/>
          <w:szCs w:val="18"/>
          <w:color w:val="auto"/>
        </w:rPr>
        <w:t>other factors that promote diversity of views and experience.</w:t>
      </w:r>
    </w:p>
    <w:p>
      <w:pPr>
        <w:spacing w:after="0" w:line="85"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Corporate Governance and Nominating Committee evaluates each individual in the context of the Board as a whole, with the objective of recruiting and recommending a slate of directors that can best contribute to the Company’s success and represent stockholder interests through the exercise of sound judgment, based on its diversity of experience. In determining whether to recommend a director for re-nomination, the Corporate Governance and Nominating Committee also considers the director’s attendance at, participation in and contributions to Board and committee activities.</w:t>
      </w:r>
    </w:p>
    <w:p>
      <w:pPr>
        <w:spacing w:after="0" w:line="358"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The following table sets forth certain information regarding the director nominees standing for re-election at the Annual Meeting. Additional biographical information on each of the nominees is included below.</w:t>
      </w:r>
    </w:p>
    <w:p>
      <w:pPr>
        <w:spacing w:after="0" w:line="329" w:lineRule="exact"/>
        <w:rPr>
          <w:sz w:val="20"/>
          <w:szCs w:val="20"/>
          <w:color w:val="auto"/>
        </w:rPr>
      </w:pPr>
    </w:p>
    <w:p>
      <w:pPr>
        <w:sectPr>
          <w:pgSz w:w="11900" w:h="16838" w:orient="portrait"/>
          <w:cols w:equalWidth="0" w:num="2">
            <w:col w:w="5060" w:space="560"/>
            <w:col w:w="4340"/>
          </w:cols>
          <w:pgMar w:left="580" w:top="97" w:right="1359" w:bottom="1440" w:gutter="0" w:footer="0" w:header="0"/>
          <w:type w:val="continuous"/>
        </w:sectPr>
      </w:pPr>
    </w:p>
    <w:tbl>
      <w:tblPr>
        <w:tblLayout w:type="fixed"/>
        <w:tblInd w:w="780" w:type="dxa"/>
        <w:tblCellMar>
          <w:top w:w="0" w:type="dxa"/>
          <w:left w:w="0" w:type="dxa"/>
          <w:bottom w:w="0" w:type="dxa"/>
          <w:right w:w="0" w:type="dxa"/>
        </w:tblCellMar>
      </w:tblPr>
      <w:tr>
        <w:trPr>
          <w:trHeight w:val="270"/>
        </w:trPr>
        <w:tc>
          <w:tcPr>
            <w:tcW w:w="192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w:t>
            </w:r>
          </w:p>
        </w:tc>
        <w:tc>
          <w:tcPr>
            <w:tcW w:w="22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620" w:type="dxa"/>
            <w:vAlign w:val="bottom"/>
            <w:gridSpan w:val="2"/>
            <w:shd w:val="clear" w:color="auto" w:fill="BF5B5A"/>
          </w:tcPr>
          <w:p>
            <w:pPr>
              <w:ind w:left="80"/>
              <w:spacing w:after="0"/>
              <w:rPr>
                <w:sz w:val="20"/>
                <w:szCs w:val="20"/>
                <w:color w:val="auto"/>
              </w:rPr>
            </w:pPr>
            <w:r>
              <w:rPr>
                <w:rFonts w:ascii="Arial" w:cs="Arial" w:eastAsia="Arial" w:hAnsi="Arial"/>
                <w:sz w:val="16"/>
                <w:szCs w:val="16"/>
                <w:b w:val="1"/>
                <w:bCs w:val="1"/>
                <w:color w:val="FFFFFF"/>
              </w:rPr>
              <w:t>​ Age</w:t>
            </w:r>
            <w:r>
              <w:rPr>
                <w:rFonts w:ascii="Arial" w:cs="Arial" w:eastAsia="Arial" w:hAnsi="Arial"/>
                <w:sz w:val="19"/>
                <w:szCs w:val="19"/>
                <w:b w:val="1"/>
                <w:bCs w:val="1"/>
                <w:color w:val="FFFFFF"/>
                <w:vertAlign w:val="superscript"/>
              </w:rPr>
              <w:t>(1)</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720" w:type="dxa"/>
            <w:vAlign w:val="bottom"/>
            <w:gridSpan w:val="2"/>
            <w:shd w:val="clear" w:color="auto" w:fill="BF5B5A"/>
          </w:tcPr>
          <w:p>
            <w:pPr>
              <w:ind w:left="80"/>
              <w:spacing w:after="0"/>
              <w:rPr>
                <w:sz w:val="20"/>
                <w:szCs w:val="20"/>
                <w:color w:val="auto"/>
              </w:rPr>
            </w:pPr>
            <w:r>
              <w:rPr>
                <w:rFonts w:ascii="Arial" w:cs="Arial" w:eastAsia="Arial" w:hAnsi="Arial"/>
                <w:sz w:val="16"/>
                <w:szCs w:val="16"/>
                <w:b w:val="1"/>
                <w:bCs w:val="1"/>
                <w:color w:val="FFFFFF"/>
              </w:rPr>
              <w:t>​ Tenure</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2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Independent</w:t>
            </w:r>
            <w:r>
              <w:rPr>
                <w:rFonts w:ascii="Arial" w:cs="Arial" w:eastAsia="Arial" w:hAnsi="Arial"/>
                <w:sz w:val="19"/>
                <w:szCs w:val="19"/>
                <w:b w:val="1"/>
                <w:bCs w:val="1"/>
                <w:color w:val="FFFFFF"/>
                <w:w w:val="95"/>
                <w:vertAlign w:val="superscript"/>
              </w:rPr>
              <w:t>(2)</w:t>
            </w:r>
          </w:p>
        </w:tc>
        <w:tc>
          <w:tcPr>
            <w:tcW w:w="24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10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1720" w:type="dxa"/>
            <w:vAlign w:val="bottom"/>
            <w:shd w:val="clear" w:color="auto" w:fill="BF5B5A"/>
          </w:tcPr>
          <w:p>
            <w:pPr>
              <w:ind w:left="340"/>
              <w:spacing w:after="0"/>
              <w:rPr>
                <w:sz w:val="20"/>
                <w:szCs w:val="20"/>
                <w:color w:val="auto"/>
              </w:rPr>
            </w:pPr>
            <w:r>
              <w:rPr>
                <w:rFonts w:ascii="Arial" w:cs="Arial" w:eastAsia="Arial" w:hAnsi="Arial"/>
                <w:sz w:val="16"/>
                <w:szCs w:val="16"/>
                <w:b w:val="1"/>
                <w:bCs w:val="1"/>
                <w:color w:val="FFFFFF"/>
              </w:rPr>
              <w:t>Position</w:t>
            </w:r>
          </w:p>
        </w:tc>
        <w:tc>
          <w:tcPr>
            <w:tcW w:w="700" w:type="dxa"/>
            <w:vAlign w:val="bottom"/>
            <w:shd w:val="clear" w:color="auto" w:fill="BF5B5A"/>
          </w:tcPr>
          <w:p>
            <w:pPr>
              <w:ind w:left="640"/>
              <w:spacing w:after="0"/>
              <w:rPr>
                <w:sz w:val="20"/>
                <w:szCs w:val="20"/>
                <w:color w:val="auto"/>
              </w:rPr>
            </w:pPr>
            <w:r>
              <w:rPr>
                <w:rFonts w:ascii="Arial" w:cs="Arial" w:eastAsia="Arial" w:hAnsi="Arial"/>
                <w:sz w:val="16"/>
                <w:szCs w:val="16"/>
                <w:b w:val="1"/>
                <w:bCs w:val="1"/>
                <w:color w:val="FFFFFF"/>
              </w:rPr>
              <w:t>​</w:t>
            </w:r>
          </w:p>
        </w:tc>
      </w:tr>
      <w:tr>
        <w:trPr>
          <w:trHeight w:val="281"/>
        </w:trPr>
        <w:tc>
          <w:tcPr>
            <w:tcW w:w="1920" w:type="dxa"/>
            <w:vAlign w:val="bottom"/>
          </w:tcPr>
          <w:p>
            <w:pPr>
              <w:ind w:left="40"/>
              <w:spacing w:after="0"/>
              <w:rPr>
                <w:sz w:val="20"/>
                <w:szCs w:val="20"/>
                <w:color w:val="auto"/>
              </w:rPr>
            </w:pPr>
            <w:r>
              <w:rPr>
                <w:rFonts w:ascii="Arial" w:cs="Arial" w:eastAsia="Arial" w:hAnsi="Arial"/>
                <w:sz w:val="16"/>
                <w:szCs w:val="16"/>
                <w:color w:val="auto"/>
              </w:rPr>
              <w:t>​Robert S. Harrison</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63</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2016</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3520" w:type="dxa"/>
            <w:vAlign w:val="bottom"/>
            <w:gridSpan w:val="3"/>
          </w:tcPr>
          <w:p>
            <w:pPr>
              <w:ind w:left="80"/>
              <w:spacing w:after="0"/>
              <w:rPr>
                <w:sz w:val="20"/>
                <w:szCs w:val="20"/>
                <w:color w:val="auto"/>
              </w:rPr>
            </w:pPr>
            <w:r>
              <w:rPr>
                <w:rFonts w:ascii="Arial" w:cs="Arial" w:eastAsia="Arial" w:hAnsi="Arial"/>
                <w:sz w:val="16"/>
                <w:szCs w:val="16"/>
                <w:color w:val="auto"/>
              </w:rPr>
              <w:t>​ Chairman of the Board, President and CEO ​</w:t>
            </w:r>
          </w:p>
        </w:tc>
      </w:tr>
      <w:tr>
        <w:trPr>
          <w:trHeight w:val="29"/>
        </w:trPr>
        <w:tc>
          <w:tcPr>
            <w:tcW w:w="192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40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52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1220" w:type="dxa"/>
            <w:vAlign w:val="bottom"/>
            <w:tcBorders>
              <w:bottom w:val="single" w:sz="8" w:color="7F7F7F"/>
            </w:tcBorders>
          </w:tcPr>
          <w:p>
            <w:pPr>
              <w:spacing w:after="0"/>
              <w:rPr>
                <w:sz w:val="2"/>
                <w:szCs w:val="2"/>
                <w:color w:val="auto"/>
              </w:rPr>
            </w:pPr>
          </w:p>
        </w:tc>
        <w:tc>
          <w:tcPr>
            <w:tcW w:w="240" w:type="dxa"/>
            <w:vAlign w:val="bottom"/>
            <w:tcBorders>
              <w:bottom w:val="single" w:sz="8" w:color="7F7F7F"/>
            </w:tcBorders>
          </w:tcPr>
          <w:p>
            <w:pPr>
              <w:spacing w:after="0"/>
              <w:rPr>
                <w:sz w:val="2"/>
                <w:szCs w:val="2"/>
                <w:color w:val="auto"/>
              </w:rPr>
            </w:pPr>
          </w:p>
        </w:tc>
        <w:tc>
          <w:tcPr>
            <w:tcW w:w="1100" w:type="dxa"/>
            <w:vAlign w:val="bottom"/>
            <w:tcBorders>
              <w:bottom w:val="single" w:sz="8" w:color="7F7F7F"/>
            </w:tcBorders>
          </w:tcPr>
          <w:p>
            <w:pPr>
              <w:spacing w:after="0"/>
              <w:rPr>
                <w:sz w:val="2"/>
                <w:szCs w:val="2"/>
                <w:color w:val="auto"/>
              </w:rPr>
            </w:pPr>
          </w:p>
        </w:tc>
        <w:tc>
          <w:tcPr>
            <w:tcW w:w="1720" w:type="dxa"/>
            <w:vAlign w:val="bottom"/>
            <w:tcBorders>
              <w:bottom w:val="single" w:sz="8" w:color="7F7F7F"/>
            </w:tcBorders>
          </w:tcPr>
          <w:p>
            <w:pPr>
              <w:spacing w:after="0"/>
              <w:rPr>
                <w:sz w:val="2"/>
                <w:szCs w:val="2"/>
                <w:color w:val="auto"/>
              </w:rPr>
            </w:pPr>
          </w:p>
        </w:tc>
        <w:tc>
          <w:tcPr>
            <w:tcW w:w="700" w:type="dxa"/>
            <w:vAlign w:val="bottom"/>
            <w:tcBorders>
              <w:bottom w:val="single" w:sz="8" w:color="7F7F7F"/>
            </w:tcBorders>
          </w:tcPr>
          <w:p>
            <w:pPr>
              <w:spacing w:after="0"/>
              <w:rPr>
                <w:sz w:val="2"/>
                <w:szCs w:val="2"/>
                <w:color w:val="auto"/>
              </w:rPr>
            </w:pPr>
          </w:p>
        </w:tc>
      </w:tr>
      <w:tr>
        <w:trPr>
          <w:trHeight w:val="288"/>
        </w:trPr>
        <w:tc>
          <w:tcPr>
            <w:tcW w:w="1920" w:type="dxa"/>
            <w:vAlign w:val="bottom"/>
          </w:tcPr>
          <w:p>
            <w:pPr>
              <w:ind w:left="40"/>
              <w:spacing w:after="0"/>
              <w:rPr>
                <w:sz w:val="20"/>
                <w:szCs w:val="20"/>
                <w:color w:val="auto"/>
              </w:rPr>
            </w:pPr>
            <w:r>
              <w:rPr>
                <w:rFonts w:ascii="Arial" w:cs="Arial" w:eastAsia="Arial" w:hAnsi="Arial"/>
                <w:sz w:val="16"/>
                <w:szCs w:val="16"/>
                <w:color w:val="auto"/>
              </w:rPr>
              <w:t>​Michael K. Fujimoto</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71</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2022</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8"/>
        </w:trPr>
        <w:tc>
          <w:tcPr>
            <w:tcW w:w="1920" w:type="dxa"/>
            <w:vAlign w:val="bottom"/>
          </w:tcPr>
          <w:p>
            <w:pPr>
              <w:ind w:left="40"/>
              <w:spacing w:after="0"/>
              <w:rPr>
                <w:sz w:val="20"/>
                <w:szCs w:val="20"/>
                <w:color w:val="auto"/>
              </w:rPr>
            </w:pPr>
            <w:r>
              <w:rPr>
                <w:rFonts w:ascii="Arial" w:cs="Arial" w:eastAsia="Arial" w:hAnsi="Arial"/>
                <w:sz w:val="16"/>
                <w:szCs w:val="16"/>
                <w:color w:val="auto"/>
              </w:rPr>
              <w:t>​Faye W. Kurren</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73</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2018</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9"/>
        </w:trPr>
        <w:tc>
          <w:tcPr>
            <w:tcW w:w="1920" w:type="dxa"/>
            <w:vAlign w:val="bottom"/>
          </w:tcPr>
          <w:p>
            <w:pPr>
              <w:ind w:left="40"/>
              <w:spacing w:after="0"/>
              <w:rPr>
                <w:sz w:val="20"/>
                <w:szCs w:val="20"/>
                <w:color w:val="auto"/>
              </w:rPr>
            </w:pPr>
            <w:r>
              <w:rPr>
                <w:rFonts w:ascii="Arial" w:cs="Arial" w:eastAsia="Arial" w:hAnsi="Arial"/>
                <w:sz w:val="16"/>
                <w:szCs w:val="16"/>
                <w:color w:val="auto"/>
              </w:rPr>
              <w:t>​James S. Moffatt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65</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2021</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9"/>
        </w:trPr>
        <w:tc>
          <w:tcPr>
            <w:tcW w:w="1920" w:type="dxa"/>
            <w:vAlign w:val="bottom"/>
          </w:tcPr>
          <w:p>
            <w:pPr>
              <w:ind w:left="40"/>
              <w:spacing w:after="0"/>
              <w:rPr>
                <w:sz w:val="20"/>
                <w:szCs w:val="20"/>
                <w:color w:val="auto"/>
              </w:rPr>
            </w:pPr>
            <w:r>
              <w:rPr>
                <w:rFonts w:ascii="Arial" w:cs="Arial" w:eastAsia="Arial" w:hAnsi="Arial"/>
                <w:sz w:val="16"/>
                <w:szCs w:val="16"/>
                <w:color w:val="auto"/>
              </w:rPr>
              <w:t>​Mark M. Mugiishi</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64</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2022</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8"/>
        </w:trPr>
        <w:tc>
          <w:tcPr>
            <w:tcW w:w="1920" w:type="dxa"/>
            <w:vAlign w:val="bottom"/>
          </w:tcPr>
          <w:p>
            <w:pPr>
              <w:ind w:left="40"/>
              <w:spacing w:after="0"/>
              <w:rPr>
                <w:sz w:val="20"/>
                <w:szCs w:val="20"/>
                <w:color w:val="auto"/>
              </w:rPr>
            </w:pPr>
            <w:r>
              <w:rPr>
                <w:rFonts w:ascii="Arial" w:cs="Arial" w:eastAsia="Arial" w:hAnsi="Arial"/>
                <w:sz w:val="16"/>
                <w:szCs w:val="16"/>
                <w:color w:val="auto"/>
              </w:rPr>
              <w:t>​Kelly A. Thompson</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54</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2021</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820" w:type="dxa"/>
            <w:vAlign w:val="bottom"/>
            <w:tcBorders>
              <w:bottom w:val="single" w:sz="8" w:color="7F7F7F"/>
            </w:tcBorders>
            <w:gridSpan w:val="2"/>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9"/>
        </w:trPr>
        <w:tc>
          <w:tcPr>
            <w:tcW w:w="1920" w:type="dxa"/>
            <w:vAlign w:val="bottom"/>
          </w:tcPr>
          <w:p>
            <w:pPr>
              <w:ind w:left="40"/>
              <w:spacing w:after="0"/>
              <w:rPr>
                <w:sz w:val="20"/>
                <w:szCs w:val="20"/>
                <w:color w:val="auto"/>
              </w:rPr>
            </w:pPr>
            <w:r>
              <w:rPr>
                <w:rFonts w:ascii="Arial" w:cs="Arial" w:eastAsia="Arial" w:hAnsi="Arial"/>
                <w:sz w:val="16"/>
                <w:szCs w:val="16"/>
                <w:color w:val="auto"/>
              </w:rPr>
              <w:t>​Allen B. Uyeda</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74</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2016</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2820" w:type="dxa"/>
            <w:vAlign w:val="bottom"/>
            <w:gridSpan w:val="2"/>
          </w:tcPr>
          <w:p>
            <w:pPr>
              <w:ind w:left="80"/>
              <w:spacing w:after="0"/>
              <w:rPr>
                <w:sz w:val="20"/>
                <w:szCs w:val="20"/>
                <w:color w:val="auto"/>
              </w:rPr>
            </w:pPr>
            <w:r>
              <w:rPr>
                <w:rFonts w:ascii="Arial" w:cs="Arial" w:eastAsia="Arial" w:hAnsi="Arial"/>
                <w:sz w:val="16"/>
                <w:szCs w:val="16"/>
                <w:color w:val="auto"/>
              </w:rPr>
              <w:t>​ Lead Independent Director</w:t>
            </w: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9"/>
        </w:trPr>
        <w:tc>
          <w:tcPr>
            <w:tcW w:w="1920" w:type="dxa"/>
            <w:vAlign w:val="bottom"/>
          </w:tcPr>
          <w:p>
            <w:pPr>
              <w:ind w:left="40"/>
              <w:spacing w:after="0"/>
              <w:rPr>
                <w:sz w:val="20"/>
                <w:szCs w:val="20"/>
                <w:color w:val="auto"/>
              </w:rPr>
            </w:pPr>
            <w:r>
              <w:rPr>
                <w:rFonts w:ascii="Arial" w:cs="Arial" w:eastAsia="Arial" w:hAnsi="Arial"/>
                <w:sz w:val="16"/>
                <w:szCs w:val="16"/>
                <w:color w:val="auto"/>
              </w:rPr>
              <w:t>​Vanessa L. Washington</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64</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2020</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56"/>
        </w:trPr>
        <w:tc>
          <w:tcPr>
            <w:tcW w:w="1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89"/>
        </w:trPr>
        <w:tc>
          <w:tcPr>
            <w:tcW w:w="1920" w:type="dxa"/>
            <w:vAlign w:val="bottom"/>
          </w:tcPr>
          <w:p>
            <w:pPr>
              <w:ind w:left="40"/>
              <w:spacing w:after="0"/>
              <w:rPr>
                <w:sz w:val="20"/>
                <w:szCs w:val="20"/>
                <w:color w:val="auto"/>
              </w:rPr>
            </w:pPr>
            <w:r>
              <w:rPr>
                <w:rFonts w:ascii="Arial" w:cs="Arial" w:eastAsia="Arial" w:hAnsi="Arial"/>
                <w:sz w:val="16"/>
                <w:szCs w:val="16"/>
                <w:color w:val="auto"/>
              </w:rPr>
              <w:t>​C. Scott Wo</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58</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520" w:type="dxa"/>
            <w:vAlign w:val="bottom"/>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2018</w:t>
            </w:r>
          </w:p>
        </w:tc>
        <w:tc>
          <w:tcPr>
            <w:tcW w:w="26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ind w:left="80"/>
              <w:spacing w:after="0"/>
              <w:rPr>
                <w:sz w:val="20"/>
                <w:szCs w:val="20"/>
                <w:color w:val="auto"/>
              </w:rPr>
            </w:pPr>
            <w:r>
              <w:rPr>
                <w:rFonts w:ascii="Arial" w:cs="Arial" w:eastAsia="Arial" w:hAnsi="Arial"/>
                <w:sz w:val="16"/>
                <w:szCs w:val="16"/>
                <w:color w:val="auto"/>
              </w:rPr>
              <w:t>​ Director</w:t>
            </w:r>
          </w:p>
        </w:tc>
        <w:tc>
          <w:tcPr>
            <w:tcW w:w="1720" w:type="dxa"/>
            <w:vAlign w:val="bottom"/>
          </w:tcPr>
          <w:p>
            <w:pPr>
              <w:spacing w:after="0"/>
              <w:rPr>
                <w:sz w:val="24"/>
                <w:szCs w:val="24"/>
                <w:color w:val="auto"/>
              </w:rPr>
            </w:pPr>
          </w:p>
        </w:tc>
        <w:tc>
          <w:tcPr>
            <w:tcW w:w="700" w:type="dxa"/>
            <w:vAlign w:val="bottom"/>
          </w:tcPr>
          <w:p>
            <w:pPr>
              <w:ind w:left="640"/>
              <w:spacing w:after="0"/>
              <w:rPr>
                <w:sz w:val="20"/>
                <w:szCs w:val="20"/>
                <w:color w:val="auto"/>
              </w:rPr>
            </w:pPr>
            <w:r>
              <w:rPr>
                <w:rFonts w:ascii="Arial" w:cs="Arial" w:eastAsia="Arial" w:hAnsi="Arial"/>
                <w:sz w:val="16"/>
                <w:szCs w:val="16"/>
                <w:color w:val="auto"/>
              </w:rPr>
              <w:t>​</w:t>
            </w:r>
          </w:p>
        </w:tc>
      </w:tr>
      <w:tr>
        <w:trPr>
          <w:trHeight w:val="69"/>
        </w:trPr>
        <w:tc>
          <w:tcPr>
            <w:tcW w:w="1920" w:type="dxa"/>
            <w:vAlign w:val="bottom"/>
            <w:tcBorders>
              <w:bottom w:val="single" w:sz="8" w:color="BF5B5A"/>
            </w:tcBorders>
          </w:tcPr>
          <w:p>
            <w:pPr>
              <w:spacing w:after="0"/>
              <w:rPr>
                <w:sz w:val="6"/>
                <w:szCs w:val="6"/>
                <w:color w:val="auto"/>
              </w:rPr>
            </w:pPr>
          </w:p>
        </w:tc>
        <w:tc>
          <w:tcPr>
            <w:tcW w:w="220" w:type="dxa"/>
            <w:vAlign w:val="bottom"/>
            <w:tcBorders>
              <w:bottom w:val="single" w:sz="8" w:color="BF5B5A"/>
            </w:tcBorders>
          </w:tcPr>
          <w:p>
            <w:pPr>
              <w:spacing w:after="0"/>
              <w:rPr>
                <w:sz w:val="6"/>
                <w:szCs w:val="6"/>
                <w:color w:val="auto"/>
              </w:rPr>
            </w:pPr>
          </w:p>
        </w:tc>
        <w:tc>
          <w:tcPr>
            <w:tcW w:w="220" w:type="dxa"/>
            <w:vAlign w:val="bottom"/>
            <w:tcBorders>
              <w:bottom w:val="single" w:sz="8" w:color="BF5B5A"/>
            </w:tcBorders>
          </w:tcPr>
          <w:p>
            <w:pPr>
              <w:spacing w:after="0"/>
              <w:rPr>
                <w:sz w:val="6"/>
                <w:szCs w:val="6"/>
                <w:color w:val="auto"/>
              </w:rPr>
            </w:pPr>
          </w:p>
        </w:tc>
        <w:tc>
          <w:tcPr>
            <w:tcW w:w="400" w:type="dxa"/>
            <w:vAlign w:val="bottom"/>
            <w:tcBorders>
              <w:bottom w:val="single" w:sz="8" w:color="BF5B5A"/>
            </w:tcBorders>
          </w:tcPr>
          <w:p>
            <w:pPr>
              <w:spacing w:after="0"/>
              <w:rPr>
                <w:sz w:val="6"/>
                <w:szCs w:val="6"/>
                <w:color w:val="auto"/>
              </w:rPr>
            </w:pPr>
          </w:p>
        </w:tc>
        <w:tc>
          <w:tcPr>
            <w:tcW w:w="260" w:type="dxa"/>
            <w:vAlign w:val="bottom"/>
            <w:tcBorders>
              <w:bottom w:val="single" w:sz="8" w:color="BF5B5A"/>
            </w:tcBorders>
          </w:tcPr>
          <w:p>
            <w:pPr>
              <w:spacing w:after="0"/>
              <w:rPr>
                <w:sz w:val="6"/>
                <w:szCs w:val="6"/>
                <w:color w:val="auto"/>
              </w:rPr>
            </w:pPr>
          </w:p>
        </w:tc>
        <w:tc>
          <w:tcPr>
            <w:tcW w:w="200" w:type="dxa"/>
            <w:vAlign w:val="bottom"/>
            <w:tcBorders>
              <w:bottom w:val="single" w:sz="8" w:color="BF5B5A"/>
            </w:tcBorders>
          </w:tcPr>
          <w:p>
            <w:pPr>
              <w:spacing w:after="0"/>
              <w:rPr>
                <w:sz w:val="6"/>
                <w:szCs w:val="6"/>
                <w:color w:val="auto"/>
              </w:rPr>
            </w:pPr>
          </w:p>
        </w:tc>
        <w:tc>
          <w:tcPr>
            <w:tcW w:w="520" w:type="dxa"/>
            <w:vAlign w:val="bottom"/>
            <w:tcBorders>
              <w:bottom w:val="single" w:sz="8" w:color="BF5B5A"/>
            </w:tcBorders>
          </w:tcPr>
          <w:p>
            <w:pPr>
              <w:spacing w:after="0"/>
              <w:rPr>
                <w:sz w:val="6"/>
                <w:szCs w:val="6"/>
                <w:color w:val="auto"/>
              </w:rPr>
            </w:pPr>
          </w:p>
        </w:tc>
        <w:tc>
          <w:tcPr>
            <w:tcW w:w="260" w:type="dxa"/>
            <w:vAlign w:val="bottom"/>
            <w:tcBorders>
              <w:bottom w:val="single" w:sz="8" w:color="BF5B5A"/>
            </w:tcBorders>
          </w:tcPr>
          <w:p>
            <w:pPr>
              <w:spacing w:after="0"/>
              <w:rPr>
                <w:sz w:val="6"/>
                <w:szCs w:val="6"/>
                <w:color w:val="auto"/>
              </w:rPr>
            </w:pPr>
          </w:p>
        </w:tc>
        <w:tc>
          <w:tcPr>
            <w:tcW w:w="200" w:type="dxa"/>
            <w:vAlign w:val="bottom"/>
            <w:tcBorders>
              <w:bottom w:val="single" w:sz="8" w:color="BF5B5A"/>
            </w:tcBorders>
          </w:tcPr>
          <w:p>
            <w:pPr>
              <w:spacing w:after="0"/>
              <w:rPr>
                <w:sz w:val="6"/>
                <w:szCs w:val="6"/>
                <w:color w:val="auto"/>
              </w:rPr>
            </w:pPr>
          </w:p>
        </w:tc>
        <w:tc>
          <w:tcPr>
            <w:tcW w:w="1220" w:type="dxa"/>
            <w:vAlign w:val="bottom"/>
            <w:tcBorders>
              <w:bottom w:val="single" w:sz="8" w:color="BF5B5A"/>
            </w:tcBorders>
          </w:tcPr>
          <w:p>
            <w:pPr>
              <w:spacing w:after="0"/>
              <w:rPr>
                <w:sz w:val="6"/>
                <w:szCs w:val="6"/>
                <w:color w:val="auto"/>
              </w:rPr>
            </w:pPr>
          </w:p>
        </w:tc>
        <w:tc>
          <w:tcPr>
            <w:tcW w:w="240" w:type="dxa"/>
            <w:vAlign w:val="bottom"/>
            <w:tcBorders>
              <w:bottom w:val="single" w:sz="8" w:color="BF5B5A"/>
            </w:tcBorders>
          </w:tcPr>
          <w:p>
            <w:pPr>
              <w:spacing w:after="0"/>
              <w:rPr>
                <w:sz w:val="6"/>
                <w:szCs w:val="6"/>
                <w:color w:val="auto"/>
              </w:rPr>
            </w:pPr>
          </w:p>
        </w:tc>
        <w:tc>
          <w:tcPr>
            <w:tcW w:w="1100" w:type="dxa"/>
            <w:vAlign w:val="bottom"/>
            <w:tcBorders>
              <w:bottom w:val="single" w:sz="8" w:color="BF5B5A"/>
            </w:tcBorders>
          </w:tcPr>
          <w:p>
            <w:pPr>
              <w:spacing w:after="0"/>
              <w:rPr>
                <w:sz w:val="6"/>
                <w:szCs w:val="6"/>
                <w:color w:val="auto"/>
              </w:rPr>
            </w:pPr>
          </w:p>
        </w:tc>
        <w:tc>
          <w:tcPr>
            <w:tcW w:w="1720" w:type="dxa"/>
            <w:vAlign w:val="bottom"/>
            <w:tcBorders>
              <w:bottom w:val="single" w:sz="8" w:color="BF5B5A"/>
            </w:tcBorders>
          </w:tcPr>
          <w:p>
            <w:pPr>
              <w:spacing w:after="0"/>
              <w:rPr>
                <w:sz w:val="6"/>
                <w:szCs w:val="6"/>
                <w:color w:val="auto"/>
              </w:rPr>
            </w:pPr>
          </w:p>
        </w:tc>
        <w:tc>
          <w:tcPr>
            <w:tcW w:w="700" w:type="dxa"/>
            <w:vAlign w:val="bottom"/>
            <w:tcBorders>
              <w:bottom w:val="single" w:sz="8" w:color="BF5B5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-1799590</wp:posOffset>
            </wp:positionV>
            <wp:extent cx="111125"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-1568450</wp:posOffset>
            </wp:positionV>
            <wp:extent cx="111125"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-1336675</wp:posOffset>
            </wp:positionV>
            <wp:extent cx="111125"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-1105535</wp:posOffset>
            </wp:positionV>
            <wp:extent cx="111125"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-873760</wp:posOffset>
            </wp:positionV>
            <wp:extent cx="111125"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-642620</wp:posOffset>
            </wp:positionV>
            <wp:extent cx="111125"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-410845</wp:posOffset>
            </wp:positionV>
            <wp:extent cx="111125"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-179705</wp:posOffset>
            </wp:positionV>
            <wp:extent cx="111125"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182" w:lineRule="exact"/>
        <w:rPr>
          <w:sz w:val="20"/>
          <w:szCs w:val="20"/>
          <w:color w:val="auto"/>
        </w:rPr>
      </w:pPr>
    </w:p>
    <w:p>
      <w:pPr>
        <w:ind w:left="1140" w:hanging="360"/>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March 14, 2024.</w:t>
      </w:r>
    </w:p>
    <w:p>
      <w:pPr>
        <w:spacing w:after="0" w:line="99" w:lineRule="exact"/>
        <w:rPr>
          <w:rFonts w:ascii="Arial" w:cs="Arial" w:eastAsia="Arial" w:hAnsi="Arial"/>
          <w:sz w:val="16"/>
          <w:szCs w:val="16"/>
          <w:color w:val="auto"/>
        </w:rPr>
      </w:pPr>
    </w:p>
    <w:p>
      <w:pPr>
        <w:ind w:left="1140" w:hanging="360"/>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“Independent” under NASDAQ listing standards.</w:t>
      </w:r>
    </w:p>
    <w:p>
      <w:pPr>
        <w:sectPr>
          <w:pgSz w:w="11900" w:h="16838" w:orient="portrait"/>
          <w:cols w:equalWidth="0" w:num="1">
            <w:col w:w="9960"/>
          </w:cols>
          <w:pgMar w:left="580" w:top="97" w:right="1359" w:bottom="1440" w:gutter="0" w:footer="0" w:header="0"/>
          <w:type w:val="continuous"/>
        </w:sectPr>
      </w:pPr>
    </w:p>
    <w:p>
      <w:pPr>
        <w:spacing w:after="0" w:line="122" w:lineRule="exact"/>
        <w:rPr>
          <w:sz w:val="20"/>
          <w:szCs w:val="20"/>
          <w:color w:val="auto"/>
        </w:rPr>
      </w:pPr>
    </w:p>
    <w:p>
      <w:pPr>
        <w:ind w:left="780"/>
        <w:spacing w:after="0" w:line="265" w:lineRule="auto"/>
        <w:rPr>
          <w:sz w:val="20"/>
          <w:szCs w:val="20"/>
          <w:color w:val="auto"/>
        </w:rPr>
      </w:pPr>
      <w:r>
        <w:rPr>
          <w:rFonts w:ascii="Arial" w:cs="Arial" w:eastAsia="Arial" w:hAnsi="Arial"/>
          <w:sz w:val="18"/>
          <w:szCs w:val="18"/>
          <w:color w:val="auto"/>
        </w:rPr>
        <w:t>In considering the nominees’ individual experience, qualifications, attributes, skills and past Board participation, the Corporate Governance and Nominating Committee and the Board have concluded that when considered all together, the appropriate experience, qualifications, attributes, skills and participation are represented for the Board as a whole and for each of the Board’s committees. There are no family relationships among any directors and executive officers. Each nominee has indicated a willingness to serve, and the Board has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no reason to believe that any of the nominees will not be available for election. However, if any of the nominees is not available for election, proxies may be voted for the election of other persons selected by the Board. Proxies cannot, however, be voted for a greater number of persons than the number of nominees named. Stockholders of the Company have no cumulative voting rights with respect to the election of directors.</w:t>
      </w:r>
    </w:p>
    <w:p>
      <w:pPr>
        <w:spacing w:after="0" w:line="471"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16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150495</wp:posOffset>
            </wp:positionV>
            <wp:extent cx="582930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BF5B5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-1368425</wp:posOffset>
            </wp:positionV>
            <wp:extent cx="1234440" cy="1071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6"/>
          <w:szCs w:val="16"/>
          <w:color w:val="BF5B5A"/>
        </w:rPr>
        <w:t>•</w:t>
      </w:r>
      <w:r>
        <w:rPr>
          <w:rFonts w:ascii="Arial" w:cs="Arial" w:eastAsia="Arial" w:hAnsi="Arial"/>
          <w:sz w:val="16"/>
          <w:szCs w:val="16"/>
          <w:color w:val="000000"/>
        </w:rPr>
        <w:t xml:space="preserve">  Audit</w:t>
      </w:r>
    </w:p>
    <w:p>
      <w:pPr>
        <w:spacing w:after="0" w:line="86" w:lineRule="exact"/>
        <w:rPr>
          <w:sz w:val="20"/>
          <w:szCs w:val="20"/>
          <w:color w:val="auto"/>
        </w:rPr>
      </w:pPr>
    </w:p>
    <w:p>
      <w:pPr>
        <w:ind w:left="1020" w:hanging="168"/>
        <w:spacing w:after="0"/>
        <w:tabs>
          <w:tab w:leader="none" w:pos="1020" w:val="left"/>
        </w:tabs>
        <w:numPr>
          <w:ilvl w:val="0"/>
          <w:numId w:val="38"/>
        </w:numPr>
        <w:rPr>
          <w:rFonts w:ascii="Arial" w:cs="Arial" w:eastAsia="Arial" w:hAnsi="Arial"/>
          <w:sz w:val="16"/>
          <w:szCs w:val="16"/>
          <w:color w:val="BF5B5A"/>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1242695" cy="8655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42695" cy="86550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0" w:type="dxa"/>
            <w:vAlign w:val="bottom"/>
            <w:shd w:val="clear" w:color="auto" w:fill="BF5B5A"/>
          </w:tcPr>
          <w:p>
            <w:pPr>
              <w:spacing w:after="0"/>
              <w:rPr>
                <w:sz w:val="19"/>
                <w:szCs w:val="19"/>
                <w:color w:val="auto"/>
              </w:rPr>
            </w:pPr>
          </w:p>
        </w:tc>
        <w:tc>
          <w:tcPr>
            <w:tcW w:w="3340" w:type="dxa"/>
            <w:vAlign w:val="bottom"/>
            <w:gridSpan w:val="2"/>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Michael K. Fujimoto</w:t>
            </w:r>
          </w:p>
        </w:tc>
        <w:tc>
          <w:tcPr>
            <w:tcW w:w="520" w:type="dxa"/>
            <w:vAlign w:val="bottom"/>
            <w:shd w:val="clear" w:color="auto" w:fill="BF5B5A"/>
          </w:tcPr>
          <w:p>
            <w:pPr>
              <w:spacing w:after="0"/>
              <w:rPr>
                <w:sz w:val="19"/>
                <w:szCs w:val="19"/>
                <w:color w:val="auto"/>
              </w:rPr>
            </w:pPr>
          </w:p>
        </w:tc>
        <w:tc>
          <w:tcPr>
            <w:tcW w:w="308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9"/>
              </w:rPr>
              <w:t>Age 71</w:t>
            </w:r>
          </w:p>
        </w:tc>
        <w:tc>
          <w:tcPr>
            <w:tcW w:w="180" w:type="dxa"/>
            <w:vAlign w:val="bottom"/>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40" w:type="dxa"/>
            <w:vAlign w:val="bottom"/>
            <w:gridSpan w:val="2"/>
            <w:vMerge w:val="continue"/>
            <w:shd w:val="clear" w:color="auto" w:fill="BF5B5A"/>
          </w:tcPr>
          <w:p>
            <w:pPr>
              <w:spacing w:after="0"/>
              <w:rPr>
                <w:sz w:val="24"/>
                <w:szCs w:val="24"/>
                <w:color w:val="auto"/>
              </w:rPr>
            </w:pPr>
          </w:p>
        </w:tc>
        <w:tc>
          <w:tcPr>
            <w:tcW w:w="520" w:type="dxa"/>
            <w:vAlign w:val="bottom"/>
            <w:shd w:val="clear" w:color="auto" w:fill="BF5B5A"/>
          </w:tcPr>
          <w:p>
            <w:pPr>
              <w:ind w:left="20"/>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83" w:lineRule="exact"/>
              <w:rPr>
                <w:sz w:val="20"/>
                <w:szCs w:val="20"/>
                <w:color w:val="auto"/>
              </w:rPr>
            </w:pPr>
            <w:r>
              <w:rPr>
                <w:rFonts w:ascii="Arial" w:cs="Arial" w:eastAsia="Arial" w:hAnsi="Arial"/>
                <w:sz w:val="16"/>
                <w:szCs w:val="16"/>
                <w:b w:val="1"/>
                <w:bCs w:val="1"/>
                <w:color w:val="FFFFFF"/>
              </w:rPr>
              <w:t> Independent Director since 2022</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40" w:type="dxa"/>
            <w:vAlign w:val="bottom"/>
            <w:gridSpan w:val="2"/>
            <w:shd w:val="clear" w:color="auto" w:fill="BF5B5A"/>
          </w:tcPr>
          <w:p>
            <w:pPr>
              <w:spacing w:after="0"/>
              <w:rPr>
                <w:sz w:val="8"/>
                <w:szCs w:val="8"/>
                <w:color w:val="auto"/>
              </w:rPr>
            </w:pPr>
          </w:p>
        </w:tc>
        <w:tc>
          <w:tcPr>
            <w:tcW w:w="3600" w:type="dxa"/>
            <w:vAlign w:val="bottom"/>
            <w:gridSpan w:val="2"/>
            <w:shd w:val="clear" w:color="auto" w:fill="BF5B5A"/>
          </w:tcPr>
          <w:p>
            <w:pPr>
              <w:spacing w:after="0"/>
              <w:rPr>
                <w:sz w:val="8"/>
                <w:szCs w:val="8"/>
                <w:color w:val="auto"/>
              </w:rPr>
            </w:pPr>
          </w:p>
        </w:tc>
        <w:tc>
          <w:tcPr>
            <w:tcW w:w="18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3400" w:type="dxa"/>
            <w:vAlign w:val="bottom"/>
            <w:gridSpan w:val="3"/>
          </w:tcPr>
          <w:p>
            <w:pPr>
              <w:ind w:left="20"/>
              <w:spacing w:after="0" w:line="322"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600" w:type="dxa"/>
            <w:vAlign w:val="bottom"/>
            <w:gridSpan w:val="2"/>
          </w:tcPr>
          <w:p>
            <w:pPr>
              <w:ind w:left="20"/>
              <w:spacing w:after="0" w:line="322"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b w:val="1"/>
                <w:bCs w:val="1"/>
                <w:color w:val="BF5B5A"/>
              </w:rPr>
              <w:t xml:space="preserve"> EDUCATION</w:t>
            </w:r>
          </w:p>
        </w:tc>
        <w:tc>
          <w:tcPr>
            <w:tcW w:w="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M.B.A., University of California, Berkeley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Member of the Board of Directors (2022</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Bachelor of Arts and Masters of Arts in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Economics, University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Massachusetts, Amherst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40" w:type="dxa"/>
            <w:vAlign w:val="bottom"/>
            <w:gridSpan w:val="2"/>
            <w:vMerge w:val="continue"/>
          </w:tcPr>
          <w:p>
            <w:pPr>
              <w:spacing w:after="0"/>
              <w:rPr>
                <w:sz w:val="5"/>
                <w:szCs w:val="5"/>
                <w:color w:val="auto"/>
              </w:rPr>
            </w:pPr>
          </w:p>
        </w:tc>
        <w:tc>
          <w:tcPr>
            <w:tcW w:w="36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QUALIFICATIONS</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(1998</w:t>
            </w:r>
          </w:p>
        </w:tc>
        <w:tc>
          <w:tcPr>
            <w:tcW w:w="3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0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As the Executive Chairman and the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HAWAII PLANING MILL, LTD. dba HPM</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former President and Chief Executive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Officer of a multi-generational, locally</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BUILDING SUPPLY</w:t>
            </w:r>
            <w:r>
              <w:rPr>
                <w:rFonts w:ascii="Arial" w:cs="Arial" w:eastAsia="Arial" w:hAnsi="Arial"/>
                <w:sz w:val="16"/>
                <w:szCs w:val="16"/>
                <w:color w:val="auto"/>
              </w:rPr>
              <w:t>, a building supply</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owned business, Mr. Fujimoto brings to</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company headquartered in Keaau, Hawaii</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the First Hawaiian Board broad-based</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with locations throughout Hawaii</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knowledge about Hawaii and its</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Retired Chairman Emeritus (2024 to</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gridSpan w:val="2"/>
          </w:tcPr>
          <w:p>
            <w:pPr>
              <w:spacing w:after="0" w:line="177" w:lineRule="exact"/>
              <w:rPr>
                <w:sz w:val="20"/>
                <w:szCs w:val="20"/>
                <w:color w:val="auto"/>
              </w:rPr>
            </w:pPr>
            <w:r>
              <w:rPr>
                <w:rFonts w:ascii="Arial" w:cs="Arial" w:eastAsia="Arial" w:hAnsi="Arial"/>
                <w:sz w:val="16"/>
                <w:szCs w:val="16"/>
                <w:color w:val="auto"/>
              </w:rPr>
              <w:t>​</w:t>
            </w:r>
          </w:p>
        </w:tc>
        <w:tc>
          <w:tcPr>
            <w:tcW w:w="280" w:type="dxa"/>
            <w:vAlign w:val="bottom"/>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80" w:type="dxa"/>
            <w:vAlign w:val="bottom"/>
          </w:tcPr>
          <w:p>
            <w:pPr>
              <w:ind w:left="40"/>
              <w:spacing w:after="0" w:line="177" w:lineRule="exact"/>
              <w:rPr>
                <w:sz w:val="20"/>
                <w:szCs w:val="20"/>
                <w:color w:val="auto"/>
              </w:rPr>
            </w:pPr>
            <w:r>
              <w:rPr>
                <w:rFonts w:ascii="Arial" w:cs="Arial" w:eastAsia="Arial" w:hAnsi="Arial"/>
                <w:sz w:val="16"/>
                <w:szCs w:val="16"/>
                <w:color w:val="auto"/>
              </w:rPr>
              <w:t>business environment, as well as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present)</w:t>
            </w:r>
          </w:p>
        </w:tc>
        <w:tc>
          <w:tcPr>
            <w:tcW w:w="52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extensive financial and managerial</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Compensation Committee and</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experience.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0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Audit Committee</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Mr. Fujimoto’s experience providing</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Executive Chairman (2018 to 2023)</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supplies to the building industry has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President and Chief Executive Officer</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provided him with significant contacts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and expertise in the building industry, a</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(1992 to 2018)</w:t>
            </w:r>
          </w:p>
        </w:tc>
        <w:tc>
          <w:tcPr>
            <w:tcW w:w="5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key industry served by First Hawaiian.</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6"/>
                <w:szCs w:val="16"/>
                <w:b w:val="1"/>
                <w:bCs w:val="1"/>
                <w:color w:val="BF5B5A"/>
              </w:rPr>
              <w:t>OTHER ENGAGEMENTS</w:t>
            </w: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As a resident of the Big Island,</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Trustee, Parker Ranch Foundation Trust</w:t>
            </w:r>
          </w:p>
        </w:tc>
        <w:tc>
          <w:tcPr>
            <w:tcW w:w="520" w:type="dxa"/>
            <w:vAlign w:val="bottom"/>
            <w:vMerge w:val="continue"/>
          </w:tcPr>
          <w:p>
            <w:pPr>
              <w:spacing w:after="0"/>
              <w:rPr>
                <w:sz w:val="6"/>
                <w:szCs w:val="6"/>
                <w:color w:val="auto"/>
              </w:rPr>
            </w:pPr>
          </w:p>
        </w:tc>
        <w:tc>
          <w:tcPr>
            <w:tcW w:w="30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0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Mr. Fujimoto provides the Board with</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Chairman of the Board and Member of</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insights into the views of the residents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the Audit and Governance Committees,</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the Hawaiian Islands other than Oahu,</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Parker Ranch Inc.</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an important part of the Bank’s market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Trustee and Chairman, HPM Building</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area.</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-4156075</wp:posOffset>
            </wp:positionV>
            <wp:extent cx="10668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Supply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132080</wp:posOffset>
            </wp:positionV>
            <wp:extent cx="58293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722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17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214630</wp:posOffset>
            </wp:positionV>
            <wp:extent cx="4551680" cy="4286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51680" cy="428625"/>
                    </a:xfrm>
                    <a:prstGeom prst="rect">
                      <a:avLst/>
                    </a:prstGeom>
                    <a:noFill/>
                  </pic:spPr>
                </pic:pic>
              </a:graphicData>
            </a:graphic>
          </wp:anchor>
        </w:drawing>
      </w:r>
    </w:p>
    <w:p>
      <w:pPr>
        <w:spacing w:after="0" w:line="298" w:lineRule="exact"/>
        <w:rPr>
          <w:sz w:val="20"/>
          <w:szCs w:val="20"/>
          <w:color w:val="auto"/>
        </w:rPr>
      </w:pPr>
    </w:p>
    <w:tbl>
      <w:tblPr>
        <w:tblLayout w:type="fixed"/>
        <w:tblInd w:w="780" w:type="dxa"/>
        <w:tblCellMar>
          <w:top w:w="0" w:type="dxa"/>
          <w:left w:w="0" w:type="dxa"/>
          <w:bottom w:w="0" w:type="dxa"/>
          <w:right w:w="0" w:type="dxa"/>
        </w:tblCellMar>
      </w:tblPr>
      <w:tr>
        <w:trPr>
          <w:trHeight w:val="391"/>
        </w:trPr>
        <w:tc>
          <w:tcPr>
            <w:tcW w:w="1000" w:type="dxa"/>
            <w:vAlign w:val="bottom"/>
            <w:tcBorders>
              <w:top w:val="single" w:sz="8" w:color="BF5B5A"/>
            </w:tcBorders>
          </w:tcPr>
          <w:p>
            <w:pPr>
              <w:spacing w:after="0"/>
              <w:rPr>
                <w:sz w:val="20"/>
                <w:szCs w:val="20"/>
                <w:color w:val="auto"/>
              </w:rPr>
            </w:pPr>
            <w:r>
              <w:rPr>
                <w:rFonts w:ascii="Arial" w:cs="Arial" w:eastAsia="Arial" w:hAnsi="Arial"/>
                <w:sz w:val="16"/>
                <w:szCs w:val="16"/>
                <w:b w:val="1"/>
                <w:bCs w:val="1"/>
                <w:color w:val="FFFFFF"/>
              </w:rPr>
              <w:t>​</w:t>
            </w:r>
          </w:p>
        </w:tc>
        <w:tc>
          <w:tcPr>
            <w:tcW w:w="1060" w:type="dxa"/>
            <w:vAlign w:val="bottom"/>
            <w:tcBorders>
              <w:top w:val="single" w:sz="8" w:color="BF5B5A"/>
            </w:tcBorders>
          </w:tcPr>
          <w:p>
            <w:pPr>
              <w:ind w:left="960"/>
              <w:spacing w:after="0"/>
              <w:rPr>
                <w:sz w:val="20"/>
                <w:szCs w:val="20"/>
                <w:color w:val="auto"/>
              </w:rPr>
            </w:pPr>
            <w:r>
              <w:rPr>
                <w:rFonts w:ascii="Arial" w:cs="Arial" w:eastAsia="Arial" w:hAnsi="Arial"/>
                <w:sz w:val="16"/>
                <w:szCs w:val="16"/>
                <w:b w:val="1"/>
                <w:bCs w:val="1"/>
                <w:color w:val="FFFFFF"/>
              </w:rPr>
              <w:t>​​</w:t>
            </w:r>
          </w:p>
        </w:tc>
        <w:tc>
          <w:tcPr>
            <w:tcW w:w="3360" w:type="dxa"/>
            <w:vAlign w:val="bottom"/>
            <w:tcBorders>
              <w:top w:val="single" w:sz="8" w:color="BF5B5A"/>
            </w:tcBorders>
            <w:gridSpan w:val="2"/>
            <w:vMerge w:val="restart"/>
          </w:tcPr>
          <w:p>
            <w:pPr>
              <w:ind w:left="80"/>
              <w:spacing w:after="0"/>
              <w:rPr>
                <w:sz w:val="20"/>
                <w:szCs w:val="20"/>
                <w:color w:val="auto"/>
              </w:rPr>
            </w:pPr>
            <w:r>
              <w:rPr>
                <w:rFonts w:ascii="Arial" w:cs="Arial" w:eastAsia="Arial" w:hAnsi="Arial"/>
                <w:sz w:val="29"/>
                <w:szCs w:val="29"/>
                <w:b w:val="1"/>
                <w:bCs w:val="1"/>
                <w:color w:val="FFFFFF"/>
              </w:rPr>
              <w:t>Robert S. Harrison</w:t>
            </w:r>
          </w:p>
        </w:tc>
        <w:tc>
          <w:tcPr>
            <w:tcW w:w="500" w:type="dxa"/>
            <w:vAlign w:val="bottom"/>
            <w:tcBorders>
              <w:top w:val="single" w:sz="8" w:color="BF5B5A"/>
            </w:tcBorders>
          </w:tcPr>
          <w:p>
            <w:pPr>
              <w:spacing w:after="0"/>
              <w:rPr>
                <w:sz w:val="20"/>
                <w:szCs w:val="20"/>
                <w:color w:val="auto"/>
              </w:rPr>
            </w:pPr>
            <w:r>
              <w:rPr>
                <w:rFonts w:ascii="Arial" w:cs="Arial" w:eastAsia="Arial" w:hAnsi="Arial"/>
                <w:sz w:val="16"/>
                <w:szCs w:val="16"/>
                <w:b w:val="1"/>
                <w:bCs w:val="1"/>
                <w:color w:val="FFFFFF"/>
              </w:rPr>
              <w:t>​ ​</w:t>
            </w:r>
          </w:p>
        </w:tc>
        <w:tc>
          <w:tcPr>
            <w:tcW w:w="3260" w:type="dxa"/>
            <w:vAlign w:val="bottom"/>
            <w:tcBorders>
              <w:top w:val="single" w:sz="8" w:color="BF5B5A"/>
            </w:tcBorders>
            <w:gridSpan w:val="2"/>
          </w:tcPr>
          <w:p>
            <w:pPr>
              <w:jc w:val="right"/>
              <w:ind w:right="59"/>
              <w:spacing w:after="0"/>
              <w:rPr>
                <w:sz w:val="20"/>
                <w:szCs w:val="20"/>
                <w:color w:val="auto"/>
              </w:rPr>
            </w:pPr>
            <w:r>
              <w:rPr>
                <w:rFonts w:ascii="Arial" w:cs="Arial" w:eastAsia="Arial" w:hAnsi="Arial"/>
                <w:sz w:val="16"/>
                <w:szCs w:val="16"/>
                <w:b w:val="1"/>
                <w:bCs w:val="1"/>
                <w:color w:val="FFFFFF"/>
              </w:rPr>
              <w:t>Age 63</w:t>
            </w:r>
            <w:r>
              <w:rPr>
                <w:rFonts w:ascii="Arial" w:cs="Arial" w:eastAsia="Arial" w:hAnsi="Arial"/>
                <w:sz w:val="32"/>
                <w:szCs w:val="32"/>
                <w:b w:val="1"/>
                <w:bCs w:val="1"/>
                <w:color w:val="FFFFFF"/>
                <w:vertAlign w:val="superscript"/>
              </w:rPr>
              <w:t>​</w:t>
            </w: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3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3080" w:type="dxa"/>
            <w:vAlign w:val="bottom"/>
            <w:vMerge w:val="restart"/>
          </w:tcPr>
          <w:p>
            <w:pPr>
              <w:ind w:left="640"/>
              <w:spacing w:after="0"/>
              <w:rPr>
                <w:sz w:val="20"/>
                <w:szCs w:val="20"/>
                <w:color w:val="auto"/>
              </w:rPr>
            </w:pPr>
            <w:r>
              <w:rPr>
                <w:rFonts w:ascii="Arial" w:cs="Arial" w:eastAsia="Arial" w:hAnsi="Arial"/>
                <w:sz w:val="16"/>
                <w:szCs w:val="16"/>
                <w:b w:val="1"/>
                <w:bCs w:val="1"/>
                <w:color w:val="FFFFFF"/>
                <w:w w:val="93"/>
              </w:rPr>
              <w:t>Chairman of the Board since 2016</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060" w:type="dxa"/>
            <w:vAlign w:val="bottom"/>
            <w:tcBorders>
              <w:right w:val="single" w:sz="8" w:color="BF5B5A"/>
            </w:tcBorders>
          </w:tcPr>
          <w:p>
            <w:pPr>
              <w:spacing w:after="0"/>
              <w:rPr>
                <w:sz w:val="8"/>
                <w:szCs w:val="8"/>
                <w:color w:val="auto"/>
              </w:rPr>
            </w:pPr>
          </w:p>
        </w:tc>
        <w:tc>
          <w:tcPr>
            <w:tcW w:w="3360" w:type="dxa"/>
            <w:vAlign w:val="bottom"/>
            <w:gridSpan w:val="2"/>
            <w:shd w:val="clear" w:color="auto" w:fill="BF5B5A"/>
          </w:tcPr>
          <w:p>
            <w:pPr>
              <w:spacing w:after="0"/>
              <w:rPr>
                <w:sz w:val="8"/>
                <w:szCs w:val="8"/>
                <w:color w:val="auto"/>
              </w:rPr>
            </w:pPr>
          </w:p>
        </w:tc>
        <w:tc>
          <w:tcPr>
            <w:tcW w:w="3580" w:type="dxa"/>
            <w:vAlign w:val="bottom"/>
            <w:gridSpan w:val="2"/>
            <w:shd w:val="clear" w:color="auto" w:fill="BF5B5A"/>
          </w:tcPr>
          <w:p>
            <w:pPr>
              <w:spacing w:after="0"/>
              <w:rPr>
                <w:sz w:val="8"/>
                <w:szCs w:val="8"/>
                <w:color w:val="auto"/>
              </w:rPr>
            </w:pPr>
          </w:p>
        </w:tc>
        <w:tc>
          <w:tcPr>
            <w:tcW w:w="18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60" w:type="dxa"/>
            <w:vAlign w:val="bottom"/>
            <w:gridSpan w:val="2"/>
          </w:tcPr>
          <w:p>
            <w:pPr>
              <w:spacing w:after="0" w:line="296"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580" w:type="dxa"/>
            <w:vAlign w:val="bottom"/>
            <w:gridSpan w:val="2"/>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OTHER ENGAGEMENTS</w:t>
            </w:r>
          </w:p>
        </w:tc>
        <w:tc>
          <w:tcPr>
            <w:tcW w:w="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Current Chairman, Hawaii Medical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Chairman and Chief Executive Officer</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Service Association, the Blue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0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Cross/Blue Shield affiliate in Hawaii</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(2016 to present)</w:t>
            </w:r>
          </w:p>
        </w:tc>
        <w:tc>
          <w:tcPr>
            <w:tcW w:w="50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500" w:type="dxa"/>
            <w:vAlign w:val="bottom"/>
            <w:vMerge w:val="restart"/>
          </w:tcPr>
          <w:p>
            <w:pPr>
              <w:ind w:left="38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Current member of the Board, Pacific</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President (August 2019 to present)</w:t>
            </w:r>
          </w:p>
        </w:tc>
        <w:tc>
          <w:tcPr>
            <w:tcW w:w="50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Guardian Life Insurance Company, the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0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largest domestic life and disability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insurer in Hawaii</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(January 2012 to present)</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Current member of the Board, Hawaii</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President (December 2009 to June 2015</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Community Foundation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and August 2019 to present)</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Current member of the Board, Hawaii</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Chief Operating Officer (December 2009</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Bankers Association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to January 2012)</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Current member of the Executive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Vice Chairman (2007 to 2009)</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Committee of the Board, Hawaii</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Chief Risk Officer (2006 to 2009)</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Business Roundtable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500" w:type="dxa"/>
            <w:vAlign w:val="bottom"/>
            <w:vMerge w:val="restart"/>
          </w:tcPr>
          <w:p>
            <w:pPr>
              <w:ind w:left="38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Current member of the Board, Maryknoll</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Mr. Harrison joined First Hawaiian</w:t>
            </w:r>
          </w:p>
        </w:tc>
        <w:tc>
          <w:tcPr>
            <w:tcW w:w="500" w:type="dxa"/>
            <w:vAlign w:val="bottom"/>
            <w:vMerge w:val="continue"/>
          </w:tcPr>
          <w:p>
            <w:pPr>
              <w:spacing w:after="0"/>
              <w:rPr>
                <w:sz w:val="16"/>
                <w:szCs w:val="16"/>
                <w:color w:val="auto"/>
              </w:rPr>
            </w:pPr>
          </w:p>
        </w:tc>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Bank’s Retail Banking group in 1996 and</w:t>
            </w:r>
          </w:p>
        </w:tc>
        <w:tc>
          <w:tcPr>
            <w:tcW w:w="50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Foundation</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has over 35 years of experience in the</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Current Chairman, Mid-Size Bank</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financial services industry in Hawaii and</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Coalition of America</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on the U.S. mainland</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Member, Federal Advisory Council to the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BANCWEST CORPORATION </w:t>
            </w:r>
            <w:r>
              <w:rPr>
                <w:rFonts w:ascii="Arial" w:cs="Arial" w:eastAsia="Arial" w:hAnsi="Arial"/>
                <w:sz w:val="16"/>
                <w:szCs w:val="16"/>
                <w:color w:val="auto"/>
              </w:rPr>
              <w:t>(“BancWest”)</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Board of Governors of the Federal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Vice Chairman (2010 to 2019)</w:t>
            </w:r>
          </w:p>
        </w:tc>
        <w:tc>
          <w:tcPr>
            <w:tcW w:w="50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Reserve System</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60" w:type="dxa"/>
            <w:vAlign w:val="bottom"/>
            <w:gridSpan w:val="2"/>
          </w:tcPr>
          <w:p>
            <w:pPr>
              <w:spacing w:after="0"/>
              <w:rPr>
                <w:sz w:val="20"/>
                <w:szCs w:val="20"/>
                <w:color w:val="auto"/>
              </w:rPr>
            </w:pPr>
            <w:r>
              <w:rPr>
                <w:rFonts w:ascii="Arial" w:cs="Arial" w:eastAsia="Arial" w:hAnsi="Arial"/>
                <w:sz w:val="16"/>
                <w:szCs w:val="16"/>
                <w:b w:val="1"/>
                <w:bCs w:val="1"/>
                <w:color w:val="BF5B5A"/>
                <w:w w:val="97"/>
              </w:rPr>
              <w:t>OTHER PUBLIC COMPANY DIRECTORSHIPS</w:t>
            </w:r>
          </w:p>
        </w:tc>
        <w:tc>
          <w:tcPr>
            <w:tcW w:w="3580" w:type="dxa"/>
            <w:vAlign w:val="bottom"/>
            <w:gridSpan w:val="2"/>
          </w:tcPr>
          <w:p>
            <w:pPr>
              <w:ind w:left="220"/>
              <w:spacing w:after="0"/>
              <w:rPr>
                <w:sz w:val="20"/>
                <w:szCs w:val="20"/>
                <w:color w:val="auto"/>
              </w:rPr>
            </w:pPr>
            <w:r>
              <w:rPr>
                <w:rFonts w:ascii="Arial" w:cs="Arial" w:eastAsia="Arial" w:hAnsi="Arial"/>
                <w:sz w:val="16"/>
                <w:szCs w:val="16"/>
                <w:b w:val="1"/>
                <w:bCs w:val="1"/>
                <w:color w:val="BF5B5A"/>
              </w:rPr>
              <w:t>EDUCATION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-3775075</wp:posOffset>
            </wp:positionV>
            <wp:extent cx="1234440" cy="1071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-2360930</wp:posOffset>
            </wp:positionV>
            <wp:extent cx="1242695" cy="1611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42695" cy="161163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47" w:lineRule="exact"/>
        <w:rPr>
          <w:sz w:val="20"/>
          <w:szCs w:val="20"/>
          <w:color w:val="auto"/>
        </w:rPr>
      </w:pPr>
    </w:p>
    <w:p>
      <w:pPr>
        <w:ind w:left="3160" w:hanging="152"/>
        <w:spacing w:after="0" w:line="291" w:lineRule="auto"/>
        <w:tabs>
          <w:tab w:leader="none" w:pos="3160" w:val="left"/>
        </w:tabs>
        <w:numPr>
          <w:ilvl w:val="0"/>
          <w:numId w:val="39"/>
        </w:numPr>
        <w:rPr>
          <w:rFonts w:ascii="Arial" w:cs="Arial" w:eastAsia="Arial" w:hAnsi="Arial"/>
          <w:sz w:val="16"/>
          <w:szCs w:val="16"/>
          <w:color w:val="BF5B5A"/>
        </w:rPr>
      </w:pPr>
      <w:r>
        <w:rPr>
          <w:rFonts w:ascii="Arial" w:cs="Arial" w:eastAsia="Arial" w:hAnsi="Arial"/>
          <w:sz w:val="16"/>
          <w:szCs w:val="16"/>
          <w:color w:val="auto"/>
        </w:rPr>
        <w:t>Alexander &amp; Baldwin, Inc., a Hawaii publicly traded company with interests in, among other things, commercial real estate and real estate development (2012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2378075</wp:posOffset>
            </wp:positionV>
            <wp:extent cx="58293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hanging="155"/>
        <w:spacing w:after="0"/>
        <w:tabs>
          <w:tab w:leader="none" w:pos="320" w:val="left"/>
        </w:tabs>
        <w:numPr>
          <w:ilvl w:val="0"/>
          <w:numId w:val="40"/>
        </w:numPr>
        <w:rPr>
          <w:rFonts w:ascii="Arial" w:cs="Arial" w:eastAsia="Arial" w:hAnsi="Arial"/>
          <w:sz w:val="16"/>
          <w:szCs w:val="16"/>
          <w:color w:val="BF5B5A"/>
        </w:rPr>
      </w:pPr>
      <w:r>
        <w:rPr>
          <w:rFonts w:ascii="Arial" w:cs="Arial" w:eastAsia="Arial" w:hAnsi="Arial"/>
          <w:sz w:val="16"/>
          <w:szCs w:val="16"/>
          <w:color w:val="auto"/>
        </w:rPr>
        <w:t>M.B.A., Cornell University</w:t>
      </w:r>
    </w:p>
    <w:p>
      <w:pPr>
        <w:spacing w:after="0" w:line="25" w:lineRule="exact"/>
        <w:rPr>
          <w:rFonts w:ascii="Arial" w:cs="Arial" w:eastAsia="Arial" w:hAnsi="Arial"/>
          <w:sz w:val="16"/>
          <w:szCs w:val="16"/>
          <w:color w:val="BF5B5A"/>
        </w:rPr>
      </w:pPr>
    </w:p>
    <w:p>
      <w:pPr>
        <w:ind w:left="320" w:right="440" w:hanging="155"/>
        <w:spacing w:after="0" w:line="301" w:lineRule="auto"/>
        <w:tabs>
          <w:tab w:leader="none" w:pos="320" w:val="left"/>
        </w:tabs>
        <w:numPr>
          <w:ilvl w:val="0"/>
          <w:numId w:val="40"/>
        </w:numPr>
        <w:rPr>
          <w:rFonts w:ascii="Arial" w:cs="Arial" w:eastAsia="Arial" w:hAnsi="Arial"/>
          <w:sz w:val="16"/>
          <w:szCs w:val="16"/>
          <w:color w:val="BF5B5A"/>
        </w:rPr>
      </w:pPr>
      <w:r>
        <w:rPr>
          <w:rFonts w:ascii="Arial" w:cs="Arial" w:eastAsia="Arial" w:hAnsi="Arial"/>
          <w:sz w:val="16"/>
          <w:szCs w:val="16"/>
          <w:color w:val="auto"/>
        </w:rPr>
        <w:t>Bachelor’s degree in Applied Mathematics, University of California, Los Angeles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BF5B5A"/>
        </w:rPr>
        <w:t>QUALIFICATIONS</w:t>
      </w:r>
    </w:p>
    <w:p>
      <w:pPr>
        <w:spacing w:after="0" w:line="100" w:lineRule="exact"/>
        <w:rPr>
          <w:sz w:val="20"/>
          <w:szCs w:val="20"/>
          <w:color w:val="auto"/>
        </w:rPr>
      </w:pPr>
    </w:p>
    <w:p>
      <w:pPr>
        <w:ind w:left="320" w:right="220" w:hanging="155"/>
        <w:spacing w:after="0" w:line="286" w:lineRule="auto"/>
        <w:tabs>
          <w:tab w:leader="none" w:pos="320" w:val="left"/>
        </w:tabs>
        <w:numPr>
          <w:ilvl w:val="0"/>
          <w:numId w:val="41"/>
        </w:numPr>
        <w:rPr>
          <w:rFonts w:ascii="Arial" w:cs="Arial" w:eastAsia="Arial" w:hAnsi="Arial"/>
          <w:sz w:val="16"/>
          <w:szCs w:val="16"/>
          <w:color w:val="BF5B5A"/>
        </w:rPr>
      </w:pPr>
      <w:r>
        <w:rPr>
          <w:rFonts w:ascii="Arial" w:cs="Arial" w:eastAsia="Arial" w:hAnsi="Arial"/>
          <w:sz w:val="16"/>
          <w:szCs w:val="16"/>
          <w:color w:val="auto"/>
        </w:rPr>
        <w:t>Mr. Harrison’s qualifications to serve on the Board include his operating, management and leadership experience as First Hawaiian Bank’s Chairman, President and Chief Executive Officer, as well as his prior experience as First Hawaiian Bank’s Chief Operating Officer and as its Chief Risk Officer.</w:t>
      </w:r>
    </w:p>
    <w:p>
      <w:pPr>
        <w:spacing w:after="0" w:line="1" w:lineRule="exact"/>
        <w:rPr>
          <w:rFonts w:ascii="Arial" w:cs="Arial" w:eastAsia="Arial" w:hAnsi="Arial"/>
          <w:sz w:val="16"/>
          <w:szCs w:val="16"/>
          <w:color w:val="BF5B5A"/>
        </w:rPr>
      </w:pPr>
    </w:p>
    <w:p>
      <w:pPr>
        <w:ind w:left="320" w:right="380" w:hanging="155"/>
        <w:spacing w:after="0" w:line="294" w:lineRule="auto"/>
        <w:tabs>
          <w:tab w:leader="none" w:pos="320" w:val="left"/>
        </w:tabs>
        <w:numPr>
          <w:ilvl w:val="0"/>
          <w:numId w:val="41"/>
        </w:numPr>
        <w:rPr>
          <w:rFonts w:ascii="Arial" w:cs="Arial" w:eastAsia="Arial" w:hAnsi="Arial"/>
          <w:sz w:val="16"/>
          <w:szCs w:val="16"/>
          <w:color w:val="BF5B5A"/>
        </w:rPr>
      </w:pPr>
      <w:r>
        <w:rPr>
          <w:rFonts w:ascii="Arial" w:cs="Arial" w:eastAsia="Arial" w:hAnsi="Arial"/>
          <w:sz w:val="16"/>
          <w:szCs w:val="16"/>
          <w:color w:val="auto"/>
        </w:rPr>
        <w:t>Mr. Harrison has extensive knowledge of, and has made significant contributions to, the growth of First Hawaiian and First Hawaiian Bank.</w:t>
      </w:r>
    </w:p>
    <w:p>
      <w:pPr>
        <w:spacing w:after="0" w:line="2" w:lineRule="exact"/>
        <w:rPr>
          <w:rFonts w:ascii="Arial" w:cs="Arial" w:eastAsia="Arial" w:hAnsi="Arial"/>
          <w:sz w:val="16"/>
          <w:szCs w:val="16"/>
          <w:color w:val="BF5B5A"/>
        </w:rPr>
      </w:pPr>
    </w:p>
    <w:p>
      <w:pPr>
        <w:ind w:left="320" w:right="240" w:hanging="155"/>
        <w:spacing w:after="0" w:line="295" w:lineRule="auto"/>
        <w:tabs>
          <w:tab w:leader="none" w:pos="320" w:val="left"/>
        </w:tabs>
        <w:numPr>
          <w:ilvl w:val="0"/>
          <w:numId w:val="41"/>
        </w:numPr>
        <w:rPr>
          <w:rFonts w:ascii="Arial" w:cs="Arial" w:eastAsia="Arial" w:hAnsi="Arial"/>
          <w:sz w:val="16"/>
          <w:szCs w:val="16"/>
          <w:color w:val="BF5B5A"/>
        </w:rPr>
      </w:pPr>
      <w:r>
        <w:rPr>
          <w:rFonts w:ascii="Arial" w:cs="Arial" w:eastAsia="Arial" w:hAnsi="Arial"/>
          <w:sz w:val="16"/>
          <w:szCs w:val="16"/>
          <w:color w:val="auto"/>
        </w:rPr>
        <w:t>Mr. Harrison also brings to First Hawaiian’s Board his expertise in the financial services industry generally and in Hawaii in particular.</w:t>
      </w:r>
    </w:p>
    <w:p>
      <w:pPr>
        <w:spacing w:after="0" w:line="200" w:lineRule="exact"/>
        <w:rPr>
          <w:sz w:val="20"/>
          <w:szCs w:val="20"/>
          <w:color w:val="auto"/>
        </w:rPr>
      </w:pPr>
    </w:p>
    <w:p>
      <w:pPr>
        <w:sectPr>
          <w:pgSz w:w="11900" w:h="16838" w:orient="portrait"/>
          <w:cols w:equalWidth="0" w:num="2">
            <w:col w:w="6100" w:space="320"/>
            <w:col w:w="35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18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-1307465</wp:posOffset>
            </wp:positionV>
            <wp:extent cx="1234440" cy="1071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r>
    </w:p>
    <w:p>
      <w:pPr>
        <w:spacing w:after="0" w:line="134" w:lineRule="exact"/>
        <w:rPr>
          <w:sz w:val="20"/>
          <w:szCs w:val="20"/>
          <w:color w:val="auto"/>
        </w:rPr>
      </w:pPr>
    </w:p>
    <w:p>
      <w:pPr>
        <w:ind w:left="1020" w:hanging="168"/>
        <w:spacing w:after="0"/>
        <w:tabs>
          <w:tab w:leader="none" w:pos="1020" w:val="left"/>
        </w:tabs>
        <w:numPr>
          <w:ilvl w:val="0"/>
          <w:numId w:val="42"/>
        </w:numPr>
        <w:rPr>
          <w:rFonts w:ascii="Arial" w:cs="Arial" w:eastAsia="Arial" w:hAnsi="Arial"/>
          <w:sz w:val="16"/>
          <w:szCs w:val="16"/>
          <w:color w:val="BF5B5A"/>
        </w:rPr>
      </w:pPr>
      <w:r>
        <w:rPr>
          <w:rFonts w:ascii="Arial" w:cs="Arial" w:eastAsia="Arial" w:hAnsi="Arial"/>
          <w:sz w:val="16"/>
          <w:szCs w:val="16"/>
          <w:color w:val="auto"/>
        </w:rPr>
        <w:t>Audit</w:t>
      </w:r>
    </w:p>
    <w:p>
      <w:pPr>
        <w:spacing w:after="0" w:line="72" w:lineRule="exact"/>
        <w:rPr>
          <w:rFonts w:ascii="Arial" w:cs="Arial" w:eastAsia="Arial" w:hAnsi="Arial"/>
          <w:sz w:val="16"/>
          <w:szCs w:val="16"/>
          <w:color w:val="BF5B5A"/>
        </w:rPr>
      </w:pPr>
    </w:p>
    <w:p>
      <w:pPr>
        <w:ind w:left="1020" w:hanging="168"/>
        <w:spacing w:after="0"/>
        <w:tabs>
          <w:tab w:leader="none" w:pos="1020" w:val="left"/>
        </w:tabs>
        <w:numPr>
          <w:ilvl w:val="0"/>
          <w:numId w:val="42"/>
        </w:numPr>
        <w:rPr>
          <w:rFonts w:ascii="Arial" w:cs="Arial" w:eastAsia="Arial" w:hAnsi="Arial"/>
          <w:sz w:val="16"/>
          <w:szCs w:val="16"/>
          <w:color w:val="BF5B5A"/>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1242695" cy="1131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4269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0" w:type="dxa"/>
            <w:vAlign w:val="bottom"/>
            <w:shd w:val="clear" w:color="auto" w:fill="BF5B5A"/>
          </w:tcPr>
          <w:p>
            <w:pPr>
              <w:spacing w:after="0"/>
              <w:rPr>
                <w:sz w:val="19"/>
                <w:szCs w:val="19"/>
                <w:color w:val="auto"/>
              </w:rPr>
            </w:pPr>
          </w:p>
        </w:tc>
        <w:tc>
          <w:tcPr>
            <w:tcW w:w="3320" w:type="dxa"/>
            <w:vAlign w:val="bottom"/>
            <w:gridSpan w:val="2"/>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Faye W. Kurren</w:t>
            </w:r>
          </w:p>
        </w:tc>
        <w:tc>
          <w:tcPr>
            <w:tcW w:w="540" w:type="dxa"/>
            <w:vAlign w:val="bottom"/>
            <w:shd w:val="clear" w:color="auto" w:fill="BF5B5A"/>
          </w:tcPr>
          <w:p>
            <w:pPr>
              <w:spacing w:after="0"/>
              <w:rPr>
                <w:sz w:val="19"/>
                <w:szCs w:val="19"/>
                <w:color w:val="auto"/>
              </w:rPr>
            </w:pPr>
          </w:p>
        </w:tc>
        <w:tc>
          <w:tcPr>
            <w:tcW w:w="306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5"/>
              </w:rPr>
              <w:t>Age 73</w:t>
            </w:r>
          </w:p>
        </w:tc>
        <w:tc>
          <w:tcPr>
            <w:tcW w:w="200" w:type="dxa"/>
            <w:vAlign w:val="bottom"/>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20" w:type="dxa"/>
            <w:vAlign w:val="bottom"/>
            <w:gridSpan w:val="2"/>
            <w:vMerge w:val="continue"/>
            <w:shd w:val="clear" w:color="auto" w:fill="BF5B5A"/>
          </w:tcPr>
          <w:p>
            <w:pPr>
              <w:spacing w:after="0"/>
              <w:rPr>
                <w:sz w:val="24"/>
                <w:szCs w:val="24"/>
                <w:color w:val="auto"/>
              </w:rPr>
            </w:pPr>
          </w:p>
        </w:tc>
        <w:tc>
          <w:tcPr>
            <w:tcW w:w="540" w:type="dxa"/>
            <w:vAlign w:val="bottom"/>
            <w:shd w:val="clear" w:color="auto" w:fill="BF5B5A"/>
          </w:tcPr>
          <w:p>
            <w:pPr>
              <w:ind w:left="40"/>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83" w:lineRule="exact"/>
              <w:rPr>
                <w:sz w:val="20"/>
                <w:szCs w:val="20"/>
                <w:color w:val="auto"/>
              </w:rPr>
            </w:pPr>
            <w:r>
              <w:rPr>
                <w:rFonts w:ascii="Arial" w:cs="Arial" w:eastAsia="Arial" w:hAnsi="Arial"/>
                <w:sz w:val="16"/>
                <w:szCs w:val="16"/>
                <w:b w:val="1"/>
                <w:bCs w:val="1"/>
                <w:color w:val="FFFFFF"/>
              </w:rPr>
              <w:t> Independent Director since 2018</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20" w:type="dxa"/>
            <w:vAlign w:val="bottom"/>
            <w:gridSpan w:val="2"/>
            <w:shd w:val="clear" w:color="auto" w:fill="BF5B5A"/>
          </w:tcPr>
          <w:p>
            <w:pPr>
              <w:spacing w:after="0"/>
              <w:rPr>
                <w:sz w:val="8"/>
                <w:szCs w:val="8"/>
                <w:color w:val="auto"/>
              </w:rPr>
            </w:pPr>
          </w:p>
        </w:tc>
        <w:tc>
          <w:tcPr>
            <w:tcW w:w="3600" w:type="dxa"/>
            <w:vAlign w:val="bottom"/>
            <w:gridSpan w:val="2"/>
            <w:shd w:val="clear" w:color="auto" w:fill="BF5B5A"/>
          </w:tcPr>
          <w:p>
            <w:pPr>
              <w:spacing w:after="0"/>
              <w:rPr>
                <w:sz w:val="8"/>
                <w:szCs w:val="8"/>
                <w:color w:val="auto"/>
              </w:rPr>
            </w:pPr>
          </w:p>
        </w:tc>
        <w:tc>
          <w:tcPr>
            <w:tcW w:w="20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380" w:type="dxa"/>
            <w:vAlign w:val="bottom"/>
            <w:gridSpan w:val="3"/>
          </w:tcPr>
          <w:p>
            <w:pPr>
              <w:ind w:left="20"/>
              <w:spacing w:after="0" w:line="256" w:lineRule="exact"/>
              <w:rPr>
                <w:sz w:val="20"/>
                <w:szCs w:val="20"/>
                <w:color w:val="auto"/>
              </w:rPr>
            </w:pPr>
            <w:r>
              <w:rPr>
                <w:rFonts w:ascii="Arial" w:cs="Arial" w:eastAsia="Arial" w:hAnsi="Arial"/>
                <w:sz w:val="29"/>
                <w:szCs w:val="29"/>
                <w:color w:val="000000"/>
                <w:vertAlign w:val="superscript"/>
              </w:rPr>
              <w:t>​</w:t>
            </w:r>
            <w:r>
              <w:rPr>
                <w:rFonts w:ascii="Arial" w:cs="Arial" w:eastAsia="Arial" w:hAnsi="Arial"/>
                <w:sz w:val="15"/>
                <w:szCs w:val="15"/>
                <w:b w:val="1"/>
                <w:bCs w:val="1"/>
                <w:color w:val="BF5B5A"/>
              </w:rPr>
              <w:t>BACKGROUND</w:t>
            </w:r>
          </w:p>
        </w:tc>
        <w:tc>
          <w:tcPr>
            <w:tcW w:w="3600" w:type="dxa"/>
            <w:vAlign w:val="bottom"/>
            <w:gridSpan w:val="2"/>
          </w:tcPr>
          <w:p>
            <w:pPr>
              <w:ind w:left="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40" w:type="dxa"/>
            <w:vAlign w:val="bottom"/>
          </w:tcPr>
          <w:p>
            <w:pPr>
              <w:ind w:left="42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J.D., University of Hawaii</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(2018</w:t>
            </w:r>
          </w:p>
        </w:tc>
        <w:tc>
          <w:tcPr>
            <w:tcW w:w="540" w:type="dxa"/>
            <w:vAlign w:val="bottom"/>
          </w:tcPr>
          <w:p>
            <w:pPr>
              <w:ind w:left="42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Masters of Arts in Sociology, University</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of Chicago</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to present)</w:t>
            </w:r>
          </w:p>
        </w:tc>
        <w:tc>
          <w:tcPr>
            <w:tcW w:w="5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2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40" w:type="dxa"/>
            <w:vAlign w:val="bottom"/>
          </w:tcPr>
          <w:p>
            <w:pPr>
              <w:ind w:left="42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Bachelor of Arts in Sociology, Stanford</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(2005</w:t>
            </w:r>
          </w:p>
        </w:tc>
        <w:tc>
          <w:tcPr>
            <w:tcW w:w="54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University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36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BF5B5A"/>
              </w:rPr>
              <w:t>QUALIFICATIONS</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4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3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Currently serves on the Senior Trust</w:t>
            </w:r>
          </w:p>
        </w:tc>
        <w:tc>
          <w:tcPr>
            <w:tcW w:w="540" w:type="dxa"/>
            <w:vAlign w:val="bottom"/>
          </w:tcPr>
          <w:p>
            <w:pPr>
              <w:ind w:left="42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Ms. Kurren’s experience as the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president and chief executive officer of a</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Committee of the Board of Directors of</w:t>
            </w:r>
          </w:p>
        </w:tc>
        <w:tc>
          <w:tcPr>
            <w:tcW w:w="5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major, local healthcare insurance</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the Bank</w:t>
            </w:r>
          </w:p>
        </w:tc>
        <w:tc>
          <w:tcPr>
            <w:tcW w:w="5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company provides her with extensive</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HAWAII DENTAL SERVICE</w:t>
            </w:r>
            <w:r>
              <w:rPr>
                <w:rFonts w:ascii="Arial" w:cs="Arial" w:eastAsia="Arial" w:hAnsi="Arial"/>
                <w:sz w:val="16"/>
                <w:szCs w:val="16"/>
                <w:color w:val="auto"/>
              </w:rPr>
              <w:t>, a Honolulu,</w:t>
            </w:r>
          </w:p>
        </w:tc>
        <w:tc>
          <w:tcPr>
            <w:tcW w:w="54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experience in an important local industry</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6"/>
                <w:szCs w:val="16"/>
                <w:color w:val="auto"/>
              </w:rPr>
              <w:t>Hawaii-based dental insurance company</w:t>
            </w:r>
          </w:p>
        </w:tc>
        <w:tc>
          <w:tcPr>
            <w:tcW w:w="54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and provides the Board with expertise in</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6"/>
                <w:szCs w:val="16"/>
                <w:color w:val="auto"/>
              </w:rPr>
              <w:t>with the largest network of participating</w:t>
            </w:r>
          </w:p>
        </w:tc>
        <w:tc>
          <w:tcPr>
            <w:tcW w:w="54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management and corporate governance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20" w:type="dxa"/>
            <w:vAlign w:val="bottom"/>
            <w:gridSpan w:val="2"/>
            <w:vMerge w:val="restart"/>
          </w:tcPr>
          <w:p>
            <w:pPr>
              <w:ind w:left="80"/>
              <w:spacing w:after="0"/>
              <w:rPr>
                <w:sz w:val="20"/>
                <w:szCs w:val="20"/>
                <w:color w:val="auto"/>
              </w:rPr>
            </w:pPr>
            <w:r>
              <w:rPr>
                <w:rFonts w:ascii="Arial" w:cs="Arial" w:eastAsia="Arial" w:hAnsi="Arial"/>
                <w:sz w:val="16"/>
                <w:szCs w:val="16"/>
                <w:color w:val="auto"/>
              </w:rPr>
              <w:t>dentists in Hawaii</w:t>
            </w:r>
          </w:p>
        </w:tc>
        <w:tc>
          <w:tcPr>
            <w:tcW w:w="54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33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matters.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40" w:type="dxa"/>
            <w:vAlign w:val="bottom"/>
          </w:tcPr>
          <w:p>
            <w:pPr>
              <w:ind w:left="40"/>
              <w:spacing w:after="0"/>
              <w:rPr>
                <w:sz w:val="20"/>
                <w:szCs w:val="20"/>
                <w:color w:val="auto"/>
              </w:rPr>
            </w:pPr>
            <w:r>
              <w:rPr>
                <w:rFonts w:ascii="Arial" w:cs="Arial" w:eastAsia="Arial" w:hAnsi="Arial"/>
                <w:sz w:val="16"/>
                <w:szCs w:val="16"/>
                <w:color w:val="auto"/>
              </w:rPr>
              <w:t>President and Chief Executive Officer</w:t>
            </w:r>
          </w:p>
        </w:tc>
        <w:tc>
          <w:tcPr>
            <w:tcW w:w="540" w:type="dxa"/>
            <w:vAlign w:val="bottom"/>
            <w:vMerge w:val="restart"/>
          </w:tcPr>
          <w:p>
            <w:pPr>
              <w:ind w:left="42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In addition, having served as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(2003 to 2014, upon retirement)</w:t>
            </w:r>
          </w:p>
        </w:tc>
        <w:tc>
          <w:tcPr>
            <w:tcW w:w="54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president of the subsidiary of a publicly</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2"/>
          </w:tcPr>
          <w:p>
            <w:pPr>
              <w:ind w:left="80"/>
              <w:spacing w:after="0"/>
              <w:rPr>
                <w:sz w:val="20"/>
                <w:szCs w:val="20"/>
                <w:color w:val="auto"/>
              </w:rPr>
            </w:pPr>
            <w:r>
              <w:rPr>
                <w:rFonts w:ascii="Arial" w:cs="Arial" w:eastAsia="Arial" w:hAnsi="Arial"/>
                <w:sz w:val="16"/>
                <w:szCs w:val="16"/>
                <w:b w:val="1"/>
                <w:bCs w:val="1"/>
                <w:color w:val="auto"/>
              </w:rPr>
              <w:t>TESORO HAWAII, LLC</w:t>
            </w:r>
            <w:r>
              <w:rPr>
                <w:rFonts w:ascii="Arial" w:cs="Arial" w:eastAsia="Arial" w:hAnsi="Arial"/>
                <w:sz w:val="16"/>
                <w:szCs w:val="16"/>
                <w:color w:val="auto"/>
              </w:rPr>
              <w:t>, a former subsidiary</w:t>
            </w:r>
          </w:p>
        </w:tc>
        <w:tc>
          <w:tcPr>
            <w:tcW w:w="54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traded company, Ms. Kurren possesses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2"/>
          </w:tcPr>
          <w:p>
            <w:pPr>
              <w:ind w:left="80"/>
              <w:spacing w:after="0"/>
              <w:rPr>
                <w:sz w:val="20"/>
                <w:szCs w:val="20"/>
                <w:color w:val="auto"/>
              </w:rPr>
            </w:pPr>
            <w:r>
              <w:rPr>
                <w:rFonts w:ascii="Arial" w:cs="Arial" w:eastAsia="Arial" w:hAnsi="Arial"/>
                <w:sz w:val="16"/>
                <w:szCs w:val="16"/>
                <w:color w:val="auto"/>
              </w:rPr>
              <w:t>of Marathon Petroleum (f/k/a Tesoro</w:t>
            </w:r>
          </w:p>
        </w:tc>
        <w:tc>
          <w:tcPr>
            <w:tcW w:w="54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financial skills that qualify her as one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2"/>
          </w:tcPr>
          <w:p>
            <w:pPr>
              <w:ind w:left="80"/>
              <w:spacing w:after="0"/>
              <w:rPr>
                <w:sz w:val="20"/>
                <w:szCs w:val="20"/>
                <w:color w:val="auto"/>
              </w:rPr>
            </w:pPr>
            <w:r>
              <w:rPr>
                <w:rFonts w:ascii="Arial" w:cs="Arial" w:eastAsia="Arial" w:hAnsi="Arial"/>
                <w:sz w:val="16"/>
                <w:szCs w:val="16"/>
                <w:color w:val="auto"/>
              </w:rPr>
              <w:t>Corporation and Andeavor)</w:t>
            </w:r>
          </w:p>
        </w:tc>
        <w:tc>
          <w:tcPr>
            <w:tcW w:w="54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four audit committee financial experts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40" w:type="dxa"/>
            <w:vAlign w:val="bottom"/>
            <w:vMerge w:val="restart"/>
          </w:tcPr>
          <w:p>
            <w:pPr>
              <w:ind w:left="40"/>
              <w:spacing w:after="0"/>
              <w:rPr>
                <w:sz w:val="20"/>
                <w:szCs w:val="20"/>
                <w:color w:val="auto"/>
              </w:rPr>
            </w:pPr>
            <w:r>
              <w:rPr>
                <w:rFonts w:ascii="Arial" w:cs="Arial" w:eastAsia="Arial" w:hAnsi="Arial"/>
                <w:sz w:val="16"/>
                <w:szCs w:val="16"/>
                <w:color w:val="auto"/>
              </w:rPr>
              <w:t>President (1998 to 2003)</w:t>
            </w:r>
          </w:p>
        </w:tc>
        <w:tc>
          <w:tcPr>
            <w:tcW w:w="54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serving on the Audit Committee.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-3418840</wp:posOffset>
            </wp:positionV>
            <wp:extent cx="106680"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BF5B5A"/>
        </w:rPr>
        <w:t>OTHER ENGAGEMENTS</w:t>
      </w:r>
    </w:p>
    <w:p>
      <w:pPr>
        <w:spacing w:after="0" w:line="100" w:lineRule="exact"/>
        <w:rPr>
          <w:sz w:val="20"/>
          <w:szCs w:val="20"/>
          <w:color w:val="auto"/>
        </w:rPr>
      </w:pPr>
    </w:p>
    <w:p>
      <w:pPr>
        <w:ind w:left="420" w:right="4060" w:hanging="152"/>
        <w:spacing w:after="0" w:line="321" w:lineRule="auto"/>
        <w:tabs>
          <w:tab w:leader="none" w:pos="420" w:val="left"/>
        </w:tabs>
        <w:numPr>
          <w:ilvl w:val="0"/>
          <w:numId w:val="43"/>
        </w:numPr>
        <w:rPr>
          <w:rFonts w:ascii="Arial" w:cs="Arial" w:eastAsia="Arial" w:hAnsi="Arial"/>
          <w:sz w:val="16"/>
          <w:szCs w:val="16"/>
          <w:color w:val="BF5B5A"/>
        </w:rPr>
      </w:pPr>
      <w:r>
        <w:rPr>
          <w:rFonts w:ascii="Arial" w:cs="Arial" w:eastAsia="Arial" w:hAnsi="Arial"/>
          <w:sz w:val="16"/>
          <w:szCs w:val="16"/>
          <w:color w:val="auto"/>
        </w:rPr>
        <w:t>Director, First Insurance Company of Hawaii</w:t>
      </w:r>
    </w:p>
    <w:p>
      <w:pPr>
        <w:spacing w:after="0" w:line="34" w:lineRule="exact"/>
        <w:rPr>
          <w:rFonts w:ascii="Arial" w:cs="Arial" w:eastAsia="Arial" w:hAnsi="Arial"/>
          <w:sz w:val="16"/>
          <w:szCs w:val="16"/>
          <w:color w:val="BF5B5A"/>
        </w:rPr>
      </w:pPr>
    </w:p>
    <w:p>
      <w:pPr>
        <w:jc w:val="both"/>
        <w:ind w:left="420" w:right="4040" w:hanging="152"/>
        <w:spacing w:after="0" w:line="321" w:lineRule="auto"/>
        <w:tabs>
          <w:tab w:leader="none" w:pos="420" w:val="left"/>
        </w:tabs>
        <w:numPr>
          <w:ilvl w:val="0"/>
          <w:numId w:val="43"/>
        </w:numPr>
        <w:rPr>
          <w:rFonts w:ascii="Arial" w:cs="Arial" w:eastAsia="Arial" w:hAnsi="Arial"/>
          <w:sz w:val="16"/>
          <w:szCs w:val="16"/>
          <w:color w:val="BF5B5A"/>
        </w:rPr>
      </w:pPr>
      <w:r>
        <w:rPr>
          <w:rFonts w:ascii="Arial" w:cs="Arial" w:eastAsia="Arial" w:hAnsi="Arial"/>
          <w:sz w:val="16"/>
          <w:szCs w:val="16"/>
          <w:color w:val="auto"/>
        </w:rPr>
        <w:t>Past Chairperson of the Hawaii State Commission on the Status of Women</w:t>
      </w:r>
    </w:p>
    <w:p>
      <w:pPr>
        <w:spacing w:after="0" w:line="20" w:lineRule="exact"/>
        <w:rPr>
          <w:rFonts w:ascii="Arial" w:cs="Arial" w:eastAsia="Arial" w:hAnsi="Arial"/>
          <w:sz w:val="16"/>
          <w:szCs w:val="16"/>
          <w:color w:val="BF5B5A"/>
        </w:rPr>
      </w:pPr>
    </w:p>
    <w:p>
      <w:pPr>
        <w:ind w:left="420" w:right="3940" w:hanging="152"/>
        <w:spacing w:after="0" w:line="321" w:lineRule="auto"/>
        <w:tabs>
          <w:tab w:leader="none" w:pos="420" w:val="left"/>
        </w:tabs>
        <w:numPr>
          <w:ilvl w:val="0"/>
          <w:numId w:val="43"/>
        </w:numPr>
        <w:rPr>
          <w:rFonts w:ascii="Arial" w:cs="Arial" w:eastAsia="Arial" w:hAnsi="Arial"/>
          <w:sz w:val="16"/>
          <w:szCs w:val="16"/>
          <w:color w:val="BF5B5A"/>
        </w:rPr>
      </w:pPr>
      <w:r>
        <w:rPr>
          <w:rFonts w:ascii="Arial" w:cs="Arial" w:eastAsia="Arial" w:hAnsi="Arial"/>
          <w:sz w:val="16"/>
          <w:szCs w:val="16"/>
          <w:color w:val="auto"/>
        </w:rPr>
        <w:t>Past Chairperson, University of Hawaii Foundation</w:t>
      </w:r>
    </w:p>
    <w:p>
      <w:pPr>
        <w:spacing w:after="0" w:line="34" w:lineRule="exact"/>
        <w:rPr>
          <w:rFonts w:ascii="Arial" w:cs="Arial" w:eastAsia="Arial" w:hAnsi="Arial"/>
          <w:sz w:val="16"/>
          <w:szCs w:val="16"/>
          <w:color w:val="BF5B5A"/>
        </w:rPr>
      </w:pPr>
    </w:p>
    <w:p>
      <w:pPr>
        <w:ind w:left="420" w:right="3820" w:hanging="152"/>
        <w:spacing w:after="0" w:line="321" w:lineRule="auto"/>
        <w:tabs>
          <w:tab w:leader="none" w:pos="420" w:val="left"/>
        </w:tabs>
        <w:numPr>
          <w:ilvl w:val="0"/>
          <w:numId w:val="43"/>
        </w:numPr>
        <w:rPr>
          <w:rFonts w:ascii="Arial" w:cs="Arial" w:eastAsia="Arial" w:hAnsi="Arial"/>
          <w:sz w:val="16"/>
          <w:szCs w:val="16"/>
          <w:color w:val="BF5B5A"/>
        </w:rPr>
      </w:pPr>
      <w:r>
        <w:rPr>
          <w:rFonts w:ascii="Arial" w:cs="Arial" w:eastAsia="Arial" w:hAnsi="Arial"/>
          <w:sz w:val="16"/>
          <w:szCs w:val="16"/>
          <w:color w:val="auto"/>
        </w:rPr>
        <w:t>Past Chairperson, Hawaii State Chapter of the American Red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73660</wp:posOffset>
            </wp:positionV>
            <wp:extent cx="5829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660"/>
            <w:col w:w="722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19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-1303655</wp:posOffset>
            </wp:positionV>
            <wp:extent cx="1234440" cy="1071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r>
    </w:p>
    <w:p>
      <w:pPr>
        <w:ind w:left="1020"/>
        <w:spacing w:after="0" w:line="208" w:lineRule="auto"/>
        <w:rPr>
          <w:sz w:val="20"/>
          <w:szCs w:val="20"/>
          <w:color w:val="auto"/>
        </w:rPr>
      </w:pPr>
      <w:r>
        <w:rPr>
          <w:rFonts w:ascii="Arial" w:cs="Arial" w:eastAsia="Arial" w:hAnsi="Arial"/>
          <w:sz w:val="16"/>
          <w:szCs w:val="16"/>
          <w:color w:val="auto"/>
        </w:rPr>
        <w:t>Risk</w:t>
      </w:r>
    </w:p>
    <w:p>
      <w:pPr>
        <w:ind w:left="1480" w:hanging="628"/>
        <w:spacing w:after="0" w:line="229" w:lineRule="auto"/>
        <w:tabs>
          <w:tab w:leader="none" w:pos="1480" w:val="left"/>
        </w:tabs>
        <w:numPr>
          <w:ilvl w:val="0"/>
          <w:numId w:val="44"/>
        </w:numPr>
        <w:rPr>
          <w:rFonts w:ascii="Arial" w:cs="Arial" w:eastAsia="Arial" w:hAnsi="Arial"/>
          <w:sz w:val="16"/>
          <w:szCs w:val="16"/>
          <w:color w:val="BF5B5A"/>
        </w:rPr>
      </w:pPr>
      <w:r>
        <w:rPr>
          <w:rFonts w:ascii="Arial" w:cs="Arial" w:eastAsia="Arial" w:hAnsi="Arial"/>
          <w:sz w:val="1"/>
          <w:szCs w:val="1"/>
          <w:color w:val="BF5B5A"/>
        </w:rPr>
        <w:drawing>
          <wp:inline distT="0" distB="0" distL="0" distR="0">
            <wp:extent cx="111760" cy="952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760" cy="95250"/>
                    </a:xfrm>
                    <a:prstGeom prst="rect">
                      <a:avLst/>
                    </a:prstGeom>
                    <a:noFill/>
                    <a:ln>
                      <a:noFill/>
                    </a:ln>
                  </pic:spPr>
                </pic:pic>
              </a:graphicData>
            </a:graphic>
          </wp:inline>
        </w:drawing>
      </w:r>
    </w:p>
    <w:p>
      <w:pPr>
        <w:spacing w:after="0" w:line="53" w:lineRule="exact"/>
        <w:rPr>
          <w:rFonts w:ascii="Arial" w:cs="Arial" w:eastAsia="Arial" w:hAnsi="Arial"/>
          <w:sz w:val="16"/>
          <w:szCs w:val="16"/>
          <w:color w:val="BF5B5A"/>
        </w:rPr>
      </w:pPr>
    </w:p>
    <w:p>
      <w:pPr>
        <w:ind w:left="1020" w:hanging="168"/>
        <w:spacing w:after="0" w:line="301" w:lineRule="auto"/>
        <w:tabs>
          <w:tab w:leader="none" w:pos="1020" w:val="left"/>
        </w:tabs>
        <w:numPr>
          <w:ilvl w:val="0"/>
          <w:numId w:val="44"/>
        </w:numPr>
        <w:rPr>
          <w:rFonts w:ascii="Arial" w:cs="Arial" w:eastAsia="Arial" w:hAnsi="Arial"/>
          <w:sz w:val="16"/>
          <w:szCs w:val="16"/>
          <w:color w:val="BF5B5A"/>
        </w:rPr>
      </w:pPr>
      <w:r>
        <w:rPr>
          <w:rFonts w:ascii="Arial" w:cs="Arial" w:eastAsia="Arial" w:hAnsi="Arial"/>
          <w:sz w:val="16"/>
          <w:szCs w:val="16"/>
          <w:color w:val="auto"/>
        </w:rPr>
        <w:t>Corporate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74930</wp:posOffset>
            </wp:positionV>
            <wp:extent cx="1242695" cy="13633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4269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0" w:type="dxa"/>
            <w:vAlign w:val="bottom"/>
            <w:shd w:val="clear" w:color="auto" w:fill="BF5B5A"/>
          </w:tcPr>
          <w:p>
            <w:pPr>
              <w:spacing w:after="0"/>
              <w:rPr>
                <w:sz w:val="18"/>
                <w:szCs w:val="18"/>
                <w:color w:val="auto"/>
              </w:rPr>
            </w:pPr>
          </w:p>
        </w:tc>
        <w:tc>
          <w:tcPr>
            <w:tcW w:w="3340" w:type="dxa"/>
            <w:vAlign w:val="bottom"/>
            <w:gridSpan w:val="2"/>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James S. Moffatt</w:t>
            </w:r>
          </w:p>
        </w:tc>
        <w:tc>
          <w:tcPr>
            <w:tcW w:w="520" w:type="dxa"/>
            <w:vAlign w:val="bottom"/>
            <w:shd w:val="clear" w:color="auto" w:fill="BF5B5A"/>
          </w:tcPr>
          <w:p>
            <w:pPr>
              <w:spacing w:after="0"/>
              <w:rPr>
                <w:sz w:val="18"/>
                <w:szCs w:val="18"/>
                <w:color w:val="auto"/>
              </w:rPr>
            </w:pPr>
          </w:p>
        </w:tc>
        <w:tc>
          <w:tcPr>
            <w:tcW w:w="308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9"/>
              </w:rPr>
              <w:t>Age 65</w:t>
            </w:r>
          </w:p>
        </w:tc>
        <w:tc>
          <w:tcPr>
            <w:tcW w:w="180" w:type="dxa"/>
            <w:vAlign w:val="bottom"/>
            <w:shd w:val="clear" w:color="auto" w:fill="BF5B5A"/>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40" w:type="dxa"/>
            <w:vAlign w:val="bottom"/>
            <w:gridSpan w:val="2"/>
            <w:vMerge w:val="continue"/>
            <w:shd w:val="clear" w:color="auto" w:fill="BF5B5A"/>
          </w:tcPr>
          <w:p>
            <w:pPr>
              <w:spacing w:after="0"/>
              <w:rPr>
                <w:sz w:val="24"/>
                <w:szCs w:val="24"/>
                <w:color w:val="auto"/>
              </w:rPr>
            </w:pPr>
          </w:p>
        </w:tc>
        <w:tc>
          <w:tcPr>
            <w:tcW w:w="520" w:type="dxa"/>
            <w:vAlign w:val="bottom"/>
            <w:shd w:val="clear" w:color="auto" w:fill="BF5B5A"/>
          </w:tcPr>
          <w:p>
            <w:pPr>
              <w:ind w:left="20"/>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96" w:lineRule="exact"/>
              <w:rPr>
                <w:sz w:val="20"/>
                <w:szCs w:val="20"/>
                <w:color w:val="auto"/>
              </w:rPr>
            </w:pPr>
            <w:r>
              <w:rPr>
                <w:rFonts w:ascii="Arial" w:cs="Arial" w:eastAsia="Arial" w:hAnsi="Arial"/>
                <w:sz w:val="16"/>
                <w:szCs w:val="16"/>
                <w:b w:val="1"/>
                <w:bCs w:val="1"/>
                <w:color w:val="FFFFFF"/>
              </w:rPr>
              <w:t> Independent Director since 2021</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40" w:type="dxa"/>
            <w:vAlign w:val="bottom"/>
            <w:gridSpan w:val="2"/>
            <w:shd w:val="clear" w:color="auto" w:fill="BF5B5A"/>
          </w:tcPr>
          <w:p>
            <w:pPr>
              <w:spacing w:after="0"/>
              <w:rPr>
                <w:sz w:val="8"/>
                <w:szCs w:val="8"/>
                <w:color w:val="auto"/>
              </w:rPr>
            </w:pPr>
          </w:p>
        </w:tc>
        <w:tc>
          <w:tcPr>
            <w:tcW w:w="3600" w:type="dxa"/>
            <w:vAlign w:val="bottom"/>
            <w:gridSpan w:val="2"/>
            <w:shd w:val="clear" w:color="auto" w:fill="BF5B5A"/>
          </w:tcPr>
          <w:p>
            <w:pPr>
              <w:spacing w:after="0"/>
              <w:rPr>
                <w:sz w:val="8"/>
                <w:szCs w:val="8"/>
                <w:color w:val="auto"/>
              </w:rPr>
            </w:pPr>
          </w:p>
        </w:tc>
        <w:tc>
          <w:tcPr>
            <w:tcW w:w="18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00" w:type="dxa"/>
            <w:vAlign w:val="bottom"/>
            <w:gridSpan w:val="3"/>
          </w:tcPr>
          <w:p>
            <w:pPr>
              <w:ind w:left="20"/>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p>
        </w:tc>
        <w:tc>
          <w:tcPr>
            <w:tcW w:w="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M.B.A., UCLA Anderson School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(2021</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Management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Bachelor’s degree, University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California, San Diego</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3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Member of the Board of Directors (2021</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Graduate of the Directors’ Consortium at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Stanford University Graduate School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DELOITTE CONSULTING</w:t>
            </w:r>
            <w:r>
              <w:rPr>
                <w:rFonts w:ascii="Arial" w:cs="Arial" w:eastAsia="Arial" w:hAnsi="Arial"/>
                <w:sz w:val="16"/>
                <w:szCs w:val="16"/>
                <w:color w:val="auto"/>
              </w:rPr>
              <w:t>, a leading</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Business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2"/>
            <w:vMerge w:val="continue"/>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Graduate of the Master Class of the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international consulting business</w:t>
            </w:r>
          </w:p>
        </w:tc>
        <w:tc>
          <w:tcPr>
            <w:tcW w:w="520" w:type="dxa"/>
            <w:vAlign w:val="bottom"/>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Vice Chairman, global consulting</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National Association of Corporate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30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Directors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business (2018, upon retirement)</w:t>
            </w:r>
          </w:p>
        </w:tc>
        <w:tc>
          <w:tcPr>
            <w:tcW w:w="5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vMerge w:val="continue"/>
          </w:tcPr>
          <w:p>
            <w:pPr>
              <w:spacing w:after="0"/>
              <w:rPr>
                <w:sz w:val="11"/>
                <w:szCs w:val="11"/>
                <w:color w:val="auto"/>
              </w:rPr>
            </w:pPr>
          </w:p>
        </w:tc>
        <w:tc>
          <w:tcPr>
            <w:tcW w:w="36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QUALIFICATIONS</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Chief Executive Officer, global</w:t>
            </w:r>
          </w:p>
        </w:tc>
        <w:tc>
          <w:tcPr>
            <w:tcW w:w="36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Mr. Moffatt’s service at the most senior</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consulting business (2015-2017)</w:t>
            </w:r>
          </w:p>
        </w:tc>
        <w:tc>
          <w:tcPr>
            <w:tcW w:w="520" w:type="dxa"/>
            <w:vAlign w:val="bottom"/>
            <w:vMerge w:val="continue"/>
          </w:tcPr>
          <w:p>
            <w:pPr>
              <w:spacing w:after="0"/>
              <w:rPr>
                <w:sz w:val="11"/>
                <w:szCs w:val="11"/>
                <w:color w:val="auto"/>
              </w:rPr>
            </w:pPr>
          </w:p>
        </w:tc>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levels of a preeminent consulting</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Chairman and Chief Executive Officer,</w:t>
            </w:r>
          </w:p>
        </w:tc>
        <w:tc>
          <w:tcPr>
            <w:tcW w:w="5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80" w:type="dxa"/>
            <w:vAlign w:val="bottom"/>
          </w:tcPr>
          <w:p>
            <w:pPr>
              <w:ind w:left="40"/>
              <w:spacing w:after="0" w:line="177" w:lineRule="exact"/>
              <w:rPr>
                <w:sz w:val="20"/>
                <w:szCs w:val="20"/>
                <w:color w:val="auto"/>
              </w:rPr>
            </w:pPr>
            <w:r>
              <w:rPr>
                <w:rFonts w:ascii="Arial" w:cs="Arial" w:eastAsia="Arial" w:hAnsi="Arial"/>
                <w:sz w:val="16"/>
                <w:szCs w:val="16"/>
                <w:color w:val="auto"/>
              </w:rPr>
              <w:t>business provides the First Hawaiian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US consulting business (2011-2015)</w:t>
            </w:r>
          </w:p>
        </w:tc>
        <w:tc>
          <w:tcPr>
            <w:tcW w:w="520" w:type="dxa"/>
            <w:vAlign w:val="bottom"/>
          </w:tcPr>
          <w:p>
            <w:pPr>
              <w:spacing w:after="0"/>
              <w:rPr>
                <w:sz w:val="22"/>
                <w:szCs w:val="22"/>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Board with significant leadership,</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6"/>
                <w:szCs w:val="16"/>
                <w:b w:val="1"/>
                <w:bCs w:val="1"/>
                <w:color w:val="BF5B5A"/>
              </w:rPr>
              <w:t>OTHER ENGAGEMENTS</w:t>
            </w:r>
          </w:p>
        </w:tc>
        <w:tc>
          <w:tcPr>
            <w:tcW w:w="520" w:type="dxa"/>
            <w:vAlign w:val="bottom"/>
          </w:tcPr>
          <w:p>
            <w:pPr>
              <w:spacing w:after="0"/>
              <w:rPr>
                <w:sz w:val="21"/>
                <w:szCs w:val="21"/>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operating and management experience.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Current director of Optiv, a cybersecurity</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Having worked in business consulting</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solutions integrator</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for 30 years and currently serving as an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Current director of Icertis, a contract</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advisor to or director of a variety of</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30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companies, Mr. Moffatt brings</w:t>
            </w: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80" w:type="dxa"/>
            <w:vAlign w:val="bottom"/>
            <w:gridSpan w:val="3"/>
          </w:tcPr>
          <w:p>
            <w:pPr>
              <w:spacing w:after="0" w:line="175" w:lineRule="exact"/>
              <w:rPr>
                <w:sz w:val="20"/>
                <w:szCs w:val="20"/>
                <w:color w:val="auto"/>
              </w:rPr>
            </w:pPr>
            <w:r>
              <w:rPr>
                <w:rFonts w:ascii="Arial" w:cs="Arial" w:eastAsia="Arial" w:hAnsi="Arial"/>
                <w:sz w:val="16"/>
                <w:szCs w:val="16"/>
                <w:color w:val="auto"/>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lifecycle management company</w:t>
            </w:r>
          </w:p>
        </w:tc>
        <w:tc>
          <w:tcPr>
            <w:tcW w:w="52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sophisticated business acumen to the</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Current director of AmplifAI, a cloud-</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0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Board.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based software company leveraging</w:t>
            </w: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Mr. Moffatt also provides the Board with</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tcPr>
          <w:p>
            <w:pPr>
              <w:ind w:left="40"/>
              <w:spacing w:after="0" w:line="139" w:lineRule="exact"/>
              <w:rPr>
                <w:sz w:val="20"/>
                <w:szCs w:val="20"/>
                <w:color w:val="auto"/>
              </w:rPr>
            </w:pPr>
            <w:r>
              <w:rPr>
                <w:rFonts w:ascii="Arial" w:cs="Arial" w:eastAsia="Arial" w:hAnsi="Arial"/>
                <w:sz w:val="16"/>
                <w:szCs w:val="16"/>
                <w:color w:val="auto"/>
              </w:rPr>
              <w:t>artificial intelligence to improve sales</w:t>
            </w:r>
          </w:p>
        </w:tc>
        <w:tc>
          <w:tcPr>
            <w:tcW w:w="520" w:type="dxa"/>
            <w:vAlign w:val="bottom"/>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-3926840</wp:posOffset>
            </wp:positionV>
            <wp:extent cx="10668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15"/>
        </w:trPr>
        <w:tc>
          <w:tcPr>
            <w:tcW w:w="2220" w:type="dxa"/>
            <w:vAlign w:val="bottom"/>
            <w:vMerge w:val="restart"/>
          </w:tcPr>
          <w:p>
            <w:pPr>
              <w:spacing w:after="0"/>
              <w:rPr>
                <w:sz w:val="20"/>
                <w:szCs w:val="20"/>
                <w:color w:val="auto"/>
              </w:rPr>
            </w:pPr>
            <w:r>
              <w:rPr>
                <w:rFonts w:ascii="Arial" w:cs="Arial" w:eastAsia="Arial" w:hAnsi="Arial"/>
                <w:sz w:val="16"/>
                <w:szCs w:val="16"/>
                <w:color w:val="auto"/>
              </w:rPr>
              <w:t>and service</w:t>
            </w:r>
          </w:p>
        </w:tc>
        <w:tc>
          <w:tcPr>
            <w:tcW w:w="3100" w:type="dxa"/>
            <w:vAlign w:val="bottom"/>
          </w:tcPr>
          <w:p>
            <w:pPr>
              <w:ind w:left="1360"/>
              <w:spacing w:after="0"/>
              <w:rPr>
                <w:sz w:val="20"/>
                <w:szCs w:val="20"/>
                <w:color w:val="auto"/>
              </w:rPr>
            </w:pPr>
            <w:r>
              <w:rPr>
                <w:rFonts w:ascii="Arial" w:cs="Arial" w:eastAsia="Arial" w:hAnsi="Arial"/>
                <w:sz w:val="16"/>
                <w:szCs w:val="16"/>
                <w:color w:val="auto"/>
              </w:rPr>
              <w:t>audit and finance skills.</w:t>
            </w:r>
          </w:p>
        </w:tc>
        <w:tc>
          <w:tcPr>
            <w:tcW w:w="0" w:type="dxa"/>
            <w:vAlign w:val="bottom"/>
          </w:tcPr>
          <w:p>
            <w:pPr>
              <w:spacing w:after="0"/>
              <w:rPr>
                <w:sz w:val="1"/>
                <w:szCs w:val="1"/>
                <w:color w:val="auto"/>
              </w:rPr>
            </w:pPr>
          </w:p>
        </w:tc>
      </w:tr>
      <w:tr>
        <w:trPr>
          <w:trHeight w:val="79"/>
        </w:trPr>
        <w:tc>
          <w:tcPr>
            <w:tcW w:w="222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20" w:right="3900" w:hanging="152"/>
        <w:spacing w:after="0" w:line="301" w:lineRule="auto"/>
        <w:tabs>
          <w:tab w:leader="none" w:pos="420" w:val="left"/>
        </w:tabs>
        <w:numPr>
          <w:ilvl w:val="0"/>
          <w:numId w:val="45"/>
        </w:numPr>
        <w:rPr>
          <w:rFonts w:ascii="Arial" w:cs="Arial" w:eastAsia="Arial" w:hAnsi="Arial"/>
          <w:sz w:val="16"/>
          <w:szCs w:val="16"/>
          <w:color w:val="BF5B5A"/>
        </w:rPr>
      </w:pPr>
      <w:r>
        <w:rPr>
          <w:rFonts w:ascii="Arial" w:cs="Arial" w:eastAsia="Arial" w:hAnsi="Arial"/>
          <w:sz w:val="16"/>
          <w:szCs w:val="16"/>
          <w:color w:val="auto"/>
        </w:rPr>
        <w:t>Current director of Henry Schein One, LLC, a software and services company for the dental industry</w:t>
      </w:r>
    </w:p>
    <w:p>
      <w:pPr>
        <w:spacing w:after="0" w:line="50" w:lineRule="exact"/>
        <w:rPr>
          <w:rFonts w:ascii="Arial" w:cs="Arial" w:eastAsia="Arial" w:hAnsi="Arial"/>
          <w:sz w:val="16"/>
          <w:szCs w:val="16"/>
          <w:color w:val="BF5B5A"/>
        </w:rPr>
      </w:pPr>
    </w:p>
    <w:p>
      <w:pPr>
        <w:ind w:left="420" w:right="3920" w:hanging="152"/>
        <w:spacing w:after="0" w:line="295" w:lineRule="auto"/>
        <w:tabs>
          <w:tab w:leader="none" w:pos="420" w:val="left"/>
        </w:tabs>
        <w:numPr>
          <w:ilvl w:val="0"/>
          <w:numId w:val="45"/>
        </w:numPr>
        <w:rPr>
          <w:rFonts w:ascii="Arial" w:cs="Arial" w:eastAsia="Arial" w:hAnsi="Arial"/>
          <w:sz w:val="16"/>
          <w:szCs w:val="16"/>
          <w:color w:val="BF5B5A"/>
        </w:rPr>
      </w:pPr>
      <w:r>
        <w:rPr>
          <w:rFonts w:ascii="Arial" w:cs="Arial" w:eastAsia="Arial" w:hAnsi="Arial"/>
          <w:sz w:val="16"/>
          <w:szCs w:val="16"/>
          <w:color w:val="auto"/>
        </w:rPr>
        <w:t>Current director of Ness Digital Engineering, a digital engineering firm offering digital advisory through scaled engineering services</w:t>
      </w:r>
    </w:p>
    <w:p>
      <w:pPr>
        <w:spacing w:after="0" w:line="40" w:lineRule="exact"/>
        <w:rPr>
          <w:rFonts w:ascii="Arial" w:cs="Arial" w:eastAsia="Arial" w:hAnsi="Arial"/>
          <w:sz w:val="16"/>
          <w:szCs w:val="16"/>
          <w:color w:val="BF5B5A"/>
        </w:rPr>
      </w:pPr>
    </w:p>
    <w:p>
      <w:pPr>
        <w:ind w:left="420" w:right="3780" w:hanging="152"/>
        <w:spacing w:after="0" w:line="295" w:lineRule="auto"/>
        <w:tabs>
          <w:tab w:leader="none" w:pos="420" w:val="left"/>
        </w:tabs>
        <w:numPr>
          <w:ilvl w:val="0"/>
          <w:numId w:val="45"/>
        </w:numPr>
        <w:rPr>
          <w:rFonts w:ascii="Arial" w:cs="Arial" w:eastAsia="Arial" w:hAnsi="Arial"/>
          <w:sz w:val="16"/>
          <w:szCs w:val="16"/>
          <w:color w:val="BF5B5A"/>
        </w:rPr>
      </w:pPr>
      <w:r>
        <w:rPr>
          <w:rFonts w:ascii="Arial" w:cs="Arial" w:eastAsia="Arial" w:hAnsi="Arial"/>
          <w:sz w:val="16"/>
          <w:szCs w:val="16"/>
          <w:color w:val="auto"/>
        </w:rPr>
        <w:t>Advisor to various private equity and venture capital investment firms and an advisor to, or on the advisory board of, a number of their portfolio companies</w:t>
      </w:r>
    </w:p>
    <w:p>
      <w:pPr>
        <w:spacing w:after="0" w:line="53" w:lineRule="exact"/>
        <w:rPr>
          <w:rFonts w:ascii="Arial" w:cs="Arial" w:eastAsia="Arial" w:hAnsi="Arial"/>
          <w:sz w:val="16"/>
          <w:szCs w:val="16"/>
          <w:color w:val="BF5B5A"/>
        </w:rPr>
      </w:pPr>
    </w:p>
    <w:p>
      <w:pPr>
        <w:ind w:left="420" w:right="4020" w:hanging="152"/>
        <w:spacing w:after="0" w:line="288" w:lineRule="auto"/>
        <w:tabs>
          <w:tab w:leader="none" w:pos="420" w:val="left"/>
        </w:tabs>
        <w:numPr>
          <w:ilvl w:val="0"/>
          <w:numId w:val="45"/>
        </w:numPr>
        <w:rPr>
          <w:rFonts w:ascii="Arial" w:cs="Arial" w:eastAsia="Arial" w:hAnsi="Arial"/>
          <w:sz w:val="16"/>
          <w:szCs w:val="16"/>
          <w:color w:val="BF5B5A"/>
        </w:rPr>
      </w:pPr>
      <w:r>
        <w:rPr>
          <w:rFonts w:ascii="Arial" w:cs="Arial" w:eastAsia="Arial" w:hAnsi="Arial"/>
          <w:sz w:val="16"/>
          <w:szCs w:val="16"/>
          <w:color w:val="auto"/>
        </w:rPr>
        <w:t>Director of Digital Transformation Opportunities Corp., a publicly traded blank check company formed for the purpose of effecting a merger, stock exchange, asset purchase or other transaction with one or more businesses, from 2021 to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99060</wp:posOffset>
            </wp:positionV>
            <wp:extent cx="58293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500"/>
            <w:col w:w="722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1156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29300" cy="115697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BF5B5A"/>
        </w:rPr>
        <w:t>COMMITTEES</w:t>
      </w:r>
    </w:p>
    <w:p>
      <w:pPr>
        <w:spacing w:after="0" w:line="165" w:lineRule="exact"/>
        <w:rPr>
          <w:sz w:val="20"/>
          <w:szCs w:val="20"/>
          <w:color w:val="auto"/>
        </w:rPr>
      </w:pPr>
    </w:p>
    <w:p>
      <w:pPr>
        <w:ind w:left="1020" w:hanging="168"/>
        <w:spacing w:after="0"/>
        <w:tabs>
          <w:tab w:leader="none" w:pos="1020" w:val="left"/>
        </w:tabs>
        <w:numPr>
          <w:ilvl w:val="0"/>
          <w:numId w:val="46"/>
        </w:numPr>
        <w:rPr>
          <w:rFonts w:ascii="Arial" w:cs="Arial" w:eastAsia="Arial" w:hAnsi="Arial"/>
          <w:sz w:val="16"/>
          <w:szCs w:val="16"/>
          <w:color w:val="BF5B5A"/>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1242695" cy="8655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426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80" w:type="dxa"/>
            <w:vAlign w:val="bottom"/>
            <w:tcBorders>
              <w:right w:val="single" w:sz="8" w:color="BF5B5A"/>
            </w:tcBorders>
          </w:tcPr>
          <w:p>
            <w:pPr>
              <w:spacing w:after="0"/>
              <w:rPr>
                <w:sz w:val="22"/>
                <w:szCs w:val="22"/>
                <w:color w:val="auto"/>
              </w:rPr>
            </w:pPr>
          </w:p>
        </w:tc>
        <w:tc>
          <w:tcPr>
            <w:tcW w:w="3340" w:type="dxa"/>
            <w:vAlign w:val="bottom"/>
            <w:gridSpan w:val="2"/>
            <w:vMerge w:val="restart"/>
            <w:shd w:val="clear" w:color="auto" w:fill="BF5B5A"/>
          </w:tcPr>
          <w:p>
            <w:pPr>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28"/>
                <w:szCs w:val="28"/>
                <w:b w:val="1"/>
                <w:bCs w:val="1"/>
                <w:color w:val="FFFFFF"/>
              </w:rPr>
              <w:t>Mark M. Mugiishi</w:t>
            </w:r>
          </w:p>
        </w:tc>
        <w:tc>
          <w:tcPr>
            <w:tcW w:w="520" w:type="dxa"/>
            <w:vAlign w:val="bottom"/>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rPr>
              <w:t>​ ​</w:t>
            </w:r>
          </w:p>
        </w:tc>
        <w:tc>
          <w:tcPr>
            <w:tcW w:w="308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9"/>
              </w:rPr>
              <w:t>Age 64</w:t>
            </w:r>
          </w:p>
        </w:tc>
        <w:tc>
          <w:tcPr>
            <w:tcW w:w="180" w:type="dxa"/>
            <w:vAlign w:val="bottom"/>
            <w:vMerge w:val="restart"/>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3"/>
        </w:trPr>
        <w:tc>
          <w:tcPr>
            <w:tcW w:w="80" w:type="dxa"/>
            <w:vAlign w:val="bottom"/>
            <w:tcBorders>
              <w:right w:val="single" w:sz="8" w:color="BF5B5A"/>
            </w:tcBorders>
          </w:tcPr>
          <w:p>
            <w:pPr>
              <w:spacing w:after="0"/>
              <w:rPr>
                <w:sz w:val="19"/>
                <w:szCs w:val="19"/>
                <w:color w:val="auto"/>
              </w:rPr>
            </w:pPr>
          </w:p>
        </w:tc>
        <w:tc>
          <w:tcPr>
            <w:tcW w:w="3340" w:type="dxa"/>
            <w:vAlign w:val="bottom"/>
            <w:gridSpan w:val="2"/>
            <w:vMerge w:val="continue"/>
            <w:shd w:val="clear" w:color="auto" w:fill="BF5B5A"/>
          </w:tcPr>
          <w:p>
            <w:pPr>
              <w:spacing w:after="0"/>
              <w:rPr>
                <w:sz w:val="19"/>
                <w:szCs w:val="19"/>
                <w:color w:val="auto"/>
              </w:rPr>
            </w:pPr>
          </w:p>
        </w:tc>
        <w:tc>
          <w:tcPr>
            <w:tcW w:w="520" w:type="dxa"/>
            <w:vAlign w:val="bottom"/>
            <w:vMerge w:val="continue"/>
            <w:shd w:val="clear" w:color="auto" w:fill="BF5B5A"/>
          </w:tcPr>
          <w:p>
            <w:pPr>
              <w:spacing w:after="0"/>
              <w:rPr>
                <w:sz w:val="19"/>
                <w:szCs w:val="19"/>
                <w:color w:val="auto"/>
              </w:rPr>
            </w:pPr>
          </w:p>
        </w:tc>
        <w:tc>
          <w:tcPr>
            <w:tcW w:w="3080" w:type="dxa"/>
            <w:vAlign w:val="bottom"/>
            <w:shd w:val="clear" w:color="auto" w:fill="BF5B5A"/>
          </w:tcPr>
          <w:p>
            <w:pPr>
              <w:ind w:left="720"/>
              <w:spacing w:after="0"/>
              <w:rPr>
                <w:sz w:val="20"/>
                <w:szCs w:val="20"/>
                <w:color w:val="auto"/>
              </w:rPr>
            </w:pPr>
            <w:r>
              <w:rPr>
                <w:rFonts w:ascii="Arial" w:cs="Arial" w:eastAsia="Arial" w:hAnsi="Arial"/>
                <w:sz w:val="16"/>
                <w:szCs w:val="16"/>
                <w:b w:val="1"/>
                <w:bCs w:val="1"/>
                <w:color w:val="FFFFFF"/>
                <w:w w:val="93"/>
              </w:rPr>
              <w:t> Independent Director since 2022</w:t>
            </w:r>
          </w:p>
        </w:tc>
        <w:tc>
          <w:tcPr>
            <w:tcW w:w="180" w:type="dxa"/>
            <w:vAlign w:val="bottom"/>
            <w:vMerge w:val="continue"/>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right w:val="single" w:sz="8" w:color="BF5B5A"/>
            </w:tcBorders>
          </w:tcPr>
          <w:p>
            <w:pPr>
              <w:spacing w:after="0"/>
              <w:rPr>
                <w:sz w:val="11"/>
                <w:szCs w:val="11"/>
                <w:color w:val="auto"/>
              </w:rPr>
            </w:pPr>
          </w:p>
        </w:tc>
        <w:tc>
          <w:tcPr>
            <w:tcW w:w="3340" w:type="dxa"/>
            <w:vAlign w:val="bottom"/>
            <w:gridSpan w:val="2"/>
            <w:shd w:val="clear" w:color="auto" w:fill="BF5B5A"/>
          </w:tcPr>
          <w:p>
            <w:pPr>
              <w:spacing w:after="0"/>
              <w:rPr>
                <w:sz w:val="11"/>
                <w:szCs w:val="11"/>
                <w:color w:val="auto"/>
              </w:rPr>
            </w:pPr>
          </w:p>
        </w:tc>
        <w:tc>
          <w:tcPr>
            <w:tcW w:w="3600" w:type="dxa"/>
            <w:vAlign w:val="bottom"/>
            <w:gridSpan w:val="2"/>
            <w:shd w:val="clear" w:color="auto" w:fill="BF5B5A"/>
          </w:tcPr>
          <w:p>
            <w:pPr>
              <w:spacing w:after="0"/>
              <w:rPr>
                <w:sz w:val="11"/>
                <w:szCs w:val="11"/>
                <w:color w:val="auto"/>
              </w:rPr>
            </w:pPr>
          </w:p>
        </w:tc>
        <w:tc>
          <w:tcPr>
            <w:tcW w:w="180" w:type="dxa"/>
            <w:vAlign w:val="bottom"/>
            <w:shd w:val="clear" w:color="auto" w:fill="BF5B5A"/>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3340" w:type="dxa"/>
            <w:vAlign w:val="bottom"/>
            <w:gridSpan w:val="2"/>
          </w:tcPr>
          <w:p>
            <w:pPr>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M.D. degree, Northwestern University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(2022</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Feinberg School of Medicine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Bachelor of Science, degree in</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Medicine, Northwestern University</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2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3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Honors program</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(2022</w:t>
            </w:r>
          </w:p>
        </w:tc>
        <w:tc>
          <w:tcPr>
            <w:tcW w:w="5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36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QUALIFICATIONS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to present)</w:t>
            </w:r>
          </w:p>
        </w:tc>
        <w:tc>
          <w:tcPr>
            <w:tcW w:w="3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Dr. Mugiishi’s experience as the</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4"/>
              </w:rPr>
              <w:t>HAWAII MEDICAL SERVICE ASSOCIATION</w:t>
            </w:r>
            <w:r>
              <w:rPr>
                <w:rFonts w:ascii="Arial" w:cs="Arial" w:eastAsia="Arial" w:hAnsi="Arial"/>
                <w:sz w:val="16"/>
                <w:szCs w:val="16"/>
                <w:color w:val="auto"/>
                <w:w w:val="94"/>
              </w:rPr>
              <w:t>, a</w:t>
            </w:r>
          </w:p>
        </w:tc>
        <w:tc>
          <w:tcPr>
            <w:tcW w:w="52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president and chief executive officer of a</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Hawaii medical insurer and independent</w:t>
            </w:r>
          </w:p>
        </w:tc>
        <w:tc>
          <w:tcPr>
            <w:tcW w:w="5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major, local healthcare insurance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licensee of the Blue Cross and Blue Shield</w:t>
            </w:r>
          </w:p>
        </w:tc>
        <w:tc>
          <w:tcPr>
            <w:tcW w:w="5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company provides him with extensive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Association</w:t>
            </w:r>
          </w:p>
        </w:tc>
        <w:tc>
          <w:tcPr>
            <w:tcW w:w="5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experience in an important local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President and Chief Executive Officer</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business and in a regulated industry,</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(2020-present)</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provides him with a wealth of experience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Interim President and Chief Executive</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in management, business, and finance.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060" w:type="dxa"/>
            <w:vAlign w:val="bottom"/>
            <w:vMerge w:val="continue"/>
          </w:tcPr>
          <w:p>
            <w:pPr>
              <w:spacing w:after="0"/>
              <w:rPr>
                <w:sz w:val="4"/>
                <w:szCs w:val="4"/>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Dr. Mugiishi’s role as president and chief</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Officer (2019-2020)</w:t>
            </w:r>
          </w:p>
        </w:tc>
        <w:tc>
          <w:tcPr>
            <w:tcW w:w="520" w:type="dxa"/>
            <w:vAlign w:val="bottom"/>
            <w:vMerge w:val="continue"/>
          </w:tcPr>
          <w:p>
            <w:pPr>
              <w:spacing w:after="0"/>
              <w:rPr>
                <w:sz w:val="17"/>
                <w:szCs w:val="17"/>
                <w:color w:val="auto"/>
              </w:rPr>
            </w:pPr>
          </w:p>
        </w:tc>
        <w:tc>
          <w:tcPr>
            <w:tcW w:w="3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Executive Vice President and Chief</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executive officer Blue Cross Blue Shield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30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Association’s Hawaii health insurance</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Health Officer (2017-2019)</w:t>
            </w:r>
          </w:p>
        </w:tc>
        <w:tc>
          <w:tcPr>
            <w:tcW w:w="52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independent licensee gives him</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Executive Vice President, Chief Medical</w:t>
            </w:r>
          </w:p>
        </w:tc>
        <w:tc>
          <w:tcPr>
            <w:tcW w:w="52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exposure to national issues that give him</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Officer and Chief Health Officer (2015-</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a broad perspective that he can bring to</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2017)</w:t>
            </w:r>
          </w:p>
        </w:tc>
        <w:tc>
          <w:tcPr>
            <w:tcW w:w="5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60" w:type="dxa"/>
            <w:vAlign w:val="bottom"/>
            <w:gridSpan w:val="2"/>
            <w:vMerge w:val="restart"/>
          </w:tcPr>
          <w:p>
            <w:pPr>
              <w:spacing w:after="0" w:line="164" w:lineRule="exact"/>
              <w:rPr>
                <w:sz w:val="20"/>
                <w:szCs w:val="20"/>
                <w:color w:val="auto"/>
              </w:rPr>
            </w:pPr>
            <w:r>
              <w:rPr>
                <w:rFonts w:ascii="Arial" w:cs="Arial" w:eastAsia="Arial" w:hAnsi="Arial"/>
                <w:sz w:val="16"/>
                <w:szCs w:val="16"/>
                <w:b w:val="1"/>
                <w:bCs w:val="1"/>
                <w:color w:val="FFFFFF"/>
              </w:rPr>
              <w:t>​</w:t>
            </w: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80" w:type="dxa"/>
            <w:vAlign w:val="bottom"/>
            <w:vMerge w:val="restart"/>
          </w:tcPr>
          <w:p>
            <w:pPr>
              <w:ind w:left="40"/>
              <w:spacing w:after="0" w:line="164" w:lineRule="exact"/>
              <w:rPr>
                <w:sz w:val="20"/>
                <w:szCs w:val="20"/>
                <w:color w:val="auto"/>
              </w:rPr>
            </w:pPr>
            <w:r>
              <w:rPr>
                <w:rFonts w:ascii="Arial" w:cs="Arial" w:eastAsia="Arial" w:hAnsi="Arial"/>
                <w:sz w:val="16"/>
                <w:szCs w:val="16"/>
                <w:color w:val="auto"/>
              </w:rPr>
              <w:t>his role with First Hawaiian.</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360" w:type="dxa"/>
            <w:vAlign w:val="bottom"/>
            <w:gridSpan w:val="2"/>
            <w:vMerge w:val="continue"/>
          </w:tcPr>
          <w:p>
            <w:pPr>
              <w:spacing w:after="0"/>
              <w:rPr>
                <w:sz w:val="6"/>
                <w:szCs w:val="6"/>
                <w:color w:val="auto"/>
              </w:rPr>
            </w:pPr>
          </w:p>
        </w:tc>
        <w:tc>
          <w:tcPr>
            <w:tcW w:w="30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ENDOSCOPY INSTITUTE OF HAWAII</w:t>
            </w: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As a lifelong Hawaii resident and</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Co-Founder</w:t>
            </w:r>
          </w:p>
        </w:tc>
        <w:tc>
          <w:tcPr>
            <w:tcW w:w="520" w:type="dxa"/>
            <w:vAlign w:val="bottom"/>
            <w:vMerge w:val="continue"/>
          </w:tcPr>
          <w:p>
            <w:pPr>
              <w:spacing w:after="0"/>
              <w:rPr>
                <w:sz w:val="7"/>
                <w:szCs w:val="7"/>
                <w:color w:val="auto"/>
              </w:rPr>
            </w:pPr>
          </w:p>
        </w:tc>
        <w:tc>
          <w:tcPr>
            <w:tcW w:w="3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prominent Hawaii healthcare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EYE SURGERY CENTER OF HAWAII</w:t>
            </w:r>
          </w:p>
        </w:tc>
        <w:tc>
          <w:tcPr>
            <w:tcW w:w="52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practitioner, Dr. Mugiishi has developed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Co-Founder</w:t>
            </w:r>
          </w:p>
        </w:tc>
        <w:tc>
          <w:tcPr>
            <w:tcW w:w="52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extensive local contacts and knowledge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3340" w:type="dxa"/>
            <w:vAlign w:val="bottom"/>
            <w:gridSpan w:val="2"/>
          </w:tcPr>
          <w:p>
            <w:pPr>
              <w:spacing w:after="0"/>
              <w:rPr>
                <w:sz w:val="20"/>
                <w:szCs w:val="20"/>
                <w:color w:val="auto"/>
              </w:rPr>
            </w:pPr>
            <w:r>
              <w:rPr>
                <w:rFonts w:ascii="Arial" w:cs="Arial" w:eastAsia="Arial" w:hAnsi="Arial"/>
                <w:sz w:val="16"/>
                <w:szCs w:val="16"/>
                <w:b w:val="1"/>
                <w:bCs w:val="1"/>
                <w:color w:val="BF5B5A"/>
              </w:rPr>
              <w:t>OTHER ENGAGEMENTS</w:t>
            </w:r>
          </w:p>
        </w:tc>
        <w:tc>
          <w:tcPr>
            <w:tcW w:w="520" w:type="dxa"/>
            <w:vAlign w:val="bottom"/>
          </w:tcPr>
          <w:p>
            <w:pPr>
              <w:spacing w:after="0"/>
              <w:rPr>
                <w:sz w:val="23"/>
                <w:szCs w:val="23"/>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of our core market area.</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00" w:right="4100" w:hanging="152"/>
        <w:spacing w:after="0" w:line="321"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Medical Director, Hawaii Technology Accelerators</w:t>
      </w:r>
    </w:p>
    <w:p>
      <w:pPr>
        <w:spacing w:after="0" w:line="7" w:lineRule="exact"/>
        <w:rPr>
          <w:rFonts w:ascii="Arial" w:cs="Arial" w:eastAsia="Arial" w:hAnsi="Arial"/>
          <w:sz w:val="16"/>
          <w:szCs w:val="16"/>
          <w:color w:val="BF5B5A"/>
        </w:rPr>
      </w:pPr>
    </w:p>
    <w:p>
      <w:pPr>
        <w:ind w:left="400" w:hanging="152"/>
        <w:spacing w:after="0"/>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General Surgeon for over 30 years</w:t>
      </w:r>
    </w:p>
    <w:p>
      <w:pPr>
        <w:spacing w:after="0" w:line="45" w:lineRule="exact"/>
        <w:rPr>
          <w:rFonts w:ascii="Arial" w:cs="Arial" w:eastAsia="Arial" w:hAnsi="Arial"/>
          <w:sz w:val="16"/>
          <w:szCs w:val="16"/>
          <w:color w:val="BF5B5A"/>
        </w:rPr>
      </w:pPr>
    </w:p>
    <w:p>
      <w:pPr>
        <w:ind w:left="400" w:right="3840" w:hanging="152"/>
        <w:spacing w:after="0" w:line="301"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Associate Chair, Department of Surgery and Director of Surgical Education, University of Hawaii Medical School</w:t>
      </w:r>
    </w:p>
    <w:p>
      <w:pPr>
        <w:spacing w:after="0" w:line="9" w:lineRule="exact"/>
        <w:rPr>
          <w:rFonts w:ascii="Arial" w:cs="Arial" w:eastAsia="Arial" w:hAnsi="Arial"/>
          <w:sz w:val="16"/>
          <w:szCs w:val="16"/>
          <w:color w:val="BF5B5A"/>
        </w:rPr>
      </w:pPr>
    </w:p>
    <w:p>
      <w:pPr>
        <w:ind w:left="400" w:hanging="152"/>
        <w:spacing w:after="0"/>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Iolani School, Board Chair</w:t>
      </w:r>
    </w:p>
    <w:p>
      <w:pPr>
        <w:spacing w:after="0" w:line="45" w:lineRule="exact"/>
        <w:rPr>
          <w:rFonts w:ascii="Arial" w:cs="Arial" w:eastAsia="Arial" w:hAnsi="Arial"/>
          <w:sz w:val="16"/>
          <w:szCs w:val="16"/>
          <w:color w:val="BF5B5A"/>
        </w:rPr>
      </w:pPr>
    </w:p>
    <w:p>
      <w:pPr>
        <w:ind w:left="400" w:right="4220" w:hanging="152"/>
        <w:spacing w:after="0" w:line="308"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BlueCross BlueShield Association, Board member</w:t>
      </w:r>
    </w:p>
    <w:p>
      <w:pPr>
        <w:ind w:left="400" w:right="3920" w:hanging="152"/>
        <w:spacing w:after="0" w:line="316"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Ignite Coalition, BlueCross BlueShield, Board Chair</w:t>
      </w:r>
    </w:p>
    <w:p>
      <w:pPr>
        <w:spacing w:after="0" w:line="1" w:lineRule="exact"/>
        <w:rPr>
          <w:rFonts w:ascii="Arial" w:cs="Arial" w:eastAsia="Arial" w:hAnsi="Arial"/>
          <w:sz w:val="16"/>
          <w:szCs w:val="16"/>
          <w:color w:val="BF5B5A"/>
        </w:rPr>
      </w:pPr>
    </w:p>
    <w:p>
      <w:pPr>
        <w:ind w:left="400" w:hanging="152"/>
        <w:spacing w:after="0"/>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Blood Bank of Hawaii, Board member</w:t>
      </w:r>
    </w:p>
    <w:p>
      <w:pPr>
        <w:spacing w:after="0" w:line="45" w:lineRule="exact"/>
        <w:rPr>
          <w:rFonts w:ascii="Arial" w:cs="Arial" w:eastAsia="Arial" w:hAnsi="Arial"/>
          <w:sz w:val="16"/>
          <w:szCs w:val="16"/>
          <w:color w:val="BF5B5A"/>
        </w:rPr>
      </w:pPr>
    </w:p>
    <w:p>
      <w:pPr>
        <w:ind w:left="400" w:right="4260" w:hanging="152"/>
        <w:spacing w:after="0" w:line="308"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Hawaii Cancer Consortium, Board member</w:t>
      </w:r>
    </w:p>
    <w:p>
      <w:pPr>
        <w:ind w:left="400" w:right="4120" w:hanging="152"/>
        <w:spacing w:after="0" w:line="316" w:lineRule="auto"/>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Hawaii Business Roundtable, Board member</w:t>
      </w:r>
    </w:p>
    <w:p>
      <w:pPr>
        <w:spacing w:after="0" w:line="1" w:lineRule="exact"/>
        <w:rPr>
          <w:rFonts w:ascii="Arial" w:cs="Arial" w:eastAsia="Arial" w:hAnsi="Arial"/>
          <w:sz w:val="16"/>
          <w:szCs w:val="16"/>
          <w:color w:val="BF5B5A"/>
        </w:rPr>
      </w:pPr>
    </w:p>
    <w:p>
      <w:pPr>
        <w:ind w:left="400" w:hanging="152"/>
        <w:spacing w:after="0"/>
        <w:tabs>
          <w:tab w:leader="none" w:pos="400" w:val="left"/>
        </w:tabs>
        <w:numPr>
          <w:ilvl w:val="0"/>
          <w:numId w:val="47"/>
        </w:numPr>
        <w:rPr>
          <w:rFonts w:ascii="Arial" w:cs="Arial" w:eastAsia="Arial" w:hAnsi="Arial"/>
          <w:sz w:val="16"/>
          <w:szCs w:val="16"/>
          <w:color w:val="BF5B5A"/>
        </w:rPr>
      </w:pPr>
      <w:r>
        <w:rPr>
          <w:rFonts w:ascii="Arial" w:cs="Arial" w:eastAsia="Arial" w:hAnsi="Arial"/>
          <w:sz w:val="16"/>
          <w:szCs w:val="16"/>
          <w:color w:val="auto"/>
        </w:rPr>
        <w:t>HMSA Foundation,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123825</wp:posOffset>
            </wp:positionV>
            <wp:extent cx="58293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720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21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-1307465</wp:posOffset>
            </wp:positionV>
            <wp:extent cx="1234440" cy="1071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r>
    </w:p>
    <w:p>
      <w:pPr>
        <w:spacing w:after="0" w:line="134" w:lineRule="exact"/>
        <w:rPr>
          <w:sz w:val="20"/>
          <w:szCs w:val="20"/>
          <w:color w:val="auto"/>
        </w:rPr>
      </w:pPr>
    </w:p>
    <w:p>
      <w:pPr>
        <w:ind w:left="1020" w:hanging="168"/>
        <w:spacing w:after="0"/>
        <w:tabs>
          <w:tab w:leader="none" w:pos="1020" w:val="left"/>
        </w:tabs>
        <w:numPr>
          <w:ilvl w:val="0"/>
          <w:numId w:val="48"/>
        </w:numPr>
        <w:rPr>
          <w:rFonts w:ascii="Arial" w:cs="Arial" w:eastAsia="Arial" w:hAnsi="Arial"/>
          <w:sz w:val="16"/>
          <w:szCs w:val="16"/>
          <w:color w:val="BF5B5A"/>
        </w:rPr>
      </w:pPr>
      <w:r>
        <w:rPr>
          <w:rFonts w:ascii="Arial" w:cs="Arial" w:eastAsia="Arial" w:hAnsi="Arial"/>
          <w:sz w:val="16"/>
          <w:szCs w:val="16"/>
          <w:color w:val="auto"/>
        </w:rPr>
        <w:t>Risk</w:t>
      </w:r>
    </w:p>
    <w:p>
      <w:pPr>
        <w:spacing w:after="0" w:line="72" w:lineRule="exact"/>
        <w:rPr>
          <w:rFonts w:ascii="Arial" w:cs="Arial" w:eastAsia="Arial" w:hAnsi="Arial"/>
          <w:sz w:val="16"/>
          <w:szCs w:val="16"/>
          <w:color w:val="BF5B5A"/>
        </w:rPr>
      </w:pPr>
    </w:p>
    <w:p>
      <w:pPr>
        <w:ind w:left="1020" w:hanging="168"/>
        <w:spacing w:after="0"/>
        <w:tabs>
          <w:tab w:leader="none" w:pos="1020" w:val="left"/>
        </w:tabs>
        <w:numPr>
          <w:ilvl w:val="0"/>
          <w:numId w:val="48"/>
        </w:numPr>
        <w:rPr>
          <w:rFonts w:ascii="Arial" w:cs="Arial" w:eastAsia="Arial" w:hAnsi="Arial"/>
          <w:sz w:val="16"/>
          <w:szCs w:val="16"/>
          <w:color w:val="BF5B5A"/>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1242695" cy="865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4269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60" w:type="dxa"/>
            <w:vAlign w:val="bottom"/>
            <w:shd w:val="clear" w:color="auto" w:fill="BF5B5A"/>
          </w:tcPr>
          <w:p>
            <w:pPr>
              <w:spacing w:after="0"/>
              <w:rPr>
                <w:sz w:val="19"/>
                <w:szCs w:val="19"/>
                <w:color w:val="auto"/>
              </w:rPr>
            </w:pPr>
          </w:p>
        </w:tc>
        <w:tc>
          <w:tcPr>
            <w:tcW w:w="3360" w:type="dxa"/>
            <w:vAlign w:val="bottom"/>
            <w:gridSpan w:val="2"/>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Kelly A. Thompson</w:t>
            </w:r>
          </w:p>
        </w:tc>
        <w:tc>
          <w:tcPr>
            <w:tcW w:w="500" w:type="dxa"/>
            <w:vAlign w:val="bottom"/>
            <w:shd w:val="clear" w:color="auto" w:fill="BF5B5A"/>
          </w:tcPr>
          <w:p>
            <w:pPr>
              <w:spacing w:after="0"/>
              <w:rPr>
                <w:sz w:val="19"/>
                <w:szCs w:val="19"/>
                <w:color w:val="auto"/>
              </w:rPr>
            </w:pPr>
          </w:p>
        </w:tc>
        <w:tc>
          <w:tcPr>
            <w:tcW w:w="306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5"/>
              </w:rPr>
              <w:t>Age 54</w:t>
            </w:r>
          </w:p>
        </w:tc>
        <w:tc>
          <w:tcPr>
            <w:tcW w:w="200" w:type="dxa"/>
            <w:vAlign w:val="bottom"/>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60" w:type="dxa"/>
            <w:vAlign w:val="bottom"/>
            <w:gridSpan w:val="2"/>
            <w:vMerge w:val="continue"/>
            <w:shd w:val="clear" w:color="auto" w:fill="BF5B5A"/>
          </w:tcPr>
          <w:p>
            <w:pPr>
              <w:spacing w:after="0"/>
              <w:rPr>
                <w:sz w:val="24"/>
                <w:szCs w:val="24"/>
                <w:color w:val="auto"/>
              </w:rPr>
            </w:pPr>
          </w:p>
        </w:tc>
        <w:tc>
          <w:tcPr>
            <w:tcW w:w="500" w:type="dxa"/>
            <w:vAlign w:val="bottom"/>
            <w:shd w:val="clear" w:color="auto" w:fill="BF5B5A"/>
          </w:tcPr>
          <w:p>
            <w:pPr>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83" w:lineRule="exact"/>
              <w:rPr>
                <w:sz w:val="20"/>
                <w:szCs w:val="20"/>
                <w:color w:val="auto"/>
              </w:rPr>
            </w:pPr>
            <w:r>
              <w:rPr>
                <w:rFonts w:ascii="Arial" w:cs="Arial" w:eastAsia="Arial" w:hAnsi="Arial"/>
                <w:sz w:val="16"/>
                <w:szCs w:val="16"/>
                <w:b w:val="1"/>
                <w:bCs w:val="1"/>
                <w:color w:val="FFFFFF"/>
              </w:rPr>
              <w:t> Independent Director since 2021</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60" w:type="dxa"/>
            <w:vAlign w:val="bottom"/>
            <w:gridSpan w:val="2"/>
            <w:shd w:val="clear" w:color="auto" w:fill="BF5B5A"/>
          </w:tcPr>
          <w:p>
            <w:pPr>
              <w:spacing w:after="0"/>
              <w:rPr>
                <w:sz w:val="8"/>
                <w:szCs w:val="8"/>
                <w:color w:val="auto"/>
              </w:rPr>
            </w:pPr>
          </w:p>
        </w:tc>
        <w:tc>
          <w:tcPr>
            <w:tcW w:w="3560" w:type="dxa"/>
            <w:vAlign w:val="bottom"/>
            <w:gridSpan w:val="2"/>
            <w:shd w:val="clear" w:color="auto" w:fill="BF5B5A"/>
          </w:tcPr>
          <w:p>
            <w:pPr>
              <w:spacing w:after="0"/>
              <w:rPr>
                <w:sz w:val="8"/>
                <w:szCs w:val="8"/>
                <w:color w:val="auto"/>
              </w:rPr>
            </w:pPr>
          </w:p>
        </w:tc>
        <w:tc>
          <w:tcPr>
            <w:tcW w:w="20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20" w:type="dxa"/>
            <w:vAlign w:val="bottom"/>
            <w:gridSpan w:val="3"/>
          </w:tcPr>
          <w:p>
            <w:pPr>
              <w:ind w:left="20"/>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560" w:type="dxa"/>
            <w:vAlign w:val="bottom"/>
            <w:gridSpan w:val="2"/>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Bachelor of Science degree in Biology,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(2021</w:t>
            </w:r>
          </w:p>
        </w:tc>
        <w:tc>
          <w:tcPr>
            <w:tcW w:w="50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University of California, San Diego</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ind w:left="40"/>
              <w:spacing w:after="0"/>
              <w:rPr>
                <w:sz w:val="20"/>
                <w:szCs w:val="20"/>
                <w:color w:val="auto"/>
              </w:rPr>
            </w:pPr>
            <w:r>
              <w:rPr>
                <w:rFonts w:ascii="Arial" w:cs="Arial" w:eastAsia="Arial" w:hAnsi="Arial"/>
                <w:sz w:val="16"/>
                <w:szCs w:val="16"/>
                <w:color w:val="auto"/>
              </w:rPr>
              <w:t>to present)</w:t>
            </w:r>
          </w:p>
        </w:tc>
        <w:tc>
          <w:tcPr>
            <w:tcW w:w="500" w:type="dxa"/>
            <w:vAlign w:val="bottom"/>
          </w:tcPr>
          <w:p>
            <w:pPr>
              <w:ind w:left="38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Holder of National Association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0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Corporate Directors CERT Certificate in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Cybersecurity Oversight, Carnegie</w:t>
            </w: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(2021</w:t>
            </w:r>
          </w:p>
        </w:tc>
        <w:tc>
          <w:tcPr>
            <w:tcW w:w="50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Mellon University, Software Engineering</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to present)</w:t>
            </w:r>
          </w:p>
        </w:tc>
        <w:tc>
          <w:tcPr>
            <w:tcW w:w="50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Institute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WALMART, INC.</w:t>
            </w:r>
            <w:r>
              <w:rPr>
                <w:rFonts w:ascii="Arial" w:cs="Arial" w:eastAsia="Arial" w:hAnsi="Arial"/>
                <w:sz w:val="16"/>
                <w:szCs w:val="16"/>
                <w:color w:val="auto"/>
              </w:rPr>
              <w:t>, a national retailer</w:t>
            </w:r>
          </w:p>
        </w:tc>
        <w:tc>
          <w:tcPr>
            <w:tcW w:w="50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gridSpan w:val="2"/>
            <w:vMerge w:val="continue"/>
          </w:tcPr>
          <w:p>
            <w:pPr>
              <w:spacing w:after="0"/>
              <w:rPr>
                <w:sz w:val="17"/>
                <w:szCs w:val="17"/>
                <w:color w:val="auto"/>
              </w:rPr>
            </w:pPr>
          </w:p>
        </w:tc>
        <w:tc>
          <w:tcPr>
            <w:tcW w:w="35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BF5B5A"/>
              </w:rPr>
              <w:t>QUALIFICATIONS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Senior Vice President and Chief</w:t>
            </w:r>
          </w:p>
        </w:tc>
        <w:tc>
          <w:tcPr>
            <w:tcW w:w="35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500" w:type="dxa"/>
            <w:vAlign w:val="bottom"/>
            <w:vMerge w:val="restart"/>
          </w:tcPr>
          <w:p>
            <w:pPr>
              <w:ind w:left="38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Ms. Thompson’s experience as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Operating Officer of Samsclub.com, a</w:t>
            </w:r>
          </w:p>
        </w:tc>
        <w:tc>
          <w:tcPr>
            <w:tcW w:w="50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leader of the e-commerce division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Walmart, Inc. subsidiary, and member of</w:t>
            </w:r>
          </w:p>
        </w:tc>
        <w:tc>
          <w:tcPr>
            <w:tcW w:w="5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SamsClub.com provides her with</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Sam’s Club Leadership Committee,</w:t>
            </w:r>
          </w:p>
        </w:tc>
        <w:tc>
          <w:tcPr>
            <w:tcW w:w="5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extensive knowledge and valuable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responsible for e-commerce</w:t>
            </w:r>
          </w:p>
        </w:tc>
        <w:tc>
          <w:tcPr>
            <w:tcW w:w="5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experience with respect to the digital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merchandising, business intelligence,</w:t>
            </w:r>
          </w:p>
        </w:tc>
        <w:tc>
          <w:tcPr>
            <w:tcW w:w="5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customer experience.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marketing, supply chain and business</w:t>
            </w:r>
          </w:p>
        </w:tc>
        <w:tc>
          <w:tcPr>
            <w:tcW w:w="5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500" w:type="dxa"/>
            <w:vAlign w:val="bottom"/>
            <w:vMerge w:val="restart"/>
          </w:tcPr>
          <w:p>
            <w:pPr>
              <w:ind w:left="38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Ms. Thompson also brings to the Board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ind w:left="40"/>
              <w:spacing w:after="0" w:line="177" w:lineRule="exact"/>
              <w:rPr>
                <w:sz w:val="20"/>
                <w:szCs w:val="20"/>
                <w:color w:val="auto"/>
              </w:rPr>
            </w:pPr>
            <w:r>
              <w:rPr>
                <w:rFonts w:ascii="Arial" w:cs="Arial" w:eastAsia="Arial" w:hAnsi="Arial"/>
                <w:sz w:val="16"/>
                <w:szCs w:val="16"/>
                <w:color w:val="auto"/>
              </w:rPr>
              <w:t>operations (2017-2019, upon retirement)</w:t>
            </w:r>
          </w:p>
        </w:tc>
        <w:tc>
          <w:tcPr>
            <w:tcW w:w="500" w:type="dxa"/>
            <w:vAlign w:val="bottom"/>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Senior Vice President, Global Category</w:t>
            </w:r>
          </w:p>
        </w:tc>
        <w:tc>
          <w:tcPr>
            <w:tcW w:w="50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insights into online sales and marketing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through her diverse retail experience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Development, Global eCommerce (2015-</w:t>
            </w:r>
          </w:p>
        </w:tc>
        <w:tc>
          <w:tcPr>
            <w:tcW w:w="50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with SamsClub.com, Walmart, Inc. and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2017)</w:t>
            </w:r>
          </w:p>
        </w:tc>
        <w:tc>
          <w:tcPr>
            <w:tcW w:w="50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Gap, Inc.</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80" w:type="dxa"/>
            <w:vAlign w:val="bottom"/>
          </w:tcPr>
          <w:p>
            <w:pPr>
              <w:ind w:left="40"/>
              <w:spacing w:after="0"/>
              <w:rPr>
                <w:sz w:val="20"/>
                <w:szCs w:val="20"/>
                <w:color w:val="auto"/>
              </w:rPr>
            </w:pPr>
            <w:r>
              <w:rPr>
                <w:rFonts w:ascii="Arial" w:cs="Arial" w:eastAsia="Arial" w:hAnsi="Arial"/>
                <w:sz w:val="16"/>
                <w:szCs w:val="16"/>
                <w:color w:val="auto"/>
              </w:rPr>
              <w:t>Increasing levels of responsibility</w:t>
            </w:r>
          </w:p>
        </w:tc>
        <w:tc>
          <w:tcPr>
            <w:tcW w:w="500" w:type="dxa"/>
            <w:vAlign w:val="bottom"/>
            <w:vMerge w:val="restart"/>
          </w:tcPr>
          <w:p>
            <w:pPr>
              <w:ind w:left="38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As the leader of a complex retail</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80" w:type="dxa"/>
            <w:vAlign w:val="bottom"/>
            <w:vMerge w:val="restart"/>
          </w:tcPr>
          <w:p>
            <w:pPr>
              <w:ind w:left="40"/>
              <w:spacing w:after="0"/>
              <w:rPr>
                <w:sz w:val="20"/>
                <w:szCs w:val="20"/>
                <w:color w:val="auto"/>
              </w:rPr>
            </w:pPr>
            <w:r>
              <w:rPr>
                <w:rFonts w:ascii="Arial" w:cs="Arial" w:eastAsia="Arial" w:hAnsi="Arial"/>
                <w:sz w:val="16"/>
                <w:szCs w:val="16"/>
                <w:color w:val="auto"/>
              </w:rPr>
              <w:t>concluding as Senior Vice President,</w:t>
            </w:r>
          </w:p>
        </w:tc>
        <w:tc>
          <w:tcPr>
            <w:tcW w:w="50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tcPr>
          <w:p>
            <w:pPr>
              <w:ind w:left="40"/>
              <w:spacing w:after="0" w:line="139" w:lineRule="exact"/>
              <w:rPr>
                <w:sz w:val="20"/>
                <w:szCs w:val="20"/>
                <w:color w:val="auto"/>
              </w:rPr>
            </w:pPr>
            <w:r>
              <w:rPr>
                <w:rFonts w:ascii="Arial" w:cs="Arial" w:eastAsia="Arial" w:hAnsi="Arial"/>
                <w:sz w:val="16"/>
                <w:szCs w:val="16"/>
                <w:color w:val="auto"/>
              </w:rPr>
              <w:t>platform, Ms. Thompson provides the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-3489325</wp:posOffset>
            </wp:positionV>
            <wp:extent cx="10668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200"/>
        </w:trPr>
        <w:tc>
          <w:tcPr>
            <w:tcW w:w="3160" w:type="dxa"/>
            <w:vAlign w:val="bottom"/>
          </w:tcPr>
          <w:p>
            <w:pPr>
              <w:spacing w:after="0"/>
              <w:rPr>
                <w:sz w:val="20"/>
                <w:szCs w:val="20"/>
                <w:color w:val="auto"/>
              </w:rPr>
            </w:pPr>
            <w:r>
              <w:rPr>
                <w:rFonts w:ascii="Arial" w:cs="Arial" w:eastAsia="Arial" w:hAnsi="Arial"/>
                <w:sz w:val="16"/>
                <w:szCs w:val="16"/>
                <w:color w:val="auto"/>
              </w:rPr>
              <w:t>Merchandising, Planning and</w:t>
            </w:r>
          </w:p>
        </w:tc>
        <w:tc>
          <w:tcPr>
            <w:tcW w:w="3220" w:type="dxa"/>
            <w:vAlign w:val="bottom"/>
            <w:vMerge w:val="restart"/>
          </w:tcPr>
          <w:p>
            <w:pPr>
              <w:ind w:left="420"/>
              <w:spacing w:after="0"/>
              <w:rPr>
                <w:sz w:val="20"/>
                <w:szCs w:val="20"/>
                <w:color w:val="auto"/>
              </w:rPr>
            </w:pPr>
            <w:r>
              <w:rPr>
                <w:rFonts w:ascii="Arial" w:cs="Arial" w:eastAsia="Arial" w:hAnsi="Arial"/>
                <w:sz w:val="16"/>
                <w:szCs w:val="16"/>
                <w:color w:val="auto"/>
              </w:rPr>
              <w:t>Board with substantial leadership and</w:t>
            </w:r>
          </w:p>
        </w:tc>
        <w:tc>
          <w:tcPr>
            <w:tcW w:w="0" w:type="dxa"/>
            <w:vAlign w:val="bottom"/>
          </w:tcPr>
          <w:p>
            <w:pPr>
              <w:spacing w:after="0"/>
              <w:rPr>
                <w:sz w:val="1"/>
                <w:szCs w:val="1"/>
                <w:color w:val="auto"/>
              </w:rPr>
            </w:pPr>
          </w:p>
        </w:tc>
      </w:tr>
      <w:tr>
        <w:trPr>
          <w:trHeight w:val="93"/>
        </w:trPr>
        <w:tc>
          <w:tcPr>
            <w:tcW w:w="3160" w:type="dxa"/>
            <w:vAlign w:val="bottom"/>
            <w:vMerge w:val="restart"/>
          </w:tcPr>
          <w:p>
            <w:pPr>
              <w:spacing w:after="0"/>
              <w:rPr>
                <w:sz w:val="20"/>
                <w:szCs w:val="20"/>
                <w:color w:val="auto"/>
              </w:rPr>
            </w:pPr>
            <w:r>
              <w:rPr>
                <w:rFonts w:ascii="Arial" w:cs="Arial" w:eastAsia="Arial" w:hAnsi="Arial"/>
                <w:sz w:val="16"/>
                <w:szCs w:val="16"/>
                <w:color w:val="auto"/>
              </w:rPr>
              <w:t>Marketplace for Walmart.com (2007-</w:t>
            </w: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vMerge w:val="continue"/>
          </w:tcPr>
          <w:p>
            <w:pPr>
              <w:spacing w:after="0"/>
              <w:rPr>
                <w:sz w:val="10"/>
                <w:szCs w:val="10"/>
                <w:color w:val="auto"/>
              </w:rPr>
            </w:pPr>
          </w:p>
        </w:tc>
        <w:tc>
          <w:tcPr>
            <w:tcW w:w="3220" w:type="dxa"/>
            <w:vAlign w:val="bottom"/>
            <w:vMerge w:val="restart"/>
          </w:tcPr>
          <w:p>
            <w:pPr>
              <w:ind w:left="420"/>
              <w:spacing w:after="0"/>
              <w:rPr>
                <w:sz w:val="20"/>
                <w:szCs w:val="20"/>
                <w:color w:val="auto"/>
              </w:rPr>
            </w:pPr>
            <w:r>
              <w:rPr>
                <w:rFonts w:ascii="Arial" w:cs="Arial" w:eastAsia="Arial" w:hAnsi="Arial"/>
                <w:sz w:val="16"/>
                <w:szCs w:val="16"/>
                <w:color w:val="auto"/>
              </w:rPr>
              <w:t>management skills.</w:t>
            </w:r>
          </w:p>
        </w:tc>
        <w:tc>
          <w:tcPr>
            <w:tcW w:w="0" w:type="dxa"/>
            <w:vAlign w:val="bottom"/>
          </w:tcPr>
          <w:p>
            <w:pPr>
              <w:spacing w:after="0"/>
              <w:rPr>
                <w:sz w:val="1"/>
                <w:szCs w:val="1"/>
                <w:color w:val="auto"/>
              </w:rPr>
            </w:pPr>
          </w:p>
        </w:tc>
      </w:tr>
      <w:tr>
        <w:trPr>
          <w:trHeight w:val="95"/>
        </w:trPr>
        <w:tc>
          <w:tcPr>
            <w:tcW w:w="3160" w:type="dxa"/>
            <w:vAlign w:val="bottom"/>
            <w:vMerge w:val="restart"/>
          </w:tcPr>
          <w:p>
            <w:pPr>
              <w:spacing w:after="0"/>
              <w:rPr>
                <w:sz w:val="20"/>
                <w:szCs w:val="20"/>
                <w:color w:val="auto"/>
              </w:rPr>
            </w:pPr>
            <w:r>
              <w:rPr>
                <w:rFonts w:ascii="Arial" w:cs="Arial" w:eastAsia="Arial" w:hAnsi="Arial"/>
                <w:sz w:val="16"/>
                <w:szCs w:val="16"/>
                <w:color w:val="auto"/>
              </w:rPr>
              <w:t>2014)</w:t>
            </w: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160" w:type="dxa"/>
            <w:vAlign w:val="bottom"/>
            <w:vMerge w:val="continue"/>
          </w:tcPr>
          <w:p>
            <w:pPr>
              <w:spacing w:after="0"/>
              <w:rPr>
                <w:sz w:val="10"/>
                <w:szCs w:val="10"/>
                <w:color w:val="auto"/>
              </w:rPr>
            </w:pPr>
          </w:p>
        </w:tc>
        <w:tc>
          <w:tcPr>
            <w:tcW w:w="3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ectPr>
          <w:pgSz w:w="11900" w:h="16838" w:orient="portrait"/>
          <w:cols w:equalWidth="0" w:num="2">
            <w:col w:w="2080" w:space="660"/>
            <w:col w:w="7220"/>
          </w:cols>
          <w:pgMar w:left="580" w:top="97" w:right="1359" w:bottom="1440" w:gutter="0" w:footer="0" w:header="0"/>
          <w:type w:val="continuous"/>
        </w:sectPr>
      </w:pPr>
    </w:p>
    <w:p>
      <w:pPr>
        <w:ind w:left="2920"/>
        <w:spacing w:after="0"/>
        <w:rPr>
          <w:sz w:val="20"/>
          <w:szCs w:val="20"/>
          <w:color w:val="auto"/>
        </w:rPr>
      </w:pPr>
      <w:r>
        <w:rPr>
          <w:rFonts w:ascii="Arial" w:cs="Arial" w:eastAsia="Arial" w:hAnsi="Arial"/>
          <w:sz w:val="16"/>
          <w:szCs w:val="16"/>
          <w:b w:val="1"/>
          <w:bCs w:val="1"/>
          <w:color w:val="auto"/>
        </w:rPr>
        <w:t>GAP, INC.</w:t>
      </w:r>
    </w:p>
    <w:p>
      <w:pPr>
        <w:spacing w:after="0" w:line="86" w:lineRule="exact"/>
        <w:rPr>
          <w:sz w:val="20"/>
          <w:szCs w:val="20"/>
          <w:color w:val="auto"/>
        </w:rPr>
      </w:pPr>
    </w:p>
    <w:p>
      <w:pPr>
        <w:ind w:left="3160" w:right="3860" w:hanging="152"/>
        <w:spacing w:after="0" w:line="321" w:lineRule="auto"/>
        <w:tabs>
          <w:tab w:leader="none" w:pos="3160" w:val="left"/>
        </w:tabs>
        <w:numPr>
          <w:ilvl w:val="0"/>
          <w:numId w:val="49"/>
        </w:numPr>
        <w:rPr>
          <w:rFonts w:ascii="Arial" w:cs="Arial" w:eastAsia="Arial" w:hAnsi="Arial"/>
          <w:sz w:val="16"/>
          <w:szCs w:val="16"/>
          <w:color w:val="BF5B5A"/>
        </w:rPr>
      </w:pPr>
      <w:r>
        <w:rPr>
          <w:rFonts w:ascii="Arial" w:cs="Arial" w:eastAsia="Arial" w:hAnsi="Arial"/>
          <w:sz w:val="16"/>
          <w:szCs w:val="16"/>
          <w:color w:val="auto"/>
        </w:rPr>
        <w:t>Various merchandising leadership roles (1997-2007)</w:t>
      </w:r>
    </w:p>
    <w:p>
      <w:pPr>
        <w:spacing w:after="0" w:line="7"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BF5B5A"/>
        </w:rPr>
        <w:t>OTHER ENGAGEMENTS</w:t>
      </w:r>
    </w:p>
    <w:p>
      <w:pPr>
        <w:spacing w:after="0" w:line="100" w:lineRule="exact"/>
        <w:rPr>
          <w:sz w:val="20"/>
          <w:szCs w:val="20"/>
          <w:color w:val="auto"/>
        </w:rPr>
      </w:pPr>
    </w:p>
    <w:p>
      <w:pPr>
        <w:ind w:left="3160" w:right="3760" w:hanging="152"/>
        <w:spacing w:after="0" w:line="295" w:lineRule="auto"/>
        <w:tabs>
          <w:tab w:leader="none" w:pos="3160" w:val="left"/>
        </w:tabs>
        <w:numPr>
          <w:ilvl w:val="0"/>
          <w:numId w:val="50"/>
        </w:numPr>
        <w:rPr>
          <w:rFonts w:ascii="Arial" w:cs="Arial" w:eastAsia="Arial" w:hAnsi="Arial"/>
          <w:sz w:val="16"/>
          <w:szCs w:val="16"/>
          <w:color w:val="BF5B5A"/>
        </w:rPr>
      </w:pPr>
      <w:r>
        <w:rPr>
          <w:rFonts w:ascii="Arial" w:cs="Arial" w:eastAsia="Arial" w:hAnsi="Arial"/>
          <w:sz w:val="16"/>
          <w:szCs w:val="16"/>
          <w:color w:val="auto"/>
        </w:rPr>
        <w:t>Current Director of a.k.a. Brands Holding Corp., a publicly traded direct-to-consumer fashion brands company based in San Francisco, California</w:t>
      </w:r>
    </w:p>
    <w:p>
      <w:pPr>
        <w:spacing w:after="0" w:line="40" w:lineRule="exact"/>
        <w:rPr>
          <w:rFonts w:ascii="Arial" w:cs="Arial" w:eastAsia="Arial" w:hAnsi="Arial"/>
          <w:sz w:val="16"/>
          <w:szCs w:val="16"/>
          <w:color w:val="BF5B5A"/>
        </w:rPr>
      </w:pPr>
    </w:p>
    <w:p>
      <w:pPr>
        <w:ind w:left="3160" w:right="3820" w:hanging="152"/>
        <w:spacing w:after="0" w:line="295" w:lineRule="auto"/>
        <w:tabs>
          <w:tab w:leader="none" w:pos="3160" w:val="left"/>
        </w:tabs>
        <w:numPr>
          <w:ilvl w:val="0"/>
          <w:numId w:val="50"/>
        </w:numPr>
        <w:rPr>
          <w:rFonts w:ascii="Arial" w:cs="Arial" w:eastAsia="Arial" w:hAnsi="Arial"/>
          <w:sz w:val="16"/>
          <w:szCs w:val="16"/>
          <w:color w:val="BF5B5A"/>
        </w:rPr>
      </w:pPr>
      <w:r>
        <w:rPr>
          <w:rFonts w:ascii="Arial" w:cs="Arial" w:eastAsia="Arial" w:hAnsi="Arial"/>
          <w:sz w:val="16"/>
          <w:szCs w:val="16"/>
          <w:color w:val="auto"/>
        </w:rPr>
        <w:t>Director of Turtle Beach Corporation, a publicly traded global gaming accessory company in White Plains, New York, from 2019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94615</wp:posOffset>
            </wp:positionV>
            <wp:extent cx="5829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200" w:lineRule="exact"/>
        <w:rPr>
          <w:sz w:val="20"/>
          <w:szCs w:val="20"/>
          <w:color w:val="auto"/>
        </w:rPr>
      </w:pP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2000" w:type="dxa"/>
            <w:vAlign w:val="bottom"/>
            <w:tcBorders>
              <w:top w:val="single" w:sz="8" w:color="BF5B5A"/>
            </w:tcBorders>
          </w:tcPr>
          <w:p>
            <w:pPr>
              <w:spacing w:after="0"/>
              <w:rPr>
                <w:sz w:val="18"/>
                <w:szCs w:val="18"/>
                <w:color w:val="auto"/>
              </w:rPr>
            </w:pPr>
          </w:p>
        </w:tc>
        <w:tc>
          <w:tcPr>
            <w:tcW w:w="60" w:type="dxa"/>
            <w:vAlign w:val="bottom"/>
            <w:tcBorders>
              <w:top w:val="single" w:sz="8" w:color="BF5B5A"/>
            </w:tcBorders>
            <w:shd w:val="clear" w:color="auto" w:fill="BF5B5A"/>
          </w:tcPr>
          <w:p>
            <w:pPr>
              <w:spacing w:after="0"/>
              <w:rPr>
                <w:sz w:val="18"/>
                <w:szCs w:val="18"/>
                <w:color w:val="auto"/>
              </w:rPr>
            </w:pPr>
          </w:p>
        </w:tc>
        <w:tc>
          <w:tcPr>
            <w:tcW w:w="2840" w:type="dxa"/>
            <w:vAlign w:val="bottom"/>
            <w:tcBorders>
              <w:top w:val="single" w:sz="8" w:color="BF5B5A"/>
            </w:tcBorders>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Allen B. Uyeda</w:t>
            </w:r>
          </w:p>
        </w:tc>
        <w:tc>
          <w:tcPr>
            <w:tcW w:w="720" w:type="dxa"/>
            <w:vAlign w:val="bottom"/>
            <w:tcBorders>
              <w:top w:val="single" w:sz="8" w:color="BF5B5A"/>
            </w:tcBorders>
            <w:shd w:val="clear" w:color="auto" w:fill="BF5B5A"/>
          </w:tcPr>
          <w:p>
            <w:pPr>
              <w:spacing w:after="0"/>
              <w:rPr>
                <w:sz w:val="18"/>
                <w:szCs w:val="18"/>
                <w:color w:val="auto"/>
              </w:rPr>
            </w:pPr>
          </w:p>
        </w:tc>
        <w:tc>
          <w:tcPr>
            <w:tcW w:w="3360" w:type="dxa"/>
            <w:vAlign w:val="bottom"/>
            <w:tcBorders>
              <w:top w:val="single" w:sz="8" w:color="BF5B5A"/>
            </w:tcBorders>
            <w:shd w:val="clear" w:color="auto" w:fill="BF5B5A"/>
          </w:tcPr>
          <w:p>
            <w:pPr>
              <w:ind w:left="2840"/>
              <w:spacing w:after="0"/>
              <w:rPr>
                <w:sz w:val="20"/>
                <w:szCs w:val="20"/>
                <w:color w:val="auto"/>
              </w:rPr>
            </w:pPr>
            <w:r>
              <w:rPr>
                <w:rFonts w:ascii="Arial" w:cs="Arial" w:eastAsia="Arial" w:hAnsi="Arial"/>
                <w:sz w:val="16"/>
                <w:szCs w:val="16"/>
                <w:b w:val="1"/>
                <w:bCs w:val="1"/>
                <w:color w:val="FFFFFF"/>
                <w:w w:val="95"/>
              </w:rPr>
              <w:t>Age 74</w:t>
            </w:r>
          </w:p>
        </w:tc>
        <w:tc>
          <w:tcPr>
            <w:tcW w:w="200" w:type="dxa"/>
            <w:vAlign w:val="bottom"/>
            <w:tcBorders>
              <w:top w:val="single" w:sz="8" w:color="BF5B5A"/>
            </w:tcBorders>
            <w:shd w:val="clear" w:color="auto" w:fill="BF5B5A"/>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2840" w:type="dxa"/>
            <w:vAlign w:val="bottom"/>
            <w:vMerge w:val="continue"/>
            <w:shd w:val="clear" w:color="auto" w:fill="BF5B5A"/>
          </w:tcPr>
          <w:p>
            <w:pPr>
              <w:spacing w:after="0"/>
              <w:rPr>
                <w:sz w:val="24"/>
                <w:szCs w:val="24"/>
                <w:color w:val="auto"/>
              </w:rPr>
            </w:pPr>
          </w:p>
        </w:tc>
        <w:tc>
          <w:tcPr>
            <w:tcW w:w="720" w:type="dxa"/>
            <w:vAlign w:val="bottom"/>
            <w:shd w:val="clear" w:color="auto" w:fill="BF5B5A"/>
          </w:tcPr>
          <w:p>
            <w:pPr>
              <w:ind w:left="520"/>
              <w:spacing w:after="0"/>
              <w:rPr>
                <w:sz w:val="20"/>
                <w:szCs w:val="20"/>
                <w:color w:val="auto"/>
              </w:rPr>
            </w:pPr>
            <w:r>
              <w:rPr>
                <w:rFonts w:ascii="Arial" w:cs="Arial" w:eastAsia="Arial" w:hAnsi="Arial"/>
                <w:sz w:val="16"/>
                <w:szCs w:val="16"/>
                <w:color w:val="auto"/>
              </w:rPr>
              <w:t>​ ​</w:t>
            </w:r>
          </w:p>
        </w:tc>
        <w:tc>
          <w:tcPr>
            <w:tcW w:w="3560" w:type="dxa"/>
            <w:vAlign w:val="bottom"/>
            <w:gridSpan w:val="2"/>
            <w:shd w:val="clear" w:color="auto" w:fill="BF5B5A"/>
          </w:tcPr>
          <w:p>
            <w:pPr>
              <w:jc w:val="right"/>
              <w:ind w:right="59"/>
              <w:spacing w:after="0" w:line="296" w:lineRule="exact"/>
              <w:rPr>
                <w:sz w:val="20"/>
                <w:szCs w:val="20"/>
                <w:color w:val="auto"/>
              </w:rPr>
            </w:pPr>
            <w:r>
              <w:rPr>
                <w:rFonts w:ascii="Arial" w:cs="Arial" w:eastAsia="Arial" w:hAnsi="Arial"/>
                <w:sz w:val="16"/>
                <w:szCs w:val="16"/>
                <w:b w:val="1"/>
                <w:bCs w:val="1"/>
                <w:color w:val="FFFFFF"/>
              </w:rPr>
              <w:t> Independent Director since 2016</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200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2840" w:type="dxa"/>
            <w:vAlign w:val="bottom"/>
            <w:shd w:val="clear" w:color="auto" w:fill="BF5B5A"/>
          </w:tcPr>
          <w:p>
            <w:pPr>
              <w:spacing w:after="0"/>
              <w:rPr>
                <w:sz w:val="8"/>
                <w:szCs w:val="8"/>
                <w:color w:val="auto"/>
              </w:rPr>
            </w:pPr>
          </w:p>
        </w:tc>
        <w:tc>
          <w:tcPr>
            <w:tcW w:w="720" w:type="dxa"/>
            <w:vAlign w:val="bottom"/>
            <w:shd w:val="clear" w:color="auto" w:fill="BF5B5A"/>
          </w:tcPr>
          <w:p>
            <w:pPr>
              <w:spacing w:after="0"/>
              <w:rPr>
                <w:sz w:val="8"/>
                <w:szCs w:val="8"/>
                <w:color w:val="auto"/>
              </w:rPr>
            </w:pPr>
          </w:p>
        </w:tc>
        <w:tc>
          <w:tcPr>
            <w:tcW w:w="3360" w:type="dxa"/>
            <w:vAlign w:val="bottom"/>
            <w:shd w:val="clear" w:color="auto" w:fill="BF5B5A"/>
          </w:tcPr>
          <w:p>
            <w:pPr>
              <w:spacing w:after="0"/>
              <w:rPr>
                <w:sz w:val="8"/>
                <w:szCs w:val="8"/>
                <w:color w:val="auto"/>
              </w:rPr>
            </w:pPr>
          </w:p>
        </w:tc>
        <w:tc>
          <w:tcPr>
            <w:tcW w:w="20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4"/>
                <w:szCs w:val="24"/>
                <w:color w:val="auto"/>
              </w:rPr>
            </w:pPr>
          </w:p>
        </w:tc>
        <w:tc>
          <w:tcPr>
            <w:tcW w:w="2900" w:type="dxa"/>
            <w:vAlign w:val="bottom"/>
            <w:gridSpan w:val="2"/>
          </w:tcPr>
          <w:p>
            <w:pPr>
              <w:ind w:left="20"/>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720" w:type="dxa"/>
            <w:vAlign w:val="bottom"/>
          </w:tcPr>
          <w:p>
            <w:pPr>
              <w:ind w:left="520"/>
              <w:spacing w:after="0"/>
              <w:rPr>
                <w:sz w:val="20"/>
                <w:szCs w:val="20"/>
                <w:color w:val="auto"/>
              </w:rPr>
            </w:pPr>
            <w:r>
              <w:rPr>
                <w:rFonts w:ascii="Arial" w:cs="Arial" w:eastAsia="Arial" w:hAnsi="Arial"/>
                <w:sz w:val="16"/>
                <w:szCs w:val="16"/>
                <w:color w:val="auto"/>
              </w:rPr>
              <w:t>​ ​</w:t>
            </w:r>
          </w:p>
        </w:tc>
        <w:tc>
          <w:tcPr>
            <w:tcW w:w="3360" w:type="dxa"/>
            <w:vAlign w:val="bottom"/>
          </w:tcPr>
          <w:p>
            <w:pPr>
              <w:ind w:left="20"/>
              <w:spacing w:after="0"/>
              <w:rPr>
                <w:sz w:val="20"/>
                <w:szCs w:val="20"/>
                <w:color w:val="auto"/>
              </w:rPr>
            </w:pPr>
            <w:r>
              <w:rPr>
                <w:rFonts w:ascii="Arial" w:cs="Arial" w:eastAsia="Arial" w:hAnsi="Arial"/>
                <w:sz w:val="16"/>
                <w:szCs w:val="16"/>
                <w:b w:val="1"/>
                <w:bCs w:val="1"/>
                <w:color w:val="BF5B5A"/>
              </w:rPr>
              <w:t>EDUCATION</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6"/>
                <w:szCs w:val="16"/>
                <w:b w:val="1"/>
                <w:bCs w:val="1"/>
                <w:color w:val="auto"/>
              </w:rPr>
              <w:t>FIRST HAWAIIAN, INC.</w:t>
            </w:r>
          </w:p>
        </w:tc>
        <w:tc>
          <w:tcPr>
            <w:tcW w:w="72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M.B.A., the Wharton School at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40" w:type="dxa"/>
            <w:vAlign w:val="bottom"/>
            <w:vMerge w:val="restart"/>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Lead Independent Director</w:t>
            </w:r>
          </w:p>
        </w:tc>
        <w:tc>
          <w:tcPr>
            <w:tcW w:w="7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6"/>
                <w:szCs w:val="16"/>
                <w:color w:val="auto"/>
              </w:rPr>
              <w:t>University of Pennsylvania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-795655</wp:posOffset>
            </wp:positionV>
            <wp:extent cx="1234440" cy="1071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-709930</wp:posOffset>
            </wp:positionV>
            <wp:extent cx="10668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69" w:lineRule="exact"/>
        <w:rPr>
          <w:sz w:val="20"/>
          <w:szCs w:val="20"/>
          <w:color w:val="auto"/>
        </w:rPr>
      </w:pPr>
    </w:p>
    <w:p>
      <w:pPr>
        <w:ind w:left="3160" w:hanging="152"/>
        <w:spacing w:after="0" w:line="316" w:lineRule="auto"/>
        <w:tabs>
          <w:tab w:leader="none" w:pos="3160" w:val="left"/>
        </w:tabs>
        <w:numPr>
          <w:ilvl w:val="0"/>
          <w:numId w:val="51"/>
        </w:numPr>
        <w:rPr>
          <w:rFonts w:ascii="Arial" w:cs="Arial" w:eastAsia="Arial" w:hAnsi="Arial"/>
          <w:sz w:val="16"/>
          <w:szCs w:val="16"/>
          <w:color w:val="BF5B5A"/>
        </w:rPr>
      </w:pPr>
      <w:r>
        <w:rPr>
          <w:rFonts w:ascii="Arial" w:cs="Arial" w:eastAsia="Arial" w:hAnsi="Arial"/>
          <w:sz w:val="16"/>
          <w:szCs w:val="16"/>
          <w:color w:val="auto"/>
        </w:rPr>
        <w:t>Member of the Board of Directors (2016 to present)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55" w:right="740" w:hanging="155"/>
        <w:spacing w:after="0" w:line="321" w:lineRule="auto"/>
        <w:tabs>
          <w:tab w:leader="none" w:pos="155" w:val="left"/>
        </w:tabs>
        <w:numPr>
          <w:ilvl w:val="0"/>
          <w:numId w:val="52"/>
        </w:numPr>
        <w:rPr>
          <w:rFonts w:ascii="Arial" w:cs="Arial" w:eastAsia="Arial" w:hAnsi="Arial"/>
          <w:sz w:val="16"/>
          <w:szCs w:val="16"/>
          <w:color w:val="BF5B5A"/>
        </w:rPr>
      </w:pPr>
      <w:r>
        <w:rPr>
          <w:rFonts w:ascii="Arial" w:cs="Arial" w:eastAsia="Arial" w:hAnsi="Arial"/>
          <w:sz w:val="16"/>
          <w:szCs w:val="16"/>
          <w:color w:val="auto"/>
        </w:rPr>
        <w:t>Bachelor’s degree in Electrical Engineering, Princeton University</w:t>
      </w:r>
    </w:p>
    <w:p>
      <w:pPr>
        <w:spacing w:after="0" w:line="34" w:lineRule="exact"/>
        <w:rPr>
          <w:sz w:val="20"/>
          <w:szCs w:val="20"/>
          <w:color w:val="auto"/>
        </w:rPr>
      </w:pPr>
    </w:p>
    <w:p>
      <w:pPr>
        <w:sectPr>
          <w:pgSz w:w="11900" w:h="16838" w:orient="portrait"/>
          <w:cols w:equalWidth="0" w:num="2">
            <w:col w:w="6120" w:space="465"/>
            <w:col w:w="3375"/>
          </w:cols>
          <w:pgMar w:left="580" w:top="97" w:right="1359" w:bottom="1440" w:gutter="0" w:footer="0" w:header="0"/>
          <w:type w:val="continuous"/>
        </w:sectPr>
      </w:pPr>
    </w:p>
    <w:p>
      <w:pPr>
        <w:spacing w:after="0" w:line="67" w:lineRule="exact"/>
        <w:rPr>
          <w:sz w:val="20"/>
          <w:szCs w:val="20"/>
          <w:color w:val="auto"/>
        </w:rPr>
      </w:pPr>
    </w:p>
    <w:p>
      <w:pPr>
        <w:ind w:left="780" w:right="440"/>
        <w:spacing w:after="0" w:line="370" w:lineRule="auto"/>
        <w:rPr>
          <w:sz w:val="20"/>
          <w:szCs w:val="20"/>
          <w:color w:val="auto"/>
        </w:rPr>
      </w:pPr>
      <w:r>
        <w:rPr>
          <w:rFonts w:ascii="Arial" w:cs="Arial" w:eastAsia="Arial" w:hAnsi="Arial"/>
          <w:sz w:val="15"/>
          <w:szCs w:val="15"/>
          <w:b w:val="1"/>
          <w:bCs w:val="1"/>
          <w:color w:val="auto"/>
        </w:rPr>
        <w:t>LEAD INDEPENDENT DIRECTOR</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COMMITTEES</w:t>
      </w:r>
    </w:p>
    <w:p>
      <w:pPr>
        <w:spacing w:after="0" w:line="154" w:lineRule="exact"/>
        <w:rPr>
          <w:sz w:val="20"/>
          <w:szCs w:val="20"/>
          <w:color w:val="auto"/>
        </w:rPr>
      </w:pPr>
    </w:p>
    <w:p>
      <w:pPr>
        <w:ind w:left="1020" w:hanging="168"/>
        <w:spacing w:after="0"/>
        <w:tabs>
          <w:tab w:leader="none" w:pos="1020" w:val="left"/>
        </w:tabs>
        <w:numPr>
          <w:ilvl w:val="0"/>
          <w:numId w:val="53"/>
        </w:numPr>
        <w:rPr>
          <w:rFonts w:ascii="Arial" w:cs="Arial" w:eastAsia="Arial" w:hAnsi="Arial"/>
          <w:sz w:val="16"/>
          <w:szCs w:val="16"/>
          <w:color w:val="BF5B5A"/>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BF5B5A"/>
        </w:rPr>
      </w:pPr>
    </w:p>
    <w:p>
      <w:pPr>
        <w:ind w:left="1040" w:right="60" w:hanging="188"/>
        <w:spacing w:after="0" w:line="436" w:lineRule="auto"/>
        <w:tabs>
          <w:tab w:leader="none" w:pos="1040" w:val="left"/>
        </w:tabs>
        <w:numPr>
          <w:ilvl w:val="0"/>
          <w:numId w:val="53"/>
        </w:numPr>
        <w:rPr>
          <w:rFonts w:ascii="Arial" w:cs="Arial" w:eastAsia="Arial" w:hAnsi="Arial"/>
          <w:sz w:val="16"/>
          <w:szCs w:val="16"/>
          <w:color w:val="BF5B5A"/>
        </w:rPr>
      </w:pPr>
      <w:r>
        <w:rPr>
          <w:rFonts w:ascii="Arial" w:cs="Arial" w:eastAsia="Arial" w:hAnsi="Arial"/>
          <w:sz w:val="16"/>
          <w:szCs w:val="16"/>
          <w:color w:val="auto"/>
        </w:rPr>
        <w:t xml:space="preserve">Corporate Governance and Nominating </w:t>
      </w:r>
      <w:r>
        <w:rPr>
          <w:rFonts w:ascii="Arial" w:cs="Arial" w:eastAsia="Arial" w:hAnsi="Arial"/>
          <w:sz w:val="1"/>
          <w:szCs w:val="1"/>
          <w:color w:val="BF5B5A"/>
        </w:rPr>
        <w:drawing>
          <wp:inline distT="0" distB="0" distL="0" distR="0">
            <wp:extent cx="111760" cy="11112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74295</wp:posOffset>
            </wp:positionV>
            <wp:extent cx="1242695" cy="11061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4269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80"/>
        <w:spacing w:after="0"/>
        <w:tabs>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FIRST HAWAIIAN BANK</w:t>
      </w:r>
    </w:p>
    <w:p>
      <w:pPr>
        <w:spacing w:after="0" w:line="73" w:lineRule="exact"/>
        <w:rPr>
          <w:sz w:val="20"/>
          <w:szCs w:val="20"/>
          <w:color w:val="auto"/>
        </w:rPr>
      </w:pPr>
    </w:p>
    <w:p>
      <w:pPr>
        <w:ind w:left="240" w:hanging="152"/>
        <w:spacing w:after="0"/>
        <w:tabs>
          <w:tab w:leader="none" w:pos="240" w:val="left"/>
        </w:tabs>
        <w:numPr>
          <w:ilvl w:val="0"/>
          <w:numId w:val="54"/>
        </w:numPr>
        <w:rPr>
          <w:rFonts w:ascii="Arial" w:cs="Arial" w:eastAsia="Arial" w:hAnsi="Arial"/>
          <w:sz w:val="16"/>
          <w:szCs w:val="16"/>
          <w:color w:val="BF5B5A"/>
        </w:rPr>
      </w:pPr>
      <w:r>
        <w:rPr>
          <w:rFonts w:ascii="Arial" w:cs="Arial" w:eastAsia="Arial" w:hAnsi="Arial"/>
          <w:sz w:val="16"/>
          <w:szCs w:val="16"/>
          <w:color w:val="auto"/>
        </w:rPr>
        <w:t>Lead Independent Director</w:t>
      </w:r>
    </w:p>
    <w:p>
      <w:pPr>
        <w:spacing w:after="0" w:line="99" w:lineRule="exact"/>
        <w:rPr>
          <w:rFonts w:ascii="Arial" w:cs="Arial" w:eastAsia="Arial" w:hAnsi="Arial"/>
          <w:sz w:val="16"/>
          <w:szCs w:val="16"/>
          <w:color w:val="BF5B5A"/>
        </w:rPr>
      </w:pPr>
    </w:p>
    <w:p>
      <w:pPr>
        <w:ind w:left="240" w:right="60" w:hanging="152"/>
        <w:spacing w:after="0" w:line="316" w:lineRule="auto"/>
        <w:tabs>
          <w:tab w:leader="none" w:pos="240" w:val="left"/>
        </w:tabs>
        <w:numPr>
          <w:ilvl w:val="0"/>
          <w:numId w:val="54"/>
        </w:numPr>
        <w:rPr>
          <w:rFonts w:ascii="Arial" w:cs="Arial" w:eastAsia="Arial" w:hAnsi="Arial"/>
          <w:sz w:val="16"/>
          <w:szCs w:val="16"/>
          <w:color w:val="BF5B5A"/>
        </w:rPr>
      </w:pPr>
      <w:r>
        <w:rPr>
          <w:rFonts w:ascii="Arial" w:cs="Arial" w:eastAsia="Arial" w:hAnsi="Arial"/>
          <w:sz w:val="16"/>
          <w:szCs w:val="16"/>
          <w:color w:val="auto"/>
        </w:rPr>
        <w:t>Member of the Board of Directors (2001 to present)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BANCWEST</w:t>
      </w:r>
    </w:p>
    <w:p>
      <w:pPr>
        <w:spacing w:after="0" w:line="100" w:lineRule="exact"/>
        <w:rPr>
          <w:sz w:val="20"/>
          <w:szCs w:val="20"/>
          <w:color w:val="auto"/>
        </w:rPr>
      </w:pPr>
    </w:p>
    <w:p>
      <w:pPr>
        <w:ind w:left="240" w:right="40" w:hanging="152"/>
        <w:spacing w:after="0" w:line="301" w:lineRule="auto"/>
        <w:tabs>
          <w:tab w:leader="none" w:pos="240" w:val="left"/>
        </w:tabs>
        <w:numPr>
          <w:ilvl w:val="0"/>
          <w:numId w:val="55"/>
        </w:numPr>
        <w:rPr>
          <w:rFonts w:ascii="Arial" w:cs="Arial" w:eastAsia="Arial" w:hAnsi="Arial"/>
          <w:sz w:val="16"/>
          <w:szCs w:val="16"/>
          <w:color w:val="BF5B5A"/>
        </w:rPr>
      </w:pPr>
      <w:r>
        <w:rPr>
          <w:rFonts w:ascii="Arial" w:cs="Arial" w:eastAsia="Arial" w:hAnsi="Arial"/>
          <w:sz w:val="16"/>
          <w:szCs w:val="16"/>
          <w:color w:val="auto"/>
        </w:rPr>
        <w:t>Member of the Board of Directors and Member of the Risk Committee (2012 to January 2019)</w:t>
      </w:r>
    </w:p>
    <w:p>
      <w:pPr>
        <w:spacing w:after="0" w:line="5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FIRST INSURANCE COMPANY OF HAWAII</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Honolulu-based property and casualty insurance company that, during the course of Mr. Uyeda’s leadership, became a subsidiary of Tokio Marine Holdings, Inc., a multinational insurance holding company listed on the Tokyo Stock Exchange</w:t>
      </w:r>
    </w:p>
    <w:p>
      <w:pPr>
        <w:spacing w:after="0" w:line="48" w:lineRule="exact"/>
        <w:rPr>
          <w:sz w:val="20"/>
          <w:szCs w:val="20"/>
          <w:color w:val="auto"/>
        </w:rPr>
      </w:pPr>
    </w:p>
    <w:p>
      <w:pPr>
        <w:ind w:left="240" w:right="180" w:hanging="152"/>
        <w:spacing w:after="0" w:line="321" w:lineRule="auto"/>
        <w:tabs>
          <w:tab w:leader="none" w:pos="240" w:val="left"/>
        </w:tabs>
        <w:numPr>
          <w:ilvl w:val="0"/>
          <w:numId w:val="56"/>
        </w:numPr>
        <w:rPr>
          <w:rFonts w:ascii="Arial" w:cs="Arial" w:eastAsia="Arial" w:hAnsi="Arial"/>
          <w:sz w:val="16"/>
          <w:szCs w:val="16"/>
          <w:color w:val="BF5B5A"/>
        </w:rPr>
      </w:pPr>
      <w:r>
        <w:rPr>
          <w:rFonts w:ascii="Arial" w:cs="Arial" w:eastAsia="Arial" w:hAnsi="Arial"/>
          <w:sz w:val="16"/>
          <w:szCs w:val="16"/>
          <w:color w:val="auto"/>
        </w:rPr>
        <w:t>Chief Executive Officer (1995 to 2014, upon retirement)</w:t>
      </w:r>
    </w:p>
    <w:p>
      <w:pPr>
        <w:spacing w:after="0" w:line="34"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CONTINENTAL INSURANCE COMPANY</w:t>
      </w:r>
      <w:r>
        <w:rPr>
          <w:rFonts w:ascii="Arial" w:cs="Arial" w:eastAsia="Arial" w:hAnsi="Arial"/>
          <w:sz w:val="16"/>
          <w:szCs w:val="16"/>
          <w:color w:val="auto"/>
        </w:rPr>
        <w:t>,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its acquisition by CNA Financial Corporation, a public unified holding company for insurance entities</w:t>
      </w:r>
    </w:p>
    <w:p>
      <w:pPr>
        <w:spacing w:after="0" w:line="54" w:lineRule="exact"/>
        <w:rPr>
          <w:sz w:val="20"/>
          <w:szCs w:val="20"/>
          <w:color w:val="auto"/>
        </w:rPr>
      </w:pPr>
    </w:p>
    <w:p>
      <w:pPr>
        <w:ind w:left="240" w:right="300" w:hanging="152"/>
        <w:spacing w:after="0" w:line="301" w:lineRule="auto"/>
        <w:tabs>
          <w:tab w:leader="none" w:pos="240" w:val="left"/>
        </w:tabs>
        <w:numPr>
          <w:ilvl w:val="0"/>
          <w:numId w:val="57"/>
        </w:numPr>
        <w:rPr>
          <w:rFonts w:ascii="Arial" w:cs="Arial" w:eastAsia="Arial" w:hAnsi="Arial"/>
          <w:sz w:val="16"/>
          <w:szCs w:val="16"/>
          <w:color w:val="BF5B5A"/>
        </w:rPr>
      </w:pPr>
      <w:r>
        <w:rPr>
          <w:rFonts w:ascii="Arial" w:cs="Arial" w:eastAsia="Arial" w:hAnsi="Arial"/>
          <w:sz w:val="16"/>
          <w:szCs w:val="16"/>
          <w:color w:val="auto"/>
        </w:rPr>
        <w:t>Vice President and Chief Financial Officer of the Agency and Brokerage Group</w:t>
      </w:r>
    </w:p>
    <w:p>
      <w:pPr>
        <w:spacing w:after="0" w:line="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INTERNATIONAL PAPER</w:t>
      </w:r>
      <w:r>
        <w:rPr>
          <w:rFonts w:ascii="Arial" w:cs="Arial" w:eastAsia="Arial" w:hAnsi="Arial"/>
          <w:sz w:val="16"/>
          <w:szCs w:val="16"/>
          <w:color w:val="auto"/>
        </w:rPr>
        <w:t>, a public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interests in paper-based packaging, paper and pulp industries</w:t>
      </w:r>
    </w:p>
    <w:p>
      <w:pPr>
        <w:spacing w:after="0" w:line="50" w:lineRule="exact"/>
        <w:rPr>
          <w:sz w:val="20"/>
          <w:szCs w:val="20"/>
          <w:color w:val="auto"/>
        </w:rPr>
      </w:pPr>
    </w:p>
    <w:p>
      <w:pPr>
        <w:ind w:left="240" w:right="480" w:hanging="152"/>
        <w:spacing w:after="0" w:line="321" w:lineRule="auto"/>
        <w:tabs>
          <w:tab w:leader="none" w:pos="240" w:val="left"/>
        </w:tabs>
        <w:numPr>
          <w:ilvl w:val="0"/>
          <w:numId w:val="58"/>
        </w:numPr>
        <w:rPr>
          <w:rFonts w:ascii="Arial" w:cs="Arial" w:eastAsia="Arial" w:hAnsi="Arial"/>
          <w:sz w:val="16"/>
          <w:szCs w:val="16"/>
          <w:color w:val="BF5B5A"/>
        </w:rPr>
      </w:pPr>
      <w:r>
        <w:rPr>
          <w:rFonts w:ascii="Arial" w:cs="Arial" w:eastAsia="Arial" w:hAnsi="Arial"/>
          <w:sz w:val="16"/>
          <w:szCs w:val="16"/>
          <w:color w:val="auto"/>
        </w:rPr>
        <w:t>Management and financial analyst experience</w:t>
      </w:r>
    </w:p>
    <w:p>
      <w:pPr>
        <w:spacing w:after="0" w:line="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JOHNSON CONTROLS, INC.</w:t>
      </w:r>
      <w:r>
        <w:rPr>
          <w:rFonts w:ascii="Arial" w:cs="Arial" w:eastAsia="Arial" w:hAnsi="Arial"/>
          <w:sz w:val="16"/>
          <w:szCs w:val="16"/>
          <w:color w:val="auto"/>
        </w:rPr>
        <w:t>,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provides batteries and builds efficiency services</w:t>
      </w:r>
    </w:p>
    <w:p>
      <w:pPr>
        <w:spacing w:after="0" w:line="50" w:lineRule="exact"/>
        <w:rPr>
          <w:sz w:val="20"/>
          <w:szCs w:val="20"/>
          <w:color w:val="auto"/>
        </w:rPr>
      </w:pPr>
    </w:p>
    <w:p>
      <w:pPr>
        <w:ind w:left="240" w:right="220" w:hanging="152"/>
        <w:spacing w:after="0" w:line="321" w:lineRule="auto"/>
        <w:tabs>
          <w:tab w:leader="none" w:pos="240" w:val="left"/>
        </w:tabs>
        <w:numPr>
          <w:ilvl w:val="0"/>
          <w:numId w:val="59"/>
        </w:numPr>
        <w:rPr>
          <w:rFonts w:ascii="Arial" w:cs="Arial" w:eastAsia="Arial" w:hAnsi="Arial"/>
          <w:sz w:val="16"/>
          <w:szCs w:val="16"/>
          <w:color w:val="BF5B5A"/>
        </w:rPr>
      </w:pPr>
      <w:r>
        <w:rPr>
          <w:rFonts w:ascii="Arial" w:cs="Arial" w:eastAsia="Arial" w:hAnsi="Arial"/>
          <w:sz w:val="16"/>
          <w:szCs w:val="16"/>
          <w:color w:val="auto"/>
        </w:rPr>
        <w:t>Project Management and engineering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81915</wp:posOffset>
            </wp:positionV>
            <wp:extent cx="58293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320" w:right="780" w:hanging="155"/>
        <w:spacing w:after="0" w:line="321" w:lineRule="auto"/>
        <w:tabs>
          <w:tab w:leader="none" w:pos="320" w:val="left"/>
        </w:tabs>
        <w:numPr>
          <w:ilvl w:val="0"/>
          <w:numId w:val="60"/>
        </w:numPr>
        <w:rPr>
          <w:rFonts w:ascii="Arial" w:cs="Arial" w:eastAsia="Arial" w:hAnsi="Arial"/>
          <w:sz w:val="16"/>
          <w:szCs w:val="16"/>
          <w:color w:val="BF5B5A"/>
        </w:rPr>
      </w:pPr>
      <w:r>
        <w:rPr>
          <w:rFonts w:ascii="Arial" w:cs="Arial" w:eastAsia="Arial" w:hAnsi="Arial"/>
          <w:sz w:val="16"/>
          <w:szCs w:val="16"/>
          <w:color w:val="auto"/>
        </w:rPr>
        <w:t>Holder of National Association of Corporate Directors Certification</w:t>
      </w:r>
    </w:p>
    <w:p>
      <w:pPr>
        <w:spacing w:after="0" w:line="20" w:lineRule="exact"/>
        <w:rPr>
          <w:rFonts w:ascii="Arial" w:cs="Arial" w:eastAsia="Arial" w:hAnsi="Arial"/>
          <w:sz w:val="16"/>
          <w:szCs w:val="16"/>
          <w:color w:val="BF5B5A"/>
        </w:rPr>
      </w:pPr>
    </w:p>
    <w:p>
      <w:pPr>
        <w:ind w:left="320" w:right="260" w:hanging="155"/>
        <w:spacing w:after="0" w:line="291" w:lineRule="auto"/>
        <w:tabs>
          <w:tab w:leader="none" w:pos="320" w:val="left"/>
        </w:tabs>
        <w:numPr>
          <w:ilvl w:val="0"/>
          <w:numId w:val="60"/>
        </w:numPr>
        <w:rPr>
          <w:rFonts w:ascii="Arial" w:cs="Arial" w:eastAsia="Arial" w:hAnsi="Arial"/>
          <w:sz w:val="16"/>
          <w:szCs w:val="16"/>
          <w:color w:val="BF5B5A"/>
        </w:rPr>
      </w:pPr>
      <w:r>
        <w:rPr>
          <w:rFonts w:ascii="Arial" w:cs="Arial" w:eastAsia="Arial" w:hAnsi="Arial"/>
          <w:sz w:val="16"/>
          <w:szCs w:val="16"/>
          <w:color w:val="auto"/>
        </w:rPr>
        <w:t>Holder of National Association of Corporate Directors CERT Certificate in Cybersecurity Oversight, Carnegie Mellon University, Software Engineering Institute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BF5B5A"/>
        </w:rPr>
        <w:t>QUALIFICATIONS</w:t>
      </w:r>
    </w:p>
    <w:p>
      <w:pPr>
        <w:spacing w:after="0" w:line="100" w:lineRule="exact"/>
        <w:rPr>
          <w:sz w:val="20"/>
          <w:szCs w:val="20"/>
          <w:color w:val="auto"/>
        </w:rPr>
      </w:pPr>
    </w:p>
    <w:p>
      <w:pPr>
        <w:ind w:left="320" w:right="260" w:hanging="155"/>
        <w:spacing w:after="0" w:line="295" w:lineRule="auto"/>
        <w:tabs>
          <w:tab w:leader="none" w:pos="320" w:val="left"/>
        </w:tabs>
        <w:numPr>
          <w:ilvl w:val="0"/>
          <w:numId w:val="61"/>
        </w:numPr>
        <w:rPr>
          <w:rFonts w:ascii="Arial" w:cs="Arial" w:eastAsia="Arial" w:hAnsi="Arial"/>
          <w:sz w:val="16"/>
          <w:szCs w:val="16"/>
          <w:color w:val="BF5B5A"/>
        </w:rPr>
      </w:pPr>
      <w:r>
        <w:rPr>
          <w:rFonts w:ascii="Arial" w:cs="Arial" w:eastAsia="Arial" w:hAnsi="Arial"/>
          <w:sz w:val="16"/>
          <w:szCs w:val="16"/>
          <w:color w:val="auto"/>
        </w:rPr>
        <w:t>Mr. Uyeda brings to the First Hawaiian Board extensive knowledge of Hawaii and experience in supervising and performing company financial functions.</w:t>
      </w:r>
    </w:p>
    <w:p>
      <w:pPr>
        <w:spacing w:after="0" w:line="40" w:lineRule="exact"/>
        <w:rPr>
          <w:rFonts w:ascii="Arial" w:cs="Arial" w:eastAsia="Arial" w:hAnsi="Arial"/>
          <w:sz w:val="16"/>
          <w:szCs w:val="16"/>
          <w:color w:val="BF5B5A"/>
        </w:rPr>
      </w:pPr>
    </w:p>
    <w:p>
      <w:pPr>
        <w:ind w:left="320" w:right="260" w:hanging="155"/>
        <w:spacing w:after="0" w:line="288" w:lineRule="auto"/>
        <w:tabs>
          <w:tab w:leader="none" w:pos="320" w:val="left"/>
        </w:tabs>
        <w:numPr>
          <w:ilvl w:val="0"/>
          <w:numId w:val="61"/>
        </w:numPr>
        <w:rPr>
          <w:rFonts w:ascii="Arial" w:cs="Arial" w:eastAsia="Arial" w:hAnsi="Arial"/>
          <w:sz w:val="16"/>
          <w:szCs w:val="16"/>
          <w:color w:val="BF5B5A"/>
        </w:rPr>
      </w:pPr>
      <w:r>
        <w:rPr>
          <w:rFonts w:ascii="Arial" w:cs="Arial" w:eastAsia="Arial" w:hAnsi="Arial"/>
          <w:sz w:val="16"/>
          <w:szCs w:val="16"/>
          <w:color w:val="auto"/>
        </w:rPr>
        <w:t>Mr. Uyeda’s experience serving as chief executive officer of a major local insurance company, combined with his risk management and leadership skills, knowledge of our market and sensitivity to the economy, bring valuable insight and critical skills to our Board.</w:t>
      </w:r>
    </w:p>
    <w:p>
      <w:pPr>
        <w:spacing w:after="0" w:line="4114" w:lineRule="exact"/>
        <w:rPr>
          <w:sz w:val="20"/>
          <w:szCs w:val="20"/>
          <w:color w:val="auto"/>
        </w:rPr>
      </w:pPr>
    </w:p>
    <w:p>
      <w:pPr>
        <w:sectPr>
          <w:pgSz w:w="11900" w:h="16838" w:orient="portrait"/>
          <w:cols w:equalWidth="0" w:num="3">
            <w:col w:w="2780" w:space="140"/>
            <w:col w:w="3260" w:space="240"/>
            <w:col w:w="35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23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0" w:lineRule="exact"/>
        <w:rPr>
          <w:sz w:val="20"/>
          <w:szCs w:val="20"/>
          <w:color w:val="auto"/>
        </w:rPr>
      </w:pPr>
    </w:p>
    <w:p>
      <w:pPr>
        <w:spacing w:after="0" w:line="213"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180" w:type="dxa"/>
            <w:vAlign w:val="bottom"/>
            <w:tcBorders>
              <w:top w:val="single" w:sz="8" w:color="BF5B5A"/>
            </w:tcBorders>
          </w:tcPr>
          <w:p>
            <w:pPr>
              <w:spacing w:after="0"/>
              <w:rPr>
                <w:sz w:val="18"/>
                <w:szCs w:val="18"/>
                <w:color w:val="auto"/>
              </w:rPr>
            </w:pPr>
          </w:p>
        </w:tc>
        <w:tc>
          <w:tcPr>
            <w:tcW w:w="1540" w:type="dxa"/>
            <w:vAlign w:val="bottom"/>
            <w:tcBorders>
              <w:top w:val="single" w:sz="8" w:color="BF5B5A"/>
            </w:tcBorders>
          </w:tcPr>
          <w:p>
            <w:pPr>
              <w:spacing w:after="0"/>
              <w:rPr>
                <w:sz w:val="18"/>
                <w:szCs w:val="18"/>
                <w:color w:val="auto"/>
              </w:rPr>
            </w:pPr>
          </w:p>
        </w:tc>
        <w:tc>
          <w:tcPr>
            <w:tcW w:w="280" w:type="dxa"/>
            <w:vAlign w:val="bottom"/>
            <w:tcBorders>
              <w:top w:val="single" w:sz="8" w:color="BF5B5A"/>
            </w:tcBorders>
          </w:tcPr>
          <w:p>
            <w:pPr>
              <w:spacing w:after="0"/>
              <w:rPr>
                <w:sz w:val="18"/>
                <w:szCs w:val="18"/>
                <w:color w:val="auto"/>
              </w:rPr>
            </w:pPr>
          </w:p>
        </w:tc>
        <w:tc>
          <w:tcPr>
            <w:tcW w:w="60" w:type="dxa"/>
            <w:vAlign w:val="bottom"/>
            <w:tcBorders>
              <w:top w:val="single" w:sz="8" w:color="BF5B5A"/>
            </w:tcBorders>
            <w:shd w:val="clear" w:color="auto" w:fill="BF5B5A"/>
          </w:tcPr>
          <w:p>
            <w:pPr>
              <w:spacing w:after="0"/>
              <w:rPr>
                <w:sz w:val="18"/>
                <w:szCs w:val="18"/>
                <w:color w:val="auto"/>
              </w:rPr>
            </w:pPr>
          </w:p>
        </w:tc>
        <w:tc>
          <w:tcPr>
            <w:tcW w:w="3340" w:type="dxa"/>
            <w:vAlign w:val="bottom"/>
            <w:tcBorders>
              <w:top w:val="single" w:sz="8" w:color="BF5B5A"/>
            </w:tcBorders>
            <w:gridSpan w:val="2"/>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w w:val="99"/>
              </w:rPr>
              <w:t>Vanessa L. Washington</w:t>
            </w:r>
          </w:p>
        </w:tc>
        <w:tc>
          <w:tcPr>
            <w:tcW w:w="520" w:type="dxa"/>
            <w:vAlign w:val="bottom"/>
            <w:tcBorders>
              <w:top w:val="single" w:sz="8" w:color="BF5B5A"/>
            </w:tcBorders>
            <w:shd w:val="clear" w:color="auto" w:fill="BF5B5A"/>
          </w:tcPr>
          <w:p>
            <w:pPr>
              <w:spacing w:after="0"/>
              <w:rPr>
                <w:sz w:val="18"/>
                <w:szCs w:val="18"/>
                <w:color w:val="auto"/>
              </w:rPr>
            </w:pPr>
          </w:p>
        </w:tc>
        <w:tc>
          <w:tcPr>
            <w:tcW w:w="3060" w:type="dxa"/>
            <w:vAlign w:val="bottom"/>
            <w:tcBorders>
              <w:top w:val="single" w:sz="8" w:color="BF5B5A"/>
            </w:tcBorders>
            <w:shd w:val="clear" w:color="auto" w:fill="BF5B5A"/>
          </w:tcPr>
          <w:p>
            <w:pPr>
              <w:ind w:left="2540"/>
              <w:spacing w:after="0"/>
              <w:rPr>
                <w:sz w:val="20"/>
                <w:szCs w:val="20"/>
                <w:color w:val="auto"/>
              </w:rPr>
            </w:pPr>
            <w:r>
              <w:rPr>
                <w:rFonts w:ascii="Arial" w:cs="Arial" w:eastAsia="Arial" w:hAnsi="Arial"/>
                <w:sz w:val="16"/>
                <w:szCs w:val="16"/>
                <w:b w:val="1"/>
                <w:bCs w:val="1"/>
                <w:color w:val="FFFFFF"/>
                <w:w w:val="95"/>
              </w:rPr>
              <w:t>Age 64</w:t>
            </w:r>
          </w:p>
        </w:tc>
        <w:tc>
          <w:tcPr>
            <w:tcW w:w="200" w:type="dxa"/>
            <w:vAlign w:val="bottom"/>
            <w:tcBorders>
              <w:top w:val="single" w:sz="8" w:color="BF5B5A"/>
            </w:tcBorders>
            <w:shd w:val="clear" w:color="auto" w:fill="BF5B5A"/>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40" w:type="dxa"/>
            <w:vAlign w:val="bottom"/>
            <w:gridSpan w:val="2"/>
            <w:vMerge w:val="continue"/>
            <w:shd w:val="clear" w:color="auto" w:fill="BF5B5A"/>
          </w:tcPr>
          <w:p>
            <w:pPr>
              <w:spacing w:after="0"/>
              <w:rPr>
                <w:sz w:val="24"/>
                <w:szCs w:val="24"/>
                <w:color w:val="auto"/>
              </w:rPr>
            </w:pPr>
          </w:p>
        </w:tc>
        <w:tc>
          <w:tcPr>
            <w:tcW w:w="520" w:type="dxa"/>
            <w:vAlign w:val="bottom"/>
            <w:shd w:val="clear" w:color="auto" w:fill="BF5B5A"/>
          </w:tcPr>
          <w:p>
            <w:pPr>
              <w:ind w:left="20"/>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96" w:lineRule="exact"/>
              <w:rPr>
                <w:sz w:val="20"/>
                <w:szCs w:val="20"/>
                <w:color w:val="auto"/>
              </w:rPr>
            </w:pPr>
            <w:r>
              <w:rPr>
                <w:rFonts w:ascii="Arial" w:cs="Arial" w:eastAsia="Arial" w:hAnsi="Arial"/>
                <w:sz w:val="16"/>
                <w:szCs w:val="16"/>
                <w:b w:val="1"/>
                <w:bCs w:val="1"/>
                <w:color w:val="FFFFFF"/>
              </w:rPr>
              <w:t> Independent Director since 2020</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40" w:type="dxa"/>
            <w:vAlign w:val="bottom"/>
            <w:gridSpan w:val="2"/>
            <w:shd w:val="clear" w:color="auto" w:fill="BF5B5A"/>
          </w:tcPr>
          <w:p>
            <w:pPr>
              <w:spacing w:after="0"/>
              <w:rPr>
                <w:sz w:val="8"/>
                <w:szCs w:val="8"/>
                <w:color w:val="auto"/>
              </w:rPr>
            </w:pPr>
          </w:p>
        </w:tc>
        <w:tc>
          <w:tcPr>
            <w:tcW w:w="3580" w:type="dxa"/>
            <w:vAlign w:val="bottom"/>
            <w:gridSpan w:val="2"/>
            <w:shd w:val="clear" w:color="auto" w:fill="BF5B5A"/>
          </w:tcPr>
          <w:p>
            <w:pPr>
              <w:spacing w:after="0"/>
              <w:rPr>
                <w:sz w:val="8"/>
                <w:szCs w:val="8"/>
                <w:color w:val="auto"/>
              </w:rPr>
            </w:pPr>
          </w:p>
        </w:tc>
        <w:tc>
          <w:tcPr>
            <w:tcW w:w="20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3"/>
          </w:tcPr>
          <w:p>
            <w:pPr>
              <w:ind w:left="20"/>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OTHER ENGAGEMENTS</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Current Director and Member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Member of the Board of Directors (2020</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Nominating &amp; Governance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Compensation &amp; Human Capital</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to present)</w:t>
            </w:r>
          </w:p>
        </w:tc>
        <w:tc>
          <w:tcPr>
            <w:tcW w:w="5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Committees of the Board of Directors of</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CSAA Insurance Exchange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gridSpan w:val="2"/>
          </w:tcPr>
          <w:p>
            <w:pPr>
              <w:spacing w:after="0"/>
              <w:rPr>
                <w:sz w:val="20"/>
                <w:szCs w:val="20"/>
                <w:color w:val="auto"/>
              </w:rPr>
            </w:pPr>
            <w:r>
              <w:rPr>
                <w:rFonts w:ascii="Arial" w:cs="Arial" w:eastAsia="Arial" w:hAnsi="Arial"/>
                <w:sz w:val="16"/>
                <w:szCs w:val="16"/>
                <w:b w:val="1"/>
                <w:bCs w:val="1"/>
                <w:color w:val="BF5B5A"/>
              </w:rPr>
              <w:t>COMMITTEES</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Member of the Board of Directors</w:t>
            </w: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Current Director, Chair of the Audit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(October 2020 to present)</w:t>
            </w:r>
          </w:p>
        </w:tc>
        <w:tc>
          <w:tcPr>
            <w:tcW w:w="52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vMerge w:val="restart"/>
          </w:tcPr>
          <w:p>
            <w:pPr>
              <w:ind w:left="80"/>
              <w:spacing w:after="0"/>
              <w:rPr>
                <w:sz w:val="20"/>
                <w:szCs w:val="20"/>
                <w:color w:val="auto"/>
              </w:rPr>
            </w:pPr>
            <w:r>
              <w:rPr>
                <w:rFonts w:ascii="Arial" w:cs="Arial" w:eastAsia="Arial" w:hAnsi="Arial"/>
                <w:sz w:val="16"/>
                <w:szCs w:val="16"/>
                <w:color w:val="BF5B5A"/>
              </w:rPr>
              <w:t>•</w:t>
            </w: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Compensation </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Committee and a Member of the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BANK OF THE WEST</w:t>
            </w:r>
            <w:r>
              <w:rPr>
                <w:rFonts w:ascii="Arial" w:cs="Arial" w:eastAsia="Arial" w:hAnsi="Arial"/>
                <w:sz w:val="16"/>
                <w:szCs w:val="16"/>
                <w:color w:val="auto"/>
              </w:rPr>
              <w:t>, San Francisco,</w:t>
            </w:r>
          </w:p>
        </w:tc>
        <w:tc>
          <w:tcPr>
            <w:tcW w:w="5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0" w:type="dxa"/>
            <w:vAlign w:val="bottom"/>
            <w:vMerge w:val="restart"/>
          </w:tcPr>
          <w:p>
            <w:pPr>
              <w:ind w:left="80"/>
              <w:spacing w:after="0"/>
              <w:rPr>
                <w:sz w:val="20"/>
                <w:szCs w:val="20"/>
                <w:color w:val="auto"/>
              </w:rPr>
            </w:pPr>
            <w:r>
              <w:rPr>
                <w:rFonts w:ascii="Arial" w:cs="Arial" w:eastAsia="Arial" w:hAnsi="Arial"/>
                <w:sz w:val="16"/>
                <w:szCs w:val="16"/>
                <w:color w:val="BF5B5A"/>
              </w:rPr>
              <w:t>•</w:t>
            </w: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Executive and Compensation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color w:val="auto"/>
              </w:rPr>
              <w:t>California</w:t>
            </w:r>
          </w:p>
        </w:tc>
        <w:tc>
          <w:tcPr>
            <w:tcW w:w="520" w:type="dxa"/>
            <w:vAlign w:val="bottom"/>
          </w:tcPr>
          <w:p>
            <w:pPr>
              <w:spacing w:after="0"/>
              <w:rPr>
                <w:sz w:val="17"/>
                <w:szCs w:val="17"/>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Committees of the Board of Directors,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40" w:type="dxa"/>
            <w:vAlign w:val="bottom"/>
          </w:tcPr>
          <w:p>
            <w:pPr>
              <w:ind w:left="60"/>
              <w:spacing w:after="0"/>
              <w:rPr>
                <w:sz w:val="20"/>
                <w:szCs w:val="20"/>
                <w:color w:val="auto"/>
              </w:rPr>
            </w:pPr>
            <w:r>
              <w:rPr>
                <w:rFonts w:ascii="Arial" w:cs="Arial" w:eastAsia="Arial" w:hAnsi="Arial"/>
                <w:sz w:val="16"/>
                <w:szCs w:val="16"/>
                <w:color w:val="auto"/>
              </w:rPr>
              <w:t>Governance and</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Senior Executive Vice President,</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Habitat for Humanity of the Greater Bay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1540" w:type="dxa"/>
            <w:vAlign w:val="bottom"/>
            <w:vMerge w:val="restart"/>
          </w:tcPr>
          <w:p>
            <w:pPr>
              <w:ind w:left="60"/>
              <w:spacing w:after="0"/>
              <w:rPr>
                <w:sz w:val="20"/>
                <w:szCs w:val="20"/>
                <w:color w:val="auto"/>
              </w:rPr>
            </w:pPr>
            <w:r>
              <w:rPr>
                <w:rFonts w:ascii="Arial" w:cs="Arial" w:eastAsia="Arial" w:hAnsi="Arial"/>
                <w:sz w:val="16"/>
                <w:szCs w:val="16"/>
                <w:color w:val="auto"/>
              </w:rPr>
              <w:t>Nominating</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Area</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General Counsel and Corporate</w:t>
            </w:r>
          </w:p>
        </w:tc>
        <w:tc>
          <w:tcPr>
            <w:tcW w:w="5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35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EDUCATION</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Secretary (2006 to October 2020, upon</w:t>
            </w:r>
          </w:p>
        </w:tc>
        <w:tc>
          <w:tcPr>
            <w:tcW w:w="3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18"/>
                <w:szCs w:val="18"/>
                <w:color w:val="auto"/>
              </w:rPr>
            </w:pPr>
          </w:p>
        </w:tc>
        <w:tc>
          <w:tcPr>
            <w:tcW w:w="620" w:type="dxa"/>
            <w:vAlign w:val="bottom"/>
            <w:gridSpan w:val="3"/>
            <w:vMerge w:val="restart"/>
          </w:tcPr>
          <w:p>
            <w:pPr>
              <w:ind w:left="240"/>
              <w:spacing w:after="0"/>
              <w:rPr>
                <w:sz w:val="20"/>
                <w:szCs w:val="20"/>
                <w:color w:val="auto"/>
              </w:rPr>
            </w:pPr>
            <w:r>
              <w:rPr>
                <w:rFonts w:ascii="Arial" w:cs="Arial" w:eastAsia="Arial" w:hAnsi="Arial"/>
                <w:sz w:val="16"/>
                <w:szCs w:val="16"/>
                <w:color w:val="auto"/>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retirement). Served in various</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J.D., University of California Berkeley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capacities, including executive</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School of Law</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responsible for Information and Physical</w:t>
            </w: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Bachelor’s degree, University of North</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Security, Compliance and Corporate</w:t>
            </w:r>
          </w:p>
        </w:tc>
        <w:tc>
          <w:tcPr>
            <w:tcW w:w="520" w:type="dxa"/>
            <w:vAlign w:val="bottom"/>
            <w:vMerge w:val="continue"/>
          </w:tcPr>
          <w:p>
            <w:pPr>
              <w:spacing w:after="0"/>
              <w:rPr>
                <w:sz w:val="10"/>
                <w:szCs w:val="10"/>
                <w:color w:val="auto"/>
              </w:rPr>
            </w:pPr>
          </w:p>
        </w:tc>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Carolina, Chapel Hill</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Social Responsibility.</w:t>
            </w:r>
          </w:p>
        </w:tc>
        <w:tc>
          <w:tcPr>
            <w:tcW w:w="5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35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QUALIFICATIONS</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5"/>
              </w:rPr>
              <w:t>CATELLUS DEVELOPMENT CORPORATION</w:t>
            </w:r>
            <w:r>
              <w:rPr>
                <w:rFonts w:ascii="Arial" w:cs="Arial" w:eastAsia="Arial" w:hAnsi="Arial"/>
                <w:sz w:val="16"/>
                <w:szCs w:val="16"/>
                <w:color w:val="auto"/>
                <w:w w:val="95"/>
              </w:rPr>
              <w:t>,</w:t>
            </w:r>
          </w:p>
        </w:tc>
        <w:tc>
          <w:tcPr>
            <w:tcW w:w="35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gridSpan w:val="2"/>
            <w:vMerge w:val="continue"/>
          </w:tcPr>
          <w:p>
            <w:pPr>
              <w:spacing w:after="0"/>
              <w:rPr>
                <w:sz w:val="8"/>
                <w:szCs w:val="8"/>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Ms. Washington’s over 20 years of</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a publicly traded REIT, San Francisco,</w:t>
            </w:r>
          </w:p>
        </w:tc>
        <w:tc>
          <w:tcPr>
            <w:tcW w:w="520" w:type="dxa"/>
            <w:vAlign w:val="bottom"/>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3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banking industry experience, including</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gridSpan w:val="2"/>
            <w:vMerge w:val="restart"/>
          </w:tcPr>
          <w:p>
            <w:pPr>
              <w:ind w:left="80"/>
              <w:spacing w:after="0"/>
              <w:rPr>
                <w:sz w:val="20"/>
                <w:szCs w:val="20"/>
                <w:color w:val="auto"/>
              </w:rPr>
            </w:pPr>
            <w:r>
              <w:rPr>
                <w:rFonts w:ascii="Arial" w:cs="Arial" w:eastAsia="Arial" w:hAnsi="Arial"/>
                <w:sz w:val="16"/>
                <w:szCs w:val="16"/>
                <w:color w:val="auto"/>
              </w:rPr>
              <w:t>California</w:t>
            </w:r>
          </w:p>
        </w:tc>
        <w:tc>
          <w:tcPr>
            <w:tcW w:w="52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3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16 years in a senior position with a</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General Counsel (2001 to 2005). Also</w:t>
            </w:r>
          </w:p>
        </w:tc>
        <w:tc>
          <w:tcPr>
            <w:tcW w:w="52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major US banking subsidiary of one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responsible for Human Resources,</w:t>
            </w:r>
          </w:p>
        </w:tc>
        <w:tc>
          <w:tcPr>
            <w:tcW w:w="52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the largest banking organizations in the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Compliance and Environmental Groups</w:t>
            </w:r>
          </w:p>
        </w:tc>
        <w:tc>
          <w:tcPr>
            <w:tcW w:w="52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world, as well as her service with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b w:val="1"/>
                <w:bCs w:val="1"/>
                <w:color w:val="auto"/>
              </w:rPr>
              <w:t>CALIFORNIA FEDERAL BANK</w:t>
            </w:r>
            <w:r>
              <w:rPr>
                <w:rFonts w:ascii="Arial" w:cs="Arial" w:eastAsia="Arial" w:hAnsi="Arial"/>
                <w:sz w:val="16"/>
                <w:szCs w:val="16"/>
                <w:color w:val="auto"/>
              </w:rPr>
              <w:t>, San</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publicly traded corporation, provide her</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2"/>
          </w:tcPr>
          <w:p>
            <w:pPr>
              <w:ind w:left="80"/>
              <w:spacing w:after="0"/>
              <w:rPr>
                <w:sz w:val="20"/>
                <w:szCs w:val="20"/>
                <w:color w:val="auto"/>
              </w:rPr>
            </w:pPr>
            <w:r>
              <w:rPr>
                <w:rFonts w:ascii="Arial" w:cs="Arial" w:eastAsia="Arial" w:hAnsi="Arial"/>
                <w:sz w:val="16"/>
                <w:szCs w:val="16"/>
                <w:color w:val="auto"/>
              </w:rPr>
              <w:t>Francisco, California</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with valuable insights and perspective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Senior Vice President, Associate</w:t>
            </w:r>
          </w:p>
        </w:tc>
        <w:tc>
          <w:tcPr>
            <w:tcW w:w="520" w:type="dxa"/>
            <w:vAlign w:val="bottom"/>
          </w:tcPr>
          <w:p>
            <w:pPr>
              <w:spacing w:after="0"/>
              <w:rPr>
                <w:sz w:val="20"/>
                <w:szCs w:val="20"/>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on a number of areas relevant to First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-2932430</wp:posOffset>
            </wp:positionV>
            <wp:extent cx="94615"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-4329430</wp:posOffset>
            </wp:positionV>
            <wp:extent cx="1234440" cy="1062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34440" cy="106299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-2186305</wp:posOffset>
            </wp:positionV>
            <wp:extent cx="1242695" cy="1611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42695" cy="1611630"/>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-4243705</wp:posOffset>
            </wp:positionV>
            <wp:extent cx="10668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tbl>
      <w:tblPr>
        <w:tblLayout w:type="fixed"/>
        <w:tblInd w:w="780" w:type="dxa"/>
        <w:tblCellMar>
          <w:top w:w="0" w:type="dxa"/>
          <w:left w:w="0" w:type="dxa"/>
          <w:bottom w:w="0" w:type="dxa"/>
          <w:right w:w="0" w:type="dxa"/>
        </w:tblCellMar>
      </w:tblPr>
      <w:tr>
        <w:trPr>
          <w:trHeight w:val="215"/>
        </w:trPr>
        <w:tc>
          <w:tcPr>
            <w:tcW w:w="5680" w:type="dxa"/>
            <w:vAlign w:val="bottom"/>
            <w:vMerge w:val="restart"/>
          </w:tcPr>
          <w:p>
            <w:pPr>
              <w:ind w:left="2380"/>
              <w:spacing w:after="0"/>
              <w:rPr>
                <w:sz w:val="20"/>
                <w:szCs w:val="20"/>
                <w:color w:val="auto"/>
              </w:rPr>
            </w:pPr>
            <w:r>
              <w:rPr>
                <w:rFonts w:ascii="Arial" w:cs="Arial" w:eastAsia="Arial" w:hAnsi="Arial"/>
                <w:sz w:val="16"/>
                <w:szCs w:val="16"/>
                <w:color w:val="auto"/>
              </w:rPr>
              <w:t>General Counsel and Secretary (1992 to</w:t>
            </w:r>
          </w:p>
        </w:tc>
        <w:tc>
          <w:tcPr>
            <w:tcW w:w="3500" w:type="dxa"/>
            <w:vAlign w:val="bottom"/>
          </w:tcPr>
          <w:p>
            <w:pPr>
              <w:ind w:left="280"/>
              <w:spacing w:after="0"/>
              <w:rPr>
                <w:sz w:val="20"/>
                <w:szCs w:val="20"/>
                <w:color w:val="auto"/>
              </w:rPr>
            </w:pPr>
            <w:r>
              <w:rPr>
                <w:rFonts w:ascii="Arial" w:cs="Arial" w:eastAsia="Arial" w:hAnsi="Arial"/>
                <w:sz w:val="16"/>
                <w:szCs w:val="16"/>
                <w:color w:val="auto"/>
              </w:rPr>
              <w:t>Hawaiian.</w:t>
            </w:r>
          </w:p>
        </w:tc>
        <w:tc>
          <w:tcPr>
            <w:tcW w:w="0" w:type="dxa"/>
            <w:vAlign w:val="bottom"/>
          </w:tcPr>
          <w:p>
            <w:pPr>
              <w:spacing w:after="0"/>
              <w:rPr>
                <w:sz w:val="1"/>
                <w:szCs w:val="1"/>
                <w:color w:val="auto"/>
              </w:rPr>
            </w:pPr>
          </w:p>
        </w:tc>
      </w:tr>
      <w:tr>
        <w:trPr>
          <w:trHeight w:val="92"/>
        </w:trPr>
        <w:tc>
          <w:tcPr>
            <w:tcW w:w="568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380"/>
              <w:spacing w:after="0"/>
              <w:rPr>
                <w:sz w:val="20"/>
                <w:szCs w:val="20"/>
                <w:color w:val="auto"/>
              </w:rPr>
            </w:pPr>
            <w:r>
              <w:rPr>
                <w:rFonts w:ascii="Arial" w:cs="Arial" w:eastAsia="Arial" w:hAnsi="Arial"/>
                <w:sz w:val="16"/>
                <w:szCs w:val="16"/>
                <w:color w:val="auto"/>
              </w:rPr>
              <w:t>2001); responsible for corporate,</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380"/>
              <w:spacing w:after="0"/>
              <w:rPr>
                <w:sz w:val="20"/>
                <w:szCs w:val="20"/>
                <w:color w:val="auto"/>
              </w:rPr>
            </w:pPr>
            <w:r>
              <w:rPr>
                <w:rFonts w:ascii="Arial" w:cs="Arial" w:eastAsia="Arial" w:hAnsi="Arial"/>
                <w:sz w:val="16"/>
                <w:szCs w:val="16"/>
                <w:color w:val="auto"/>
              </w:rPr>
              <w:t>securities and real estate legal services</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680" w:type="dxa"/>
            <w:vAlign w:val="bottom"/>
            <w:tcBorders>
              <w:bottom w:val="single" w:sz="8" w:color="BF5B5A"/>
            </w:tcBorders>
          </w:tcPr>
          <w:p>
            <w:pPr>
              <w:spacing w:after="0"/>
              <w:rPr>
                <w:sz w:val="16"/>
                <w:szCs w:val="16"/>
                <w:color w:val="auto"/>
              </w:rPr>
            </w:pPr>
          </w:p>
        </w:tc>
        <w:tc>
          <w:tcPr>
            <w:tcW w:w="3500" w:type="dxa"/>
            <w:vAlign w:val="bottom"/>
            <w:tcBorders>
              <w:bottom w:val="single" w:sz="8" w:color="BF5B5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BF5B5A"/>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-1299845</wp:posOffset>
            </wp:positionV>
            <wp:extent cx="1234440" cy="1071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34440" cy="1071880"/>
                    </a:xfrm>
                    <a:prstGeom prst="rect">
                      <a:avLst/>
                    </a:prstGeom>
                    <a:noFill/>
                  </pic:spPr>
                </pic:pic>
              </a:graphicData>
            </a:graphic>
          </wp:anchor>
        </w:drawing>
      </w:r>
    </w:p>
    <w:p>
      <w:pPr>
        <w:spacing w:after="0" w:line="132" w:lineRule="exact"/>
        <w:rPr>
          <w:sz w:val="20"/>
          <w:szCs w:val="20"/>
          <w:color w:val="auto"/>
        </w:rPr>
      </w:pPr>
    </w:p>
    <w:p>
      <w:pPr>
        <w:ind w:left="1020" w:hanging="168"/>
        <w:spacing w:after="0"/>
        <w:tabs>
          <w:tab w:leader="none" w:pos="1020" w:val="left"/>
        </w:tabs>
        <w:numPr>
          <w:ilvl w:val="0"/>
          <w:numId w:val="62"/>
        </w:numPr>
        <w:rPr>
          <w:rFonts w:ascii="Arial" w:cs="Arial" w:eastAsia="Arial" w:hAnsi="Arial"/>
          <w:sz w:val="16"/>
          <w:szCs w:val="16"/>
          <w:color w:val="BF5B5A"/>
        </w:rPr>
      </w:pPr>
      <w:r>
        <w:rPr>
          <w:rFonts w:ascii="Arial" w:cs="Arial" w:eastAsia="Arial" w:hAnsi="Arial"/>
          <w:sz w:val="16"/>
          <w:szCs w:val="16"/>
          <w:color w:val="auto"/>
        </w:rPr>
        <w:t xml:space="preserve">Audit  </w:t>
      </w:r>
      <w:r>
        <w:rPr>
          <w:rFonts w:ascii="Arial" w:cs="Arial" w:eastAsia="Arial" w:hAnsi="Arial"/>
          <w:sz w:val="1"/>
          <w:szCs w:val="1"/>
          <w:color w:val="BF5B5A"/>
        </w:rPr>
        <w:drawing>
          <wp:inline distT="0" distB="0" distL="0" distR="0">
            <wp:extent cx="93980" cy="9398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93980"/>
                    </a:xfrm>
                    <a:prstGeom prst="rect">
                      <a:avLst/>
                    </a:prstGeom>
                    <a:noFill/>
                    <a:ln>
                      <a:noFill/>
                    </a:ln>
                  </pic:spPr>
                </pic:pic>
              </a:graphicData>
            </a:graphic>
          </wp:inline>
        </w:drawing>
      </w:r>
    </w:p>
    <w:p>
      <w:pPr>
        <w:spacing w:after="0" w:line="167" w:lineRule="exact"/>
        <w:rPr>
          <w:rFonts w:ascii="Arial" w:cs="Arial" w:eastAsia="Arial" w:hAnsi="Arial"/>
          <w:sz w:val="16"/>
          <w:szCs w:val="16"/>
          <w:color w:val="BF5B5A"/>
        </w:rPr>
      </w:pPr>
    </w:p>
    <w:p>
      <w:pPr>
        <w:ind w:left="1020" w:hanging="168"/>
        <w:spacing w:after="0"/>
        <w:tabs>
          <w:tab w:leader="none" w:pos="1020" w:val="left"/>
        </w:tabs>
        <w:numPr>
          <w:ilvl w:val="0"/>
          <w:numId w:val="62"/>
        </w:numPr>
        <w:rPr>
          <w:rFonts w:ascii="Arial" w:cs="Arial" w:eastAsia="Arial" w:hAnsi="Arial"/>
          <w:sz w:val="16"/>
          <w:szCs w:val="16"/>
          <w:color w:val="BF5B5A"/>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106680</wp:posOffset>
            </wp:positionV>
            <wp:extent cx="1242695" cy="8655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42695" cy="865505"/>
                    </a:xfrm>
                    <a:prstGeom prst="rect">
                      <a:avLst/>
                    </a:prstGeom>
                    <a:noFill/>
                  </pic:spPr>
                </pic:pic>
              </a:graphicData>
            </a:graphic>
          </wp:anchor>
        </w:drawing>
      </w:r>
    </w:p>
    <w:p>
      <w:pPr>
        <w:spacing w:after="0" w:line="36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0" w:type="dxa"/>
            <w:vAlign w:val="bottom"/>
            <w:shd w:val="clear" w:color="auto" w:fill="BF5B5A"/>
          </w:tcPr>
          <w:p>
            <w:pPr>
              <w:spacing w:after="0"/>
              <w:rPr>
                <w:sz w:val="18"/>
                <w:szCs w:val="18"/>
                <w:color w:val="auto"/>
              </w:rPr>
            </w:pPr>
          </w:p>
        </w:tc>
        <w:tc>
          <w:tcPr>
            <w:tcW w:w="3340" w:type="dxa"/>
            <w:vAlign w:val="bottom"/>
            <w:vMerge w:val="restart"/>
            <w:shd w:val="clear" w:color="auto" w:fill="BF5B5A"/>
          </w:tcPr>
          <w:p>
            <w:pPr>
              <w:ind w:left="80"/>
              <w:spacing w:after="0"/>
              <w:rPr>
                <w:sz w:val="20"/>
                <w:szCs w:val="20"/>
                <w:color w:val="auto"/>
              </w:rPr>
            </w:pPr>
            <w:r>
              <w:rPr>
                <w:rFonts w:ascii="Arial" w:cs="Arial" w:eastAsia="Arial" w:hAnsi="Arial"/>
                <w:sz w:val="29"/>
                <w:szCs w:val="29"/>
                <w:b w:val="1"/>
                <w:bCs w:val="1"/>
                <w:color w:val="FFFFFF"/>
              </w:rPr>
              <w:t>C. Scott Wo</w:t>
            </w:r>
          </w:p>
        </w:tc>
        <w:tc>
          <w:tcPr>
            <w:tcW w:w="520" w:type="dxa"/>
            <w:vAlign w:val="bottom"/>
            <w:shd w:val="clear" w:color="auto" w:fill="BF5B5A"/>
          </w:tcPr>
          <w:p>
            <w:pPr>
              <w:spacing w:after="0"/>
              <w:rPr>
                <w:sz w:val="18"/>
                <w:szCs w:val="18"/>
                <w:color w:val="auto"/>
              </w:rPr>
            </w:pPr>
          </w:p>
        </w:tc>
        <w:tc>
          <w:tcPr>
            <w:tcW w:w="3060" w:type="dxa"/>
            <w:vAlign w:val="bottom"/>
            <w:shd w:val="clear" w:color="auto" w:fill="BF5B5A"/>
          </w:tcPr>
          <w:p>
            <w:pPr>
              <w:ind w:left="2540"/>
              <w:spacing w:after="0"/>
              <w:rPr>
                <w:sz w:val="20"/>
                <w:szCs w:val="20"/>
                <w:color w:val="auto"/>
              </w:rPr>
            </w:pPr>
            <w:r>
              <w:rPr>
                <w:rFonts w:ascii="Arial" w:cs="Arial" w:eastAsia="Arial" w:hAnsi="Arial"/>
                <w:sz w:val="16"/>
                <w:szCs w:val="16"/>
                <w:b w:val="1"/>
                <w:bCs w:val="1"/>
                <w:color w:val="FFFFFF"/>
                <w:w w:val="95"/>
              </w:rPr>
              <w:t>Age 58</w:t>
            </w:r>
          </w:p>
        </w:tc>
        <w:tc>
          <w:tcPr>
            <w:tcW w:w="200" w:type="dxa"/>
            <w:vAlign w:val="bottom"/>
            <w:shd w:val="clear" w:color="auto" w:fill="BF5B5A"/>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6"/>
                <w:szCs w:val="16"/>
                <w:color w:val="auto"/>
              </w:rPr>
              <w:t>​</w:t>
            </w:r>
          </w:p>
        </w:tc>
        <w:tc>
          <w:tcPr>
            <w:tcW w:w="3340" w:type="dxa"/>
            <w:vAlign w:val="bottom"/>
            <w:vMerge w:val="continue"/>
            <w:shd w:val="clear" w:color="auto" w:fill="BF5B5A"/>
          </w:tcPr>
          <w:p>
            <w:pPr>
              <w:spacing w:after="0"/>
              <w:rPr>
                <w:sz w:val="24"/>
                <w:szCs w:val="24"/>
                <w:color w:val="auto"/>
              </w:rPr>
            </w:pPr>
          </w:p>
        </w:tc>
        <w:tc>
          <w:tcPr>
            <w:tcW w:w="520" w:type="dxa"/>
            <w:vAlign w:val="bottom"/>
            <w:shd w:val="clear" w:color="auto" w:fill="BF5B5A"/>
          </w:tcPr>
          <w:p>
            <w:pPr>
              <w:ind w:left="20"/>
              <w:spacing w:after="0"/>
              <w:rPr>
                <w:sz w:val="20"/>
                <w:szCs w:val="20"/>
                <w:color w:val="auto"/>
              </w:rPr>
            </w:pPr>
            <w:r>
              <w:rPr>
                <w:rFonts w:ascii="Arial" w:cs="Arial" w:eastAsia="Arial" w:hAnsi="Arial"/>
                <w:sz w:val="16"/>
                <w:szCs w:val="16"/>
                <w:color w:val="auto"/>
              </w:rPr>
              <w:t>​ ​</w:t>
            </w:r>
          </w:p>
        </w:tc>
        <w:tc>
          <w:tcPr>
            <w:tcW w:w="3260" w:type="dxa"/>
            <w:vAlign w:val="bottom"/>
            <w:gridSpan w:val="2"/>
            <w:shd w:val="clear" w:color="auto" w:fill="BF5B5A"/>
          </w:tcPr>
          <w:p>
            <w:pPr>
              <w:jc w:val="right"/>
              <w:ind w:right="59"/>
              <w:spacing w:after="0" w:line="296" w:lineRule="exact"/>
              <w:rPr>
                <w:sz w:val="20"/>
                <w:szCs w:val="20"/>
                <w:color w:val="auto"/>
              </w:rPr>
            </w:pPr>
            <w:r>
              <w:rPr>
                <w:rFonts w:ascii="Arial" w:cs="Arial" w:eastAsia="Arial" w:hAnsi="Arial"/>
                <w:sz w:val="16"/>
                <w:szCs w:val="16"/>
                <w:b w:val="1"/>
                <w:bCs w:val="1"/>
                <w:color w:val="FFFFFF"/>
              </w:rPr>
              <w:t> Independent Director since 2018</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shd w:val="clear" w:color="auto" w:fill="BF5B5A"/>
          </w:tcPr>
          <w:p>
            <w:pPr>
              <w:spacing w:after="0"/>
              <w:rPr>
                <w:sz w:val="8"/>
                <w:szCs w:val="8"/>
                <w:color w:val="auto"/>
              </w:rPr>
            </w:pPr>
          </w:p>
        </w:tc>
        <w:tc>
          <w:tcPr>
            <w:tcW w:w="3340" w:type="dxa"/>
            <w:vAlign w:val="bottom"/>
            <w:shd w:val="clear" w:color="auto" w:fill="BF5B5A"/>
          </w:tcPr>
          <w:p>
            <w:pPr>
              <w:spacing w:after="0"/>
              <w:rPr>
                <w:sz w:val="8"/>
                <w:szCs w:val="8"/>
                <w:color w:val="auto"/>
              </w:rPr>
            </w:pPr>
          </w:p>
        </w:tc>
        <w:tc>
          <w:tcPr>
            <w:tcW w:w="3580" w:type="dxa"/>
            <w:vAlign w:val="bottom"/>
            <w:gridSpan w:val="2"/>
            <w:shd w:val="clear" w:color="auto" w:fill="BF5B5A"/>
          </w:tcPr>
          <w:p>
            <w:pPr>
              <w:spacing w:after="0"/>
              <w:rPr>
                <w:sz w:val="8"/>
                <w:szCs w:val="8"/>
                <w:color w:val="auto"/>
              </w:rPr>
            </w:pPr>
          </w:p>
        </w:tc>
        <w:tc>
          <w:tcPr>
            <w:tcW w:w="200" w:type="dxa"/>
            <w:vAlign w:val="bottom"/>
            <w:shd w:val="clear" w:color="auto" w:fill="BF5B5A"/>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00" w:type="dxa"/>
            <w:vAlign w:val="bottom"/>
            <w:gridSpan w:val="2"/>
          </w:tcPr>
          <w:p>
            <w:pPr>
              <w:ind w:left="20"/>
              <w:spacing w:after="0" w:line="283"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BACKGROUND</w:t>
            </w: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FIRST HAWAIIAN, INC.</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Ph.D. in Finance, the Anderson School</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restart"/>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Member of the Board of Directors (2018</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at UCLA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Arial" w:cs="Arial" w:eastAsia="Arial" w:hAnsi="Arial"/>
                <w:sz w:val="16"/>
                <w:szCs w:val="16"/>
                <w:color w:val="auto"/>
              </w:rPr>
              <w:t>to present)</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M.B.A., Columbia Business School at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FIRST HAWAIIAN BANK</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Columbia University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Member of the Board of Directors (2014</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Bachelor of Science in Economics, the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Arial" w:cs="Arial" w:eastAsia="Arial" w:hAnsi="Arial"/>
                <w:sz w:val="16"/>
                <w:szCs w:val="16"/>
                <w:color w:val="auto"/>
              </w:rPr>
              <w:t>to present)</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Wharton School at the University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C.S. WO &amp; SONS, LTD.</w:t>
            </w:r>
            <w:r>
              <w:rPr>
                <w:rFonts w:ascii="Arial" w:cs="Arial" w:eastAsia="Arial" w:hAnsi="Arial"/>
                <w:sz w:val="16"/>
                <w:szCs w:val="16"/>
                <w:color w:val="auto"/>
              </w:rPr>
              <w:t>, his family’s home</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Pennsylvania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35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BF5B5A"/>
              </w:rPr>
              <w:t>QUALIFICATIONS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vMerge w:val="restart"/>
          </w:tcPr>
          <w:p>
            <w:pPr>
              <w:ind w:left="80"/>
              <w:spacing w:after="0"/>
              <w:rPr>
                <w:sz w:val="20"/>
                <w:szCs w:val="20"/>
                <w:color w:val="auto"/>
              </w:rPr>
            </w:pPr>
            <w:r>
              <w:rPr>
                <w:rFonts w:ascii="Arial" w:cs="Arial" w:eastAsia="Arial" w:hAnsi="Arial"/>
                <w:sz w:val="16"/>
                <w:szCs w:val="16"/>
                <w:color w:val="auto"/>
              </w:rPr>
              <w:t>furnishings enterprise founded in 1909</w:t>
            </w:r>
          </w:p>
        </w:tc>
        <w:tc>
          <w:tcPr>
            <w:tcW w:w="3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restart"/>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Owner (1981 to present)</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Dr. Wo brings entrepreneurial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business-building skills and experience</w:t>
            </w: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334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8"/>
              </w:rPr>
              <w:t>KUNIA COUNTRY FARMS</w:t>
            </w:r>
            <w:r>
              <w:rPr>
                <w:rFonts w:ascii="Arial" w:cs="Arial" w:eastAsia="Arial" w:hAnsi="Arial"/>
                <w:sz w:val="16"/>
                <w:szCs w:val="16"/>
                <w:color w:val="auto"/>
                <w:w w:val="98"/>
              </w:rPr>
              <w:t>, one of the largest</w:t>
            </w:r>
          </w:p>
        </w:tc>
        <w:tc>
          <w:tcPr>
            <w:tcW w:w="52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to First Hawaiian through his experience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vMerge w:val="restart"/>
          </w:tcPr>
          <w:p>
            <w:pPr>
              <w:ind w:left="80"/>
              <w:spacing w:after="0"/>
              <w:rPr>
                <w:sz w:val="20"/>
                <w:szCs w:val="20"/>
                <w:color w:val="auto"/>
              </w:rPr>
            </w:pPr>
            <w:r>
              <w:rPr>
                <w:rFonts w:ascii="Arial" w:cs="Arial" w:eastAsia="Arial" w:hAnsi="Arial"/>
                <w:sz w:val="16"/>
                <w:szCs w:val="16"/>
                <w:color w:val="auto"/>
              </w:rPr>
              <w:t>aquaponics farms in the State of Hawaii</w:t>
            </w:r>
          </w:p>
        </w:tc>
        <w:tc>
          <w:tcPr>
            <w:tcW w:w="5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as an owner of a large local furniture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vMerge w:val="restart"/>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Partner/Manager (2010 to present)</w:t>
            </w:r>
          </w:p>
        </w:tc>
        <w:tc>
          <w:tcPr>
            <w:tcW w:w="520" w:type="dxa"/>
            <w:vAlign w:val="bottom"/>
          </w:tcPr>
          <w:p>
            <w:pPr>
              <w:spacing w:after="0"/>
              <w:rPr>
                <w:sz w:val="8"/>
                <w:szCs w:val="8"/>
                <w:color w:val="auto"/>
              </w:rPr>
            </w:pPr>
          </w:p>
        </w:tc>
        <w:tc>
          <w:tcPr>
            <w:tcW w:w="30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business.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COLUMBIA BUSINESS SCHOOL</w:t>
            </w:r>
            <w:r>
              <w:rPr>
                <w:rFonts w:ascii="Arial" w:cs="Arial" w:eastAsia="Arial" w:hAnsi="Arial"/>
                <w:sz w:val="16"/>
                <w:szCs w:val="16"/>
                <w:color w:val="auto"/>
              </w:rPr>
              <w:t>, New York</w:t>
            </w:r>
          </w:p>
        </w:tc>
        <w:tc>
          <w:tcPr>
            <w:tcW w:w="520" w:type="dxa"/>
            <w:vAlign w:val="bottom"/>
          </w:tcPr>
          <w:p>
            <w:pPr>
              <w:ind w:left="400"/>
              <w:spacing w:after="0"/>
              <w:rPr>
                <w:sz w:val="20"/>
                <w:szCs w:val="20"/>
                <w:color w:val="auto"/>
              </w:rPr>
            </w:pPr>
            <w:r>
              <w:rPr>
                <w:rFonts w:ascii="Arial" w:cs="Arial" w:eastAsia="Arial" w:hAnsi="Arial"/>
                <w:sz w:val="16"/>
                <w:szCs w:val="16"/>
                <w:color w:val="BF5B5A"/>
              </w:rPr>
              <w:t>•</w:t>
            </w:r>
          </w:p>
        </w:tc>
        <w:tc>
          <w:tcPr>
            <w:tcW w:w="3060" w:type="dxa"/>
            <w:vAlign w:val="bottom"/>
          </w:tcPr>
          <w:p>
            <w:pPr>
              <w:ind w:left="40"/>
              <w:spacing w:after="0"/>
              <w:rPr>
                <w:sz w:val="20"/>
                <w:szCs w:val="20"/>
                <w:color w:val="auto"/>
              </w:rPr>
            </w:pPr>
            <w:r>
              <w:rPr>
                <w:rFonts w:ascii="Arial" w:cs="Arial" w:eastAsia="Arial" w:hAnsi="Arial"/>
                <w:sz w:val="16"/>
                <w:szCs w:val="16"/>
                <w:color w:val="auto"/>
              </w:rPr>
              <w:t>In addition, through his education and</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6"/>
                <w:szCs w:val="16"/>
                <w:color w:val="auto"/>
              </w:rPr>
              <w:t>City</w:t>
            </w:r>
          </w:p>
        </w:tc>
        <w:tc>
          <w:tcPr>
            <w:tcW w:w="520" w:type="dxa"/>
            <w:vAlign w:val="bottom"/>
          </w:tcPr>
          <w:p>
            <w:pPr>
              <w:spacing w:after="0"/>
              <w:rPr>
                <w:sz w:val="18"/>
                <w:szCs w:val="18"/>
                <w:color w:val="auto"/>
              </w:rPr>
            </w:pPr>
          </w:p>
        </w:tc>
        <w:tc>
          <w:tcPr>
            <w:tcW w:w="3060" w:type="dxa"/>
            <w:vAlign w:val="bottom"/>
            <w:vMerge w:val="restart"/>
          </w:tcPr>
          <w:p>
            <w:pPr>
              <w:ind w:left="40"/>
              <w:spacing w:after="0"/>
              <w:rPr>
                <w:sz w:val="20"/>
                <w:szCs w:val="20"/>
                <w:color w:val="auto"/>
              </w:rPr>
            </w:pPr>
            <w:r>
              <w:rPr>
                <w:rFonts w:ascii="Arial" w:cs="Arial" w:eastAsia="Arial" w:hAnsi="Arial"/>
                <w:sz w:val="16"/>
                <w:szCs w:val="16"/>
                <w:color w:val="auto"/>
              </w:rPr>
              <w:t>experience as an Adjunct Professor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Adjunct Professor of Management (2018</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Management at Columbia Business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Arial" w:cs="Arial" w:eastAsia="Arial" w:hAnsi="Arial"/>
                <w:sz w:val="16"/>
                <w:szCs w:val="16"/>
                <w:color w:val="auto"/>
              </w:rPr>
              <w:t>to present)</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School, Dr. Wo has developed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vMerge w:val="restart"/>
          </w:tcPr>
          <w:p>
            <w:pPr>
              <w:spacing w:after="0"/>
              <w:rPr>
                <w:sz w:val="20"/>
                <w:szCs w:val="20"/>
                <w:color w:val="auto"/>
              </w:rPr>
            </w:pPr>
            <w:r>
              <w:rPr>
                <w:rFonts w:ascii="Arial" w:cs="Arial" w:eastAsia="Arial" w:hAnsi="Arial"/>
                <w:sz w:val="16"/>
                <w:szCs w:val="16"/>
                <w:b w:val="1"/>
                <w:bCs w:val="1"/>
                <w:color w:val="BF5B5A"/>
              </w:rPr>
              <w:t>OTHER ENGAGEMENTS</w:t>
            </w:r>
          </w:p>
        </w:tc>
        <w:tc>
          <w:tcPr>
            <w:tcW w:w="520" w:type="dxa"/>
            <w:vAlign w:val="bottom"/>
          </w:tcPr>
          <w:p>
            <w:pPr>
              <w:spacing w:after="0"/>
              <w:rPr>
                <w:sz w:val="18"/>
                <w:szCs w:val="18"/>
                <w:color w:val="auto"/>
              </w:rPr>
            </w:pPr>
          </w:p>
        </w:tc>
        <w:tc>
          <w:tcPr>
            <w:tcW w:w="3060" w:type="dxa"/>
            <w:vAlign w:val="bottom"/>
          </w:tcPr>
          <w:p>
            <w:pPr>
              <w:ind w:left="40"/>
              <w:spacing w:after="0"/>
              <w:rPr>
                <w:sz w:val="20"/>
                <w:szCs w:val="20"/>
                <w:color w:val="auto"/>
              </w:rPr>
            </w:pPr>
            <w:r>
              <w:rPr>
                <w:rFonts w:ascii="Arial" w:cs="Arial" w:eastAsia="Arial" w:hAnsi="Arial"/>
                <w:sz w:val="16"/>
                <w:szCs w:val="16"/>
                <w:color w:val="auto"/>
              </w:rPr>
              <w:t>outstanding business, finance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60" w:type="dxa"/>
            <w:vAlign w:val="bottom"/>
            <w:vMerge w:val="restart"/>
          </w:tcPr>
          <w:p>
            <w:pPr>
              <w:ind w:left="40"/>
              <w:spacing w:after="0" w:line="180" w:lineRule="exact"/>
              <w:rPr>
                <w:sz w:val="20"/>
                <w:szCs w:val="20"/>
                <w:color w:val="auto"/>
              </w:rPr>
            </w:pPr>
            <w:r>
              <w:rPr>
                <w:rFonts w:ascii="Arial" w:cs="Arial" w:eastAsia="Arial" w:hAnsi="Arial"/>
                <w:sz w:val="16"/>
                <w:szCs w:val="16"/>
                <w:color w:val="auto"/>
              </w:rPr>
              <w:t>accounting skills that he brings to his</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-3232150</wp:posOffset>
            </wp:positionV>
            <wp:extent cx="106680" cy="1028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6680" cy="10287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01"/>
        </w:trPr>
        <w:tc>
          <w:tcPr>
            <w:tcW w:w="3220" w:type="dxa"/>
            <w:vAlign w:val="bottom"/>
          </w:tcPr>
          <w:p>
            <w:pPr>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Current Finance Committee Chair,</w:t>
            </w:r>
          </w:p>
        </w:tc>
        <w:tc>
          <w:tcPr>
            <w:tcW w:w="2700" w:type="dxa"/>
            <w:vAlign w:val="bottom"/>
            <w:vMerge w:val="restart"/>
          </w:tcPr>
          <w:p>
            <w:pPr>
              <w:ind w:left="520"/>
              <w:spacing w:after="0"/>
              <w:rPr>
                <w:sz w:val="20"/>
                <w:szCs w:val="20"/>
                <w:color w:val="auto"/>
              </w:rPr>
            </w:pPr>
            <w:r>
              <w:rPr>
                <w:rFonts w:ascii="Arial" w:cs="Arial" w:eastAsia="Arial" w:hAnsi="Arial"/>
                <w:sz w:val="16"/>
                <w:szCs w:val="16"/>
                <w:color w:val="auto"/>
              </w:rPr>
              <w:t>service on the Audit and Risk</w:t>
            </w:r>
          </w:p>
        </w:tc>
        <w:tc>
          <w:tcPr>
            <w:tcW w:w="0" w:type="dxa"/>
            <w:vAlign w:val="bottom"/>
          </w:tcPr>
          <w:p>
            <w:pPr>
              <w:spacing w:after="0"/>
              <w:rPr>
                <w:sz w:val="1"/>
                <w:szCs w:val="1"/>
                <w:color w:val="auto"/>
              </w:rPr>
            </w:pPr>
          </w:p>
        </w:tc>
      </w:tr>
      <w:tr>
        <w:trPr>
          <w:trHeight w:val="52"/>
        </w:trPr>
        <w:tc>
          <w:tcPr>
            <w:tcW w:w="3220" w:type="dxa"/>
            <w:vAlign w:val="bottom"/>
            <w:vMerge w:val="restart"/>
          </w:tcPr>
          <w:p>
            <w:pPr>
              <w:ind w:left="160"/>
              <w:spacing w:after="0"/>
              <w:rPr>
                <w:sz w:val="20"/>
                <w:szCs w:val="20"/>
                <w:color w:val="auto"/>
              </w:rPr>
            </w:pPr>
            <w:r>
              <w:rPr>
                <w:rFonts w:ascii="Arial" w:cs="Arial" w:eastAsia="Arial" w:hAnsi="Arial"/>
                <w:sz w:val="16"/>
                <w:szCs w:val="16"/>
                <w:color w:val="auto"/>
              </w:rPr>
              <w:t>Takitani Foundation</w:t>
            </w: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220" w:type="dxa"/>
            <w:vAlign w:val="bottom"/>
            <w:vMerge w:val="continue"/>
          </w:tcPr>
          <w:p>
            <w:pPr>
              <w:spacing w:after="0"/>
              <w:rPr>
                <w:sz w:val="14"/>
                <w:szCs w:val="14"/>
                <w:color w:val="auto"/>
              </w:rPr>
            </w:pPr>
          </w:p>
        </w:tc>
        <w:tc>
          <w:tcPr>
            <w:tcW w:w="2700" w:type="dxa"/>
            <w:vAlign w:val="bottom"/>
            <w:vMerge w:val="restart"/>
          </w:tcPr>
          <w:p>
            <w:pPr>
              <w:ind w:left="520"/>
              <w:spacing w:after="0"/>
              <w:rPr>
                <w:sz w:val="20"/>
                <w:szCs w:val="20"/>
                <w:color w:val="auto"/>
              </w:rPr>
            </w:pPr>
            <w:r>
              <w:rPr>
                <w:rFonts w:ascii="Arial" w:cs="Arial" w:eastAsia="Arial" w:hAnsi="Arial"/>
                <w:sz w:val="16"/>
                <w:szCs w:val="16"/>
                <w:color w:val="auto"/>
              </w:rPr>
              <w:t>Committees.</w:t>
            </w:r>
          </w:p>
        </w:tc>
        <w:tc>
          <w:tcPr>
            <w:tcW w:w="0" w:type="dxa"/>
            <w:vAlign w:val="bottom"/>
          </w:tcPr>
          <w:p>
            <w:pPr>
              <w:spacing w:after="0"/>
              <w:rPr>
                <w:sz w:val="1"/>
                <w:szCs w:val="1"/>
                <w:color w:val="auto"/>
              </w:rPr>
            </w:pPr>
          </w:p>
        </w:tc>
      </w:tr>
      <w:tr>
        <w:trPr>
          <w:trHeight w:val="53"/>
        </w:trPr>
        <w:tc>
          <w:tcPr>
            <w:tcW w:w="32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20" w:right="3880" w:hanging="152"/>
        <w:spacing w:after="0" w:line="301" w:lineRule="auto"/>
        <w:tabs>
          <w:tab w:leader="none" w:pos="420" w:val="left"/>
        </w:tabs>
        <w:numPr>
          <w:ilvl w:val="0"/>
          <w:numId w:val="63"/>
        </w:numPr>
        <w:rPr>
          <w:rFonts w:ascii="Arial" w:cs="Arial" w:eastAsia="Arial" w:hAnsi="Arial"/>
          <w:sz w:val="16"/>
          <w:szCs w:val="16"/>
          <w:color w:val="BF5B5A"/>
        </w:rPr>
      </w:pPr>
      <w:r>
        <w:rPr>
          <w:rFonts w:ascii="Arial" w:cs="Arial" w:eastAsia="Arial" w:hAnsi="Arial"/>
          <w:sz w:val="16"/>
          <w:szCs w:val="16"/>
          <w:color w:val="auto"/>
        </w:rPr>
        <w:t>Current member of the Advisory Board, American Red Cross, Hawaii State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92075</wp:posOffset>
            </wp:positionV>
            <wp:extent cx="5829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7220"/>
          </w:cols>
          <w:pgMar w:left="580" w:top="97" w:right="1359" w:bottom="1440" w:gutter="0" w:footer="0" w:header="0"/>
          <w:type w:val="continuous"/>
        </w:sectPr>
      </w:pPr>
    </w:p>
    <w:p>
      <w:pPr>
        <w:spacing w:after="0" w:line="231"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auto"/>
        </w:rPr>
        <w:t>BOARD OF DIRECTORS, COMMITTEES AND GOVERNANCE</w:t>
      </w:r>
    </w:p>
    <w:p>
      <w:pPr>
        <w:sectPr>
          <w:pgSz w:w="11900" w:h="16838" w:orient="portrait"/>
          <w:cols w:equalWidth="0" w:num="1">
            <w:col w:w="9960"/>
          </w:cols>
          <w:pgMar w:left="580" w:top="97" w:right="1359" w:bottom="1440" w:gutter="0" w:footer="0" w:header="0"/>
          <w:type w:val="continuous"/>
        </w:sectPr>
      </w:pPr>
    </w:p>
    <w:p>
      <w:pPr>
        <w:spacing w:after="0" w:line="281" w:lineRule="exact"/>
        <w:rPr>
          <w:sz w:val="20"/>
          <w:szCs w:val="20"/>
          <w:color w:val="auto"/>
        </w:rPr>
      </w:pPr>
    </w:p>
    <w:p>
      <w:pPr>
        <w:ind w:left="780"/>
        <w:spacing w:after="0" w:line="285" w:lineRule="auto"/>
        <w:rPr>
          <w:sz w:val="20"/>
          <w:szCs w:val="20"/>
          <w:color w:val="auto"/>
        </w:rPr>
      </w:pPr>
      <w:r>
        <w:rPr>
          <w:rFonts w:ascii="Arial" w:cs="Arial" w:eastAsia="Arial" w:hAnsi="Arial"/>
          <w:sz w:val="18"/>
          <w:szCs w:val="18"/>
          <w:color w:val="auto"/>
        </w:rPr>
        <w:t>Our Board provides oversight with respect to our overall performance, strategic direction and key corporate policies. It approves major initiatives, advises on key financial and business objectives and monitors progress with respect to these matters. Members of the Board are kept informed of our business by various reports and documents provided to them on a regular basis, including operating and financial reports and audit reports made at Board and committee meetings by our Chief Executive Officer, Chief Financial Officer, Chief Risk Officer and other officers.</w:t>
      </w:r>
    </w:p>
    <w:p>
      <w:pPr>
        <w:spacing w:after="0" w:line="115" w:lineRule="exact"/>
        <w:rPr>
          <w:sz w:val="20"/>
          <w:szCs w:val="20"/>
          <w:color w:val="auto"/>
        </w:rPr>
      </w:pPr>
    </w:p>
    <w:p>
      <w:pPr>
        <w:ind w:left="780"/>
        <w:spacing w:after="0" w:line="287" w:lineRule="auto"/>
        <w:rPr>
          <w:sz w:val="20"/>
          <w:szCs w:val="20"/>
          <w:color w:val="auto"/>
        </w:rPr>
      </w:pPr>
      <w:r>
        <w:rPr>
          <w:rFonts w:ascii="Arial" w:cs="Arial" w:eastAsia="Arial" w:hAnsi="Arial"/>
          <w:sz w:val="18"/>
          <w:szCs w:val="18"/>
          <w:color w:val="auto"/>
        </w:rPr>
        <w:t>The Board has four standing committees, the principal responsibilities of which are described below under the section entitled “—</w:t>
      </w:r>
      <w:r>
        <w:rPr>
          <w:rFonts w:ascii="Arial" w:cs="Arial" w:eastAsia="Arial" w:hAnsi="Arial"/>
          <w:sz w:val="18"/>
          <w:szCs w:val="18"/>
          <w:i w:val="1"/>
          <w:iCs w:val="1"/>
          <w:color w:val="auto"/>
        </w:rPr>
        <w:t>Committees of</w:t>
      </w:r>
      <w:r>
        <w:rPr>
          <w:rFonts w:ascii="Arial" w:cs="Arial" w:eastAsia="Arial" w:hAnsi="Arial"/>
          <w:sz w:val="18"/>
          <w:szCs w:val="18"/>
          <w:color w:val="auto"/>
        </w:rPr>
        <w:t xml:space="preserve"> </w:t>
      </w:r>
      <w:r>
        <w:rPr>
          <w:rFonts w:ascii="Arial" w:cs="Arial" w:eastAsia="Arial" w:hAnsi="Arial"/>
          <w:sz w:val="18"/>
          <w:szCs w:val="18"/>
          <w:i w:val="1"/>
          <w:iCs w:val="1"/>
          <w:color w:val="auto"/>
        </w:rPr>
        <w:t>Our Board of Directors</w:t>
      </w:r>
      <w:r>
        <w:rPr>
          <w:rFonts w:ascii="Arial" w:cs="Arial" w:eastAsia="Arial" w:hAnsi="Arial"/>
          <w:sz w:val="18"/>
          <w:szCs w:val="18"/>
          <w:color w:val="auto"/>
        </w:rPr>
        <w:t>.” Additionally,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meet in regularly scheduled executive sessions, without First Hawaiian management present, at each regularly scheduled meeting of the Board.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Meetings</w:t>
      </w:r>
    </w:p>
    <w:p>
      <w:pPr>
        <w:spacing w:after="0" w:line="177" w:lineRule="exact"/>
        <w:rPr>
          <w:sz w:val="20"/>
          <w:szCs w:val="20"/>
          <w:color w:val="auto"/>
        </w:rPr>
      </w:pPr>
    </w:p>
    <w:p>
      <w:pPr>
        <w:ind w:left="20" w:right="100"/>
        <w:spacing w:after="0" w:line="278" w:lineRule="auto"/>
        <w:rPr>
          <w:sz w:val="20"/>
          <w:szCs w:val="20"/>
          <w:color w:val="auto"/>
        </w:rPr>
      </w:pPr>
      <w:r>
        <w:rPr>
          <w:rFonts w:ascii="Arial" w:cs="Arial" w:eastAsia="Arial" w:hAnsi="Arial"/>
          <w:sz w:val="18"/>
          <w:szCs w:val="18"/>
          <w:color w:val="auto"/>
        </w:rPr>
        <w:t>The Board met nine times in 2023. Each member of the Board attended more than 75% of the total number of meetings of the Board and the committees on which he or she served. We strongly encourage, but do not require, the members of our Board to attend annual meetings of our stockholders. All director nominees of the Board attended our 2023 annual meeting of stockholders.</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Director Independence</w:t>
      </w:r>
    </w:p>
    <w:p>
      <w:pPr>
        <w:spacing w:after="0" w:line="177"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Our common stock is listed on NASDAQ and, as a result, we are subject to the corporate governance listing standards of the exchange. The NASDAQ corporate governance standards generally require a majority of independent directors on the board of directors and fully independent audit, nominating and compensation committees.</w:t>
      </w:r>
    </w:p>
    <w:p>
      <w:pPr>
        <w:spacing w:after="0" w:line="233" w:lineRule="exact"/>
        <w:rPr>
          <w:sz w:val="20"/>
          <w:szCs w:val="20"/>
          <w:color w:val="auto"/>
        </w:rPr>
      </w:pPr>
    </w:p>
    <w:p>
      <w:pPr>
        <w:sectPr>
          <w:pgSz w:w="11900" w:h="16838" w:orient="portrait"/>
          <w:cols w:equalWidth="0" w:num="2">
            <w:col w:w="5120" w:space="480"/>
            <w:col w:w="4360"/>
          </w:cols>
          <w:pgMar w:left="580" w:top="97" w:right="135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25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277"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Our Board consists of nine directors, eight of whom are independent. A director is independent if the Board affirmatively determines that he or she satisfies the independence standards set forth in the applicable rules of NASDAQ, has no material relationship with the Company that would interfere with the exercise of independent judgment in carrying out the responsibilities of a director and is independent within the meaning of Rule 10A-3 of the Exchange Act of 1934, as amended (the “Exchange Act”). The Board has reviewed the independence of our current non-employee directors and has determined that each of Michael K. Fujimoto,</w:t>
      </w:r>
    </w:p>
    <w:p>
      <w:pPr>
        <w:spacing w:after="0" w:line="1" w:lineRule="exact"/>
        <w:rPr>
          <w:sz w:val="20"/>
          <w:szCs w:val="20"/>
          <w:color w:val="auto"/>
        </w:rPr>
      </w:pPr>
    </w:p>
    <w:p>
      <w:pPr>
        <w:ind w:left="780" w:right="80"/>
        <w:spacing w:after="0" w:line="262" w:lineRule="auto"/>
        <w:rPr>
          <w:sz w:val="20"/>
          <w:szCs w:val="20"/>
          <w:color w:val="auto"/>
        </w:rPr>
      </w:pPr>
      <w:r>
        <w:rPr>
          <w:rFonts w:ascii="Arial" w:cs="Arial" w:eastAsia="Arial" w:hAnsi="Arial"/>
          <w:sz w:val="18"/>
          <w:szCs w:val="18"/>
          <w:color w:val="auto"/>
        </w:rPr>
        <w:t>Faye W. Kurren, James S. Moffatt, Mark M. Mugiishi, Kelly A. Thompson, Allen B. Uyeda, Vanessa L. Washington and C. Scott Wo is an independent director. In determining the independence of its directors, the Board considered transactions, relationships and arrangements between the Company and its directors, the details of which are not required to be disclosed in this Proxy Statement pursuant to Item 404(a) of Regulation S-K. In addition,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determining the independence of its directors, the Board considered that certain businesses in which Mr. Fujimoto has a material interest, particularly Hawaii Planing Mill, Ltd. dba HPM Building Supply, certain businesses in which Dr. Wo has a material interest, specifically C.S. Wo &amp; Sons, Ltd. and Kunia Country Farms, and certain businesses in which Dr. Mugiishi has a material interest, specifically, Hawaii Medical Service Association, have loans that were made by the Bank in the ordinary course of business, on substantially the same terms, including interest rates and collateral, as those prevailing at the time for comparable loans with persons not related to the lender, and that did not involve more than the normal risk of collectability or present other unfavorable features. The Board also considered that Dr. Mugiishi serves as an executive officer of an entity on whose board of directors Mr. Harrison serves as Chairman, and has determined that this relationship does not affect our Board’s determination of director independence.</w:t>
      </w:r>
    </w:p>
    <w:p>
      <w:pPr>
        <w:spacing w:after="0" w:line="259" w:lineRule="exact"/>
        <w:rPr>
          <w:sz w:val="20"/>
          <w:szCs w:val="20"/>
          <w:color w:val="auto"/>
        </w:rPr>
      </w:pPr>
    </w:p>
    <w:p>
      <w:pPr>
        <w:sectPr>
          <w:pgSz w:w="11900" w:h="16838" w:orient="portrait"/>
          <w:cols w:equalWidth="0" w:num="2">
            <w:col w:w="5120" w:space="500"/>
            <w:col w:w="4400"/>
          </w:cols>
          <w:pgMar w:left="580" w:top="97" w:right="1299" w:bottom="1440" w:gutter="0" w:footer="0" w:header="0"/>
        </w:sectPr>
      </w:pPr>
    </w:p>
    <w:p>
      <w:pPr>
        <w:spacing w:after="0" w:line="36"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Board Leadership Structure and Qualifications</w:t>
      </w:r>
    </w:p>
    <w:p>
      <w:pPr>
        <w:spacing w:after="0" w:line="323"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380" w:type="dxa"/>
            <w:vAlign w:val="bottom"/>
            <w:shd w:val="clear" w:color="auto" w:fill="BF5B5A"/>
          </w:tcPr>
          <w:p>
            <w:pPr>
              <w:spacing w:after="0"/>
              <w:rPr>
                <w:sz w:val="16"/>
                <w:szCs w:val="16"/>
                <w:color w:val="auto"/>
              </w:rPr>
            </w:pPr>
          </w:p>
        </w:tc>
        <w:tc>
          <w:tcPr>
            <w:tcW w:w="3960" w:type="dxa"/>
            <w:vAlign w:val="bottom"/>
            <w:shd w:val="clear" w:color="auto" w:fill="BF5B5A"/>
          </w:tcPr>
          <w:p>
            <w:pPr>
              <w:jc w:val="center"/>
              <w:ind w:right="513"/>
              <w:spacing w:after="0"/>
              <w:rPr>
                <w:sz w:val="20"/>
                <w:szCs w:val="20"/>
                <w:color w:val="auto"/>
              </w:rPr>
            </w:pPr>
            <w:r>
              <w:rPr>
                <w:rFonts w:ascii="Arial" w:cs="Arial" w:eastAsia="Arial" w:hAnsi="Arial"/>
                <w:sz w:val="16"/>
                <w:szCs w:val="16"/>
                <w:b w:val="1"/>
                <w:bCs w:val="1"/>
                <w:color w:val="FFFFFF"/>
                <w:w w:val="93"/>
              </w:rPr>
              <w:t>Chief Executive Officer and President</w:t>
            </w:r>
          </w:p>
        </w:tc>
        <w:tc>
          <w:tcPr>
            <w:tcW w:w="480" w:type="dxa"/>
            <w:vAlign w:val="bottom"/>
          </w:tcPr>
          <w:p>
            <w:pPr>
              <w:spacing w:after="0"/>
              <w:rPr>
                <w:sz w:val="16"/>
                <w:szCs w:val="16"/>
                <w:color w:val="auto"/>
              </w:rPr>
            </w:pPr>
          </w:p>
        </w:tc>
        <w:tc>
          <w:tcPr>
            <w:tcW w:w="580" w:type="dxa"/>
            <w:vAlign w:val="bottom"/>
            <w:shd w:val="clear" w:color="auto" w:fill="BF5B5A"/>
          </w:tcPr>
          <w:p>
            <w:pPr>
              <w:spacing w:after="0"/>
              <w:rPr>
                <w:sz w:val="16"/>
                <w:szCs w:val="16"/>
                <w:color w:val="auto"/>
              </w:rPr>
            </w:pPr>
          </w:p>
        </w:tc>
        <w:tc>
          <w:tcPr>
            <w:tcW w:w="3780" w:type="dxa"/>
            <w:vAlign w:val="bottom"/>
            <w:shd w:val="clear" w:color="auto" w:fill="BF5B5A"/>
          </w:tcPr>
          <w:p>
            <w:pPr>
              <w:ind w:left="1460"/>
              <w:spacing w:after="0"/>
              <w:rPr>
                <w:sz w:val="20"/>
                <w:szCs w:val="20"/>
                <w:color w:val="auto"/>
              </w:rPr>
            </w:pPr>
            <w:r>
              <w:rPr>
                <w:rFonts w:ascii="Arial" w:cs="Arial" w:eastAsia="Arial" w:hAnsi="Arial"/>
                <w:sz w:val="16"/>
                <w:szCs w:val="16"/>
                <w:b w:val="1"/>
                <w:bCs w:val="1"/>
                <w:color w:val="FFFFFF"/>
              </w:rPr>
              <w:t> </w:t>
            </w:r>
          </w:p>
        </w:tc>
        <w:tc>
          <w:tcPr>
            <w:tcW w:w="60" w:type="dxa"/>
            <w:vAlign w:val="bottom"/>
          </w:tcPr>
          <w:p>
            <w:pPr>
              <w:spacing w:after="0"/>
              <w:rPr>
                <w:sz w:val="16"/>
                <w:szCs w:val="16"/>
                <w:color w:val="auto"/>
              </w:rPr>
            </w:pPr>
          </w:p>
        </w:tc>
      </w:tr>
      <w:tr>
        <w:trPr>
          <w:trHeight w:val="256"/>
        </w:trPr>
        <w:tc>
          <w:tcPr>
            <w:tcW w:w="3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3960" w:type="dxa"/>
            <w:vAlign w:val="bottom"/>
            <w:shd w:val="clear" w:color="auto" w:fill="BF5B5A"/>
          </w:tcPr>
          <w:p>
            <w:pPr>
              <w:jc w:val="center"/>
              <w:ind w:right="473"/>
              <w:spacing w:after="0"/>
              <w:rPr>
                <w:sz w:val="20"/>
                <w:szCs w:val="20"/>
                <w:color w:val="auto"/>
              </w:rPr>
            </w:pPr>
            <w:r>
              <w:rPr>
                <w:rFonts w:ascii="Arial" w:cs="Arial" w:eastAsia="Arial" w:hAnsi="Arial"/>
                <w:sz w:val="16"/>
                <w:szCs w:val="16"/>
                <w:b w:val="1"/>
                <w:bCs w:val="1"/>
                <w:color w:val="FFFFFF"/>
                <w:w w:val="95"/>
              </w:rPr>
              <w:t>and Chairman of the Board</w:t>
            </w:r>
          </w:p>
        </w:tc>
        <w:tc>
          <w:tcPr>
            <w:tcW w:w="480" w:type="dxa"/>
            <w:vAlign w:val="bottom"/>
          </w:tcPr>
          <w:p>
            <w:pPr>
              <w:spacing w:after="0"/>
              <w:rPr>
                <w:sz w:val="20"/>
                <w:szCs w:val="20"/>
                <w:color w:val="auto"/>
              </w:rPr>
            </w:pPr>
            <w:r>
              <w:rPr>
                <w:rFonts w:ascii="Arial" w:cs="Arial" w:eastAsia="Arial" w:hAnsi="Arial"/>
                <w:sz w:val="16"/>
                <w:szCs w:val="16"/>
                <w:b w:val="1"/>
                <w:bCs w:val="1"/>
                <w:color w:val="FFFFFF"/>
              </w:rPr>
              <w:t>​</w:t>
            </w:r>
          </w:p>
        </w:tc>
        <w:tc>
          <w:tcPr>
            <w:tcW w:w="580" w:type="dxa"/>
            <w:vAlign w:val="bottom"/>
            <w:tcBorders>
              <w:bottom w:val="single" w:sz="8" w:color="BF5B5A"/>
            </w:tcBorders>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3780" w:type="dxa"/>
            <w:vAlign w:val="bottom"/>
            <w:tcBorders>
              <w:bottom w:val="single" w:sz="8" w:color="BF5B5A"/>
            </w:tcBorders>
            <w:shd w:val="clear" w:color="auto" w:fill="BF5B5A"/>
          </w:tcPr>
          <w:p>
            <w:pPr>
              <w:ind w:left="560"/>
              <w:spacing w:after="0"/>
              <w:rPr>
                <w:sz w:val="20"/>
                <w:szCs w:val="20"/>
                <w:color w:val="auto"/>
              </w:rPr>
            </w:pPr>
            <w:r>
              <w:rPr>
                <w:rFonts w:ascii="Arial" w:cs="Arial" w:eastAsia="Arial" w:hAnsi="Arial"/>
                <w:sz w:val="16"/>
                <w:szCs w:val="16"/>
                <w:b w:val="1"/>
                <w:bCs w:val="1"/>
                <w:color w:val="FFFFFF"/>
              </w:rPr>
              <w:t>Lead Independent Director</w:t>
            </w:r>
          </w:p>
        </w:tc>
        <w:tc>
          <w:tcPr>
            <w:tcW w:w="60" w:type="dxa"/>
            <w:vAlign w:val="bottom"/>
          </w:tcPr>
          <w:p>
            <w:pPr>
              <w:spacing w:after="0"/>
              <w:rPr>
                <w:sz w:val="20"/>
                <w:szCs w:val="20"/>
                <w:color w:val="auto"/>
              </w:rPr>
            </w:pPr>
            <w:r>
              <w:rPr>
                <w:rFonts w:ascii="Arial" w:cs="Arial" w:eastAsia="Arial" w:hAnsi="Arial"/>
                <w:sz w:val="16"/>
                <w:szCs w:val="16"/>
                <w:b w:val="1"/>
                <w:bCs w:val="1"/>
                <w:color w:val="FFFFFF"/>
              </w:rPr>
              <w:t>​</w:t>
            </w:r>
          </w:p>
        </w:tc>
      </w:tr>
      <w:tr>
        <w:trPr>
          <w:trHeight w:val="284"/>
        </w:trPr>
        <w:tc>
          <w:tcPr>
            <w:tcW w:w="380" w:type="dxa"/>
            <w:vAlign w:val="bottom"/>
            <w:tcBorders>
              <w:bottom w:val="single" w:sz="8" w:color="BF5B5A"/>
            </w:tcBorders>
          </w:tcPr>
          <w:p>
            <w:pPr>
              <w:spacing w:after="0"/>
              <w:rPr>
                <w:sz w:val="20"/>
                <w:szCs w:val="20"/>
                <w:color w:val="auto"/>
              </w:rPr>
            </w:pPr>
            <w:r>
              <w:rPr>
                <w:rFonts w:ascii="Arial" w:cs="Arial" w:eastAsia="Arial" w:hAnsi="Arial"/>
                <w:sz w:val="20"/>
                <w:szCs w:val="20"/>
                <w:b w:val="1"/>
                <w:bCs w:val="1"/>
                <w:color w:val="auto"/>
              </w:rPr>
              <w:t>​</w:t>
            </w:r>
          </w:p>
        </w:tc>
        <w:tc>
          <w:tcPr>
            <w:tcW w:w="3960" w:type="dxa"/>
            <w:vAlign w:val="bottom"/>
            <w:tcBorders>
              <w:bottom w:val="single" w:sz="8" w:color="BF5B5A"/>
            </w:tcBorders>
          </w:tcPr>
          <w:p>
            <w:pPr>
              <w:ind w:left="680"/>
              <w:spacing w:after="0"/>
              <w:rPr>
                <w:sz w:val="20"/>
                <w:szCs w:val="20"/>
                <w:color w:val="auto"/>
              </w:rPr>
            </w:pPr>
            <w:r>
              <w:rPr>
                <w:rFonts w:ascii="Arial" w:cs="Arial" w:eastAsia="Arial" w:hAnsi="Arial"/>
                <w:sz w:val="20"/>
                <w:szCs w:val="20"/>
                <w:b w:val="1"/>
                <w:bCs w:val="1"/>
                <w:color w:val="auto"/>
              </w:rPr>
              <w:t>​ ​ Robert S. Harrison</w:t>
            </w:r>
          </w:p>
        </w:tc>
        <w:tc>
          <w:tcPr>
            <w:tcW w:w="480" w:type="dxa"/>
            <w:vAlign w:val="bottom"/>
          </w:tcPr>
          <w:p>
            <w:pPr>
              <w:spacing w:after="0"/>
              <w:rPr>
                <w:sz w:val="20"/>
                <w:szCs w:val="20"/>
                <w:color w:val="auto"/>
              </w:rPr>
            </w:pPr>
            <w:r>
              <w:rPr>
                <w:rFonts w:ascii="Arial" w:cs="Arial" w:eastAsia="Arial" w:hAnsi="Arial"/>
                <w:sz w:val="20"/>
                <w:szCs w:val="20"/>
                <w:b w:val="1"/>
                <w:bCs w:val="1"/>
                <w:color w:val="auto"/>
              </w:rPr>
              <w:t>​</w:t>
            </w:r>
          </w:p>
        </w:tc>
        <w:tc>
          <w:tcPr>
            <w:tcW w:w="580" w:type="dxa"/>
            <w:vAlign w:val="bottom"/>
            <w:tcBorders>
              <w:bottom w:val="single" w:sz="8" w:color="BF5B5A"/>
            </w:tcBorders>
          </w:tcPr>
          <w:p>
            <w:pPr>
              <w:ind w:left="20"/>
              <w:spacing w:after="0"/>
              <w:rPr>
                <w:sz w:val="20"/>
                <w:szCs w:val="20"/>
                <w:color w:val="auto"/>
              </w:rPr>
            </w:pPr>
            <w:r>
              <w:rPr>
                <w:rFonts w:ascii="Arial" w:cs="Arial" w:eastAsia="Arial" w:hAnsi="Arial"/>
                <w:sz w:val="20"/>
                <w:szCs w:val="20"/>
                <w:b w:val="1"/>
                <w:bCs w:val="1"/>
                <w:color w:val="auto"/>
              </w:rPr>
              <w:t>​</w:t>
            </w:r>
          </w:p>
        </w:tc>
        <w:tc>
          <w:tcPr>
            <w:tcW w:w="3780" w:type="dxa"/>
            <w:vAlign w:val="bottom"/>
            <w:tcBorders>
              <w:bottom w:val="single" w:sz="8" w:color="BF5B5A"/>
            </w:tcBorders>
          </w:tcPr>
          <w:p>
            <w:pPr>
              <w:ind w:left="500"/>
              <w:spacing w:after="0"/>
              <w:rPr>
                <w:sz w:val="20"/>
                <w:szCs w:val="20"/>
                <w:color w:val="auto"/>
              </w:rPr>
            </w:pPr>
            <w:r>
              <w:rPr>
                <w:rFonts w:ascii="Arial" w:cs="Arial" w:eastAsia="Arial" w:hAnsi="Arial"/>
                <w:sz w:val="20"/>
                <w:szCs w:val="20"/>
                <w:b w:val="1"/>
                <w:bCs w:val="1"/>
                <w:color w:val="auto"/>
              </w:rPr>
              <w:t>​ ​ Allen B. Uyeda</w:t>
            </w:r>
          </w:p>
        </w:tc>
        <w:tc>
          <w:tcPr>
            <w:tcW w:w="60" w:type="dxa"/>
            <w:vAlign w:val="bottom"/>
          </w:tcPr>
          <w:p>
            <w:pPr>
              <w:spacing w:after="0"/>
              <w:rPr>
                <w:sz w:val="20"/>
                <w:szCs w:val="20"/>
                <w:color w:val="auto"/>
              </w:rPr>
            </w:pPr>
            <w:r>
              <w:rPr>
                <w:rFonts w:ascii="Arial" w:cs="Arial" w:eastAsia="Arial" w:hAnsi="Arial"/>
                <w:sz w:val="20"/>
                <w:szCs w:val="20"/>
                <w:b w:val="1"/>
                <w:bCs w:val="1"/>
                <w:color w:val="auto"/>
              </w:rPr>
              <w:t>​</w:t>
            </w:r>
          </w:p>
        </w:tc>
      </w:tr>
    </w:tbl>
    <w:p>
      <w:pPr>
        <w:spacing w:after="0" w:line="32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Director Nomination Process</w:t>
      </w:r>
    </w:p>
    <w:p>
      <w:pPr>
        <w:sectPr>
          <w:pgSz w:w="11900" w:h="16838" w:orient="portrait"/>
          <w:cols w:equalWidth="0" w:num="1">
            <w:col w:w="10020"/>
          </w:cols>
          <w:pgMar w:left="580" w:top="97" w:right="1299" w:bottom="1440" w:gutter="0" w:footer="0" w:header="0"/>
          <w:type w:val="continuous"/>
        </w:sectPr>
      </w:pPr>
    </w:p>
    <w:p>
      <w:pPr>
        <w:spacing w:after="0" w:line="258" w:lineRule="exact"/>
        <w:rPr>
          <w:sz w:val="20"/>
          <w:szCs w:val="20"/>
          <w:color w:val="auto"/>
        </w:rPr>
      </w:pPr>
    </w:p>
    <w:p>
      <w:pPr>
        <w:ind w:left="780"/>
        <w:spacing w:after="0" w:line="284" w:lineRule="auto"/>
        <w:rPr>
          <w:sz w:val="20"/>
          <w:szCs w:val="20"/>
          <w:color w:val="auto"/>
        </w:rPr>
      </w:pPr>
      <w:r>
        <w:rPr>
          <w:rFonts w:ascii="Arial" w:cs="Arial" w:eastAsia="Arial" w:hAnsi="Arial"/>
          <w:sz w:val="18"/>
          <w:szCs w:val="18"/>
          <w:color w:val="auto"/>
        </w:rPr>
        <w:t>We believe that our directors should have the highest professional and personal ethics and values, consistent with our long-standing values and standards. They should have broad experience at the policy-making level in business, government or banking. They should be committed to enhancing stockholder value and should have sufficient time to carry out their duties and to provide insight and practical wisdom based on experience. Their service on boards of other companies should be limited to a number that permits them, given their individual circumstances, to perform responsibly all director duties. Each director must represent the interests of all stockholders.</w:t>
      </w:r>
    </w:p>
    <w:p>
      <w:pPr>
        <w:spacing w:after="0" w:line="121" w:lineRule="exact"/>
        <w:rPr>
          <w:sz w:val="20"/>
          <w:szCs w:val="20"/>
          <w:color w:val="auto"/>
        </w:rPr>
      </w:pPr>
    </w:p>
    <w:p>
      <w:pPr>
        <w:ind w:left="780" w:right="120"/>
        <w:spacing w:after="0" w:line="300" w:lineRule="auto"/>
        <w:rPr>
          <w:sz w:val="20"/>
          <w:szCs w:val="20"/>
          <w:color w:val="auto"/>
        </w:rPr>
      </w:pPr>
      <w:r>
        <w:rPr>
          <w:rFonts w:ascii="Arial" w:cs="Arial" w:eastAsia="Arial" w:hAnsi="Arial"/>
          <w:sz w:val="18"/>
          <w:szCs w:val="18"/>
          <w:color w:val="auto"/>
        </w:rPr>
        <w:t>The Corporate Governance and Nominating Committee of our Board identifies potential director candidates and makes recommendations to the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auto"/>
        </w:rPr>
        <w:t>Board regarding individuals qualified to become Board members.</w:t>
      </w:r>
    </w:p>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color w:val="auto"/>
        </w:rPr>
        <w:t>Diversity is an important factor in our consideration of potential and incumbent directors</w:t>
      </w:r>
      <w:r>
        <w:rPr>
          <w:rFonts w:ascii="Arial" w:cs="Arial" w:eastAsia="Arial" w:hAnsi="Arial"/>
          <w:sz w:val="17"/>
          <w:szCs w:val="17"/>
          <w:color w:val="auto"/>
        </w:rPr>
        <w:t>. Our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and Nominating Committee considers a number of demographics and other factors, including race, gender identity, ethnicity, sexual orientation, culture, nationality and work experiences, seeking to develop a board that, as a whole, reflects diverse viewpoints, backgrounds, skills, experiences, expertise and personal characteristics. Among other factors, our Corporate Governance and Nominating Committee considers in identifying and evaluating a potential director candidate is the extent to which the candidate would add to the diversity of our Board. Diversity is also considered as part of the annual Board evaluation.</w:t>
      </w:r>
    </w:p>
    <w:p>
      <w:pPr>
        <w:spacing w:after="0" w:line="588" w:lineRule="exact"/>
        <w:rPr>
          <w:sz w:val="20"/>
          <w:szCs w:val="20"/>
          <w:color w:val="auto"/>
        </w:rPr>
      </w:pPr>
    </w:p>
    <w:p>
      <w:pPr>
        <w:sectPr>
          <w:pgSz w:w="11900" w:h="16838" w:orient="portrait"/>
          <w:cols w:equalWidth="0" w:num="2">
            <w:col w:w="5100" w:space="520"/>
            <w:col w:w="4400"/>
          </w:cols>
          <w:pgMar w:left="580" w:top="97" w:right="1299" w:bottom="1440" w:gutter="0" w:footer="0" w:header="0"/>
          <w:type w:val="continuous"/>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In recommending a nominee for election as a director (or to fill a Board vacancy), the Corporate Governance and Nominating Committee considers each individual’s specific experience, background and education, including skills as described in the table on page 7, as well as the following Board-approved criteria:</w:t>
      </w:r>
    </w:p>
    <w:p>
      <w:pPr>
        <w:spacing w:after="0" w:line="83" w:lineRule="exact"/>
        <w:rPr>
          <w:sz w:val="20"/>
          <w:szCs w:val="20"/>
          <w:color w:val="auto"/>
        </w:rPr>
      </w:pPr>
    </w:p>
    <w:p>
      <w:pPr>
        <w:ind w:left="1420" w:hanging="280"/>
        <w:spacing w:after="0"/>
        <w:tabs>
          <w:tab w:leader="none" w:pos="1420" w:val="left"/>
        </w:tabs>
        <w:numPr>
          <w:ilvl w:val="0"/>
          <w:numId w:val="64"/>
        </w:numPr>
        <w:rPr>
          <w:rFonts w:ascii="Arial" w:cs="Arial" w:eastAsia="Arial" w:hAnsi="Arial"/>
          <w:sz w:val="18"/>
          <w:szCs w:val="18"/>
          <w:color w:val="BF5B5A"/>
        </w:rPr>
      </w:pPr>
      <w:r>
        <w:rPr>
          <w:rFonts w:ascii="Arial" w:cs="Arial" w:eastAsia="Arial" w:hAnsi="Arial"/>
          <w:sz w:val="18"/>
          <w:szCs w:val="18"/>
          <w:color w:val="auto"/>
        </w:rPr>
        <w:t>professional background and expertise</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64"/>
        </w:numPr>
        <w:rPr>
          <w:rFonts w:ascii="Arial" w:cs="Arial" w:eastAsia="Arial" w:hAnsi="Arial"/>
          <w:sz w:val="18"/>
          <w:szCs w:val="18"/>
          <w:color w:val="BF5B5A"/>
        </w:rPr>
      </w:pPr>
      <w:r>
        <w:rPr>
          <w:rFonts w:ascii="Arial" w:cs="Arial" w:eastAsia="Arial" w:hAnsi="Arial"/>
          <w:sz w:val="18"/>
          <w:szCs w:val="18"/>
          <w:color w:val="auto"/>
        </w:rPr>
        <w:t>judgment</w:t>
      </w:r>
    </w:p>
    <w:p>
      <w:pPr>
        <w:spacing w:after="0" w:line="144" w:lineRule="exact"/>
        <w:rPr>
          <w:rFonts w:ascii="Arial" w:cs="Arial" w:eastAsia="Arial" w:hAnsi="Arial"/>
          <w:sz w:val="18"/>
          <w:szCs w:val="18"/>
          <w:color w:val="BF5B5A"/>
        </w:rPr>
      </w:pPr>
    </w:p>
    <w:p>
      <w:pPr>
        <w:ind w:left="1420" w:right="300" w:hanging="280"/>
        <w:spacing w:after="0" w:line="303" w:lineRule="auto"/>
        <w:tabs>
          <w:tab w:leader="none" w:pos="1420" w:val="left"/>
        </w:tabs>
        <w:numPr>
          <w:ilvl w:val="0"/>
          <w:numId w:val="64"/>
        </w:numPr>
        <w:rPr>
          <w:rFonts w:ascii="Arial" w:cs="Arial" w:eastAsia="Arial" w:hAnsi="Arial"/>
          <w:sz w:val="18"/>
          <w:szCs w:val="18"/>
          <w:color w:val="BF5B5A"/>
        </w:rPr>
      </w:pPr>
      <w:r>
        <w:rPr>
          <w:rFonts w:ascii="Arial" w:cs="Arial" w:eastAsia="Arial" w:hAnsi="Arial"/>
          <w:sz w:val="18"/>
          <w:szCs w:val="18"/>
          <w:color w:val="auto"/>
        </w:rPr>
        <w:t>diversity of viewpoints, background, experience and personal characteristics</w:t>
      </w:r>
    </w:p>
    <w:p>
      <w:pPr>
        <w:spacing w:after="0" w:line="57" w:lineRule="exact"/>
        <w:rPr>
          <w:rFonts w:ascii="Arial" w:cs="Arial" w:eastAsia="Arial" w:hAnsi="Arial"/>
          <w:sz w:val="18"/>
          <w:szCs w:val="18"/>
          <w:color w:val="BF5B5A"/>
        </w:rPr>
      </w:pPr>
    </w:p>
    <w:p>
      <w:pPr>
        <w:ind w:left="1420" w:hanging="280"/>
        <w:spacing w:after="0"/>
        <w:tabs>
          <w:tab w:leader="none" w:pos="1420" w:val="left"/>
        </w:tabs>
        <w:numPr>
          <w:ilvl w:val="0"/>
          <w:numId w:val="64"/>
        </w:numPr>
        <w:rPr>
          <w:rFonts w:ascii="Arial" w:cs="Arial" w:eastAsia="Arial" w:hAnsi="Arial"/>
          <w:sz w:val="18"/>
          <w:szCs w:val="18"/>
          <w:color w:val="BF5B5A"/>
        </w:rPr>
      </w:pPr>
      <w:r>
        <w:rPr>
          <w:rFonts w:ascii="Arial" w:cs="Arial" w:eastAsia="Arial" w:hAnsi="Arial"/>
          <w:sz w:val="18"/>
          <w:szCs w:val="18"/>
          <w:color w:val="auto"/>
        </w:rPr>
        <w:t>skills, including financial literacy</w:t>
      </w:r>
    </w:p>
    <w:p>
      <w:pPr>
        <w:spacing w:after="0" w:line="130" w:lineRule="exact"/>
        <w:rPr>
          <w:rFonts w:ascii="Arial" w:cs="Arial" w:eastAsia="Arial" w:hAnsi="Arial"/>
          <w:sz w:val="18"/>
          <w:szCs w:val="18"/>
          <w:color w:val="BF5B5A"/>
        </w:rPr>
      </w:pPr>
    </w:p>
    <w:p>
      <w:pPr>
        <w:ind w:left="1420" w:right="80" w:hanging="280"/>
        <w:spacing w:after="0" w:line="318" w:lineRule="auto"/>
        <w:tabs>
          <w:tab w:leader="none" w:pos="1420" w:val="left"/>
        </w:tabs>
        <w:numPr>
          <w:ilvl w:val="0"/>
          <w:numId w:val="64"/>
        </w:numPr>
        <w:rPr>
          <w:rFonts w:ascii="Arial" w:cs="Arial" w:eastAsia="Arial" w:hAnsi="Arial"/>
          <w:sz w:val="18"/>
          <w:szCs w:val="18"/>
          <w:color w:val="BF5B5A"/>
        </w:rPr>
      </w:pPr>
      <w:r>
        <w:rPr>
          <w:rFonts w:ascii="Arial" w:cs="Arial" w:eastAsia="Arial" w:hAnsi="Arial"/>
          <w:sz w:val="18"/>
          <w:szCs w:val="18"/>
          <w:color w:val="auto"/>
        </w:rPr>
        <w:t>experience in the context of our needs and those of the Board</w:t>
      </w:r>
    </w:p>
    <w:p>
      <w:pPr>
        <w:spacing w:after="0" w:line="72"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corporate governance guidelines of our Board require that the Corporate Governance and Nominating Committee take into account director qualifications exceeding those required under relevant securities rules and listing standards, including a nominee’s diversity characteristics and professional expertise.</w:t>
      </w:r>
    </w:p>
    <w:p>
      <w:pPr>
        <w:spacing w:after="0" w:line="110" w:lineRule="exact"/>
        <w:rPr>
          <w:sz w:val="20"/>
          <w:szCs w:val="20"/>
          <w:color w:val="auto"/>
        </w:rPr>
      </w:pPr>
    </w:p>
    <w:p>
      <w:pPr>
        <w:ind w:left="780"/>
        <w:spacing w:after="0" w:line="276" w:lineRule="auto"/>
        <w:rPr>
          <w:sz w:val="20"/>
          <w:szCs w:val="20"/>
          <w:color w:val="auto"/>
        </w:rPr>
      </w:pPr>
      <w:r>
        <w:rPr>
          <w:rFonts w:ascii="Arial" w:cs="Arial" w:eastAsia="Arial" w:hAnsi="Arial"/>
          <w:sz w:val="18"/>
          <w:szCs w:val="18"/>
          <w:color w:val="auto"/>
        </w:rPr>
        <w:t>The nine director nominees for election at our 2024 Annual Meeting bring to our Board a variety of different backgrounds, skills, professional and industry experience, and other attributes and perspectives that contribute to the overall diversity of our Board.</w:t>
      </w:r>
    </w:p>
    <w:p>
      <w:pPr>
        <w:spacing w:after="0" w:line="111" w:lineRule="exact"/>
        <w:rPr>
          <w:sz w:val="20"/>
          <w:szCs w:val="20"/>
          <w:color w:val="auto"/>
        </w:rPr>
      </w:pPr>
    </w:p>
    <w:p>
      <w:pPr>
        <w:ind w:left="780" w:right="40"/>
        <w:spacing w:after="0" w:line="275" w:lineRule="auto"/>
        <w:rPr>
          <w:sz w:val="20"/>
          <w:szCs w:val="20"/>
          <w:color w:val="auto"/>
        </w:rPr>
      </w:pPr>
      <w:r>
        <w:rPr>
          <w:rFonts w:ascii="Arial" w:cs="Arial" w:eastAsia="Arial" w:hAnsi="Arial"/>
          <w:sz w:val="18"/>
          <w:szCs w:val="18"/>
          <w:color w:val="auto"/>
        </w:rPr>
        <w:t>The corporate governance guidelines of our Board provide that the Board may, in its sole discretion, designate one of the independent directors as its lead director to preside over meetings of the Board held in the absence of any director who is also an executive officer and to have such additional responsibilities and authority as the Board may direct from time to time.</w:t>
      </w:r>
    </w:p>
    <w:p>
      <w:pPr>
        <w:spacing w:after="0" w:line="114" w:lineRule="exact"/>
        <w:rPr>
          <w:sz w:val="20"/>
          <w:szCs w:val="20"/>
          <w:color w:val="auto"/>
        </w:rPr>
      </w:pPr>
    </w:p>
    <w:p>
      <w:pPr>
        <w:ind w:left="780" w:right="100"/>
        <w:spacing w:after="0" w:line="283" w:lineRule="auto"/>
        <w:rPr>
          <w:sz w:val="20"/>
          <w:szCs w:val="20"/>
          <w:color w:val="auto"/>
        </w:rPr>
      </w:pPr>
      <w:r>
        <w:rPr>
          <w:rFonts w:ascii="Arial" w:cs="Arial" w:eastAsia="Arial" w:hAnsi="Arial"/>
          <w:sz w:val="18"/>
          <w:szCs w:val="18"/>
          <w:color w:val="auto"/>
        </w:rPr>
        <w:t>Currently, Robert S. Harrison serves as our Chief Executive Officer and President and as the Chairman of our Board, and Allen B. Uyeda has been designated to serve as the lead independent director of our Board.</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2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Chief Executive Officer is generally in charge of our business affairs, subject to the overall direction and supervision of the Board and its committees, and is the only member of our management team that serves on the Board. Our Board believes that combining the roles of Chairman of the Board and Chief Executive Officer and appointing a lead independent director is the most effective board leadership structure for us and that it provides an effective balance of strong leadership and independent oversight. Having one individual serve as both Chief Executive Officer and Chairman contributes to and enhances the Board’s efficiency and effectiveness, as the Chief Executive Officer is generally in the best position to inform our independent directors about our operations, the competitive market and other challenges facing our business. Our Board believes that the Chief Executive Officer is in the best position to most effectively serve as the Chairman of the Board for many reasons as he is closest to many facets of our business and has frequent contact with our customers, employees, regulators and other stakeholders in our business. The Board believes that combining the roles of Chief Executive Officer and Chairman of the Board also promotes timely communication between management and the Board on critical matters, including strategy, business results and risks, because of</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Mr. Harrison’s direct involvement in the strategic and day-to-day management of our business.</w:t>
      </w:r>
    </w:p>
    <w:p>
      <w:pPr>
        <w:spacing w:after="0" w:line="81"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 xml:space="preserve">Stockholder Recommendations or Nominations. </w:t>
      </w:r>
      <w:r>
        <w:rPr>
          <w:rFonts w:ascii="Arial" w:cs="Arial" w:eastAsia="Arial" w:hAnsi="Arial"/>
          <w:sz w:val="18"/>
          <w:szCs w:val="18"/>
          <w:color w:val="auto"/>
        </w:rPr>
        <w:t>The evaluation procedures described above apply to all candidates for director nomination, including candidates submitted by stockholders. Stockholders wishing to recommend a candidate for consideration by the Corporate Governance and Nominating Committee should submit the candidate’s name, biographical data and a description of their qualifications in light of the criteria listed above to First Hawaiian, Inc., c/o the Secretary, 999 Bishop Street, Honolulu, Hawaii 96813.</w:t>
      </w:r>
    </w:p>
    <w:p>
      <w:pPr>
        <w:spacing w:after="0" w:line="10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Stockholders wishing to nominate a director should follow the specific procedures set forth in our Bylaws.</w:t>
      </w:r>
    </w:p>
    <w:p>
      <w:pPr>
        <w:spacing w:after="0" w:line="301" w:lineRule="exact"/>
        <w:rPr>
          <w:sz w:val="20"/>
          <w:szCs w:val="20"/>
          <w:color w:val="auto"/>
        </w:rPr>
      </w:pPr>
    </w:p>
    <w:p>
      <w:pPr>
        <w:sectPr>
          <w:pgSz w:w="11900" w:h="16838" w:orient="portrait"/>
          <w:cols w:equalWidth="0" w:num="2">
            <w:col w:w="5000" w:space="620"/>
            <w:col w:w="432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27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325"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Committees of Our Board of Directors</w:t>
      </w:r>
    </w:p>
    <w:p>
      <w:pPr>
        <w:spacing w:after="0" w:line="270" w:lineRule="exact"/>
        <w:rPr>
          <w:sz w:val="20"/>
          <w:szCs w:val="20"/>
          <w:color w:val="auto"/>
        </w:rPr>
      </w:pPr>
    </w:p>
    <w:p>
      <w:pPr>
        <w:ind w:left="780" w:right="100"/>
        <w:spacing w:after="0" w:line="279" w:lineRule="auto"/>
        <w:rPr>
          <w:sz w:val="20"/>
          <w:szCs w:val="20"/>
          <w:color w:val="auto"/>
        </w:rPr>
      </w:pPr>
      <w:r>
        <w:rPr>
          <w:rFonts w:ascii="Arial" w:cs="Arial" w:eastAsia="Arial" w:hAnsi="Arial"/>
          <w:sz w:val="18"/>
          <w:szCs w:val="18"/>
          <w:color w:val="auto"/>
        </w:rPr>
        <w:t>The standing committees of our Board consist of an audit committee, a corporate governance and nominating committee, a compensation committee and a risk committee. The responsibilities of these committees are described below. Our Board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199390</wp:posOffset>
            </wp:positionV>
            <wp:extent cx="60325" cy="5060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color w:val="auto"/>
        </w:rPr>
        <w:t>also establish various other committees to assist it in its responsibilities. The following table summarizes the current membership of the Board and each of its committees:</w:t>
      </w:r>
    </w:p>
    <w:p>
      <w:pPr>
        <w:spacing w:after="0" w:line="388" w:lineRule="exact"/>
        <w:rPr>
          <w:sz w:val="20"/>
          <w:szCs w:val="20"/>
          <w:color w:val="auto"/>
        </w:rPr>
      </w:pPr>
    </w:p>
    <w:p>
      <w:pPr>
        <w:sectPr>
          <w:pgSz w:w="11900" w:h="16838" w:orient="portrait"/>
          <w:cols w:equalWidth="0" w:num="2">
            <w:col w:w="5140" w:space="480"/>
            <w:col w:w="4380"/>
          </w:cols>
          <w:pgMar w:left="580" w:top="97" w:right="1319" w:bottom="1440" w:gutter="0" w:footer="0" w:header="0"/>
        </w:sectPr>
      </w:pPr>
    </w:p>
    <w:p>
      <w:pPr>
        <w:spacing w:after="0" w:line="11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200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BF5B5A"/>
          </w:tcPr>
          <w:p>
            <w:pPr>
              <w:spacing w:after="0"/>
              <w:rPr>
                <w:sz w:val="19"/>
                <w:szCs w:val="19"/>
                <w:color w:val="auto"/>
              </w:rPr>
            </w:pPr>
          </w:p>
        </w:tc>
        <w:tc>
          <w:tcPr>
            <w:tcW w:w="24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8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BF5B5A"/>
          </w:tcPr>
          <w:p>
            <w:pPr>
              <w:ind w:left="600"/>
              <w:spacing w:after="0"/>
              <w:rPr>
                <w:sz w:val="20"/>
                <w:szCs w:val="20"/>
                <w:color w:val="auto"/>
              </w:rPr>
            </w:pPr>
            <w:r>
              <w:rPr>
                <w:rFonts w:ascii="Arial" w:cs="Arial" w:eastAsia="Arial" w:hAnsi="Arial"/>
                <w:sz w:val="16"/>
                <w:szCs w:val="16"/>
                <w:b w:val="1"/>
                <w:bCs w:val="1"/>
                <w:color w:val="FFFFFF"/>
              </w:rPr>
              <w:t>​</w:t>
            </w:r>
          </w:p>
        </w:tc>
        <w:tc>
          <w:tcPr>
            <w:tcW w:w="280" w:type="dxa"/>
            <w:vAlign w:val="bottom"/>
            <w:shd w:val="clear" w:color="auto" w:fill="BF5B5A"/>
          </w:tcPr>
          <w:p>
            <w:pPr>
              <w:ind w:left="180"/>
              <w:spacing w:after="0"/>
              <w:rPr>
                <w:sz w:val="20"/>
                <w:szCs w:val="20"/>
                <w:color w:val="auto"/>
              </w:rPr>
            </w:pPr>
            <w:r>
              <w:rPr>
                <w:rFonts w:ascii="Arial" w:cs="Arial" w:eastAsia="Arial" w:hAnsi="Arial"/>
                <w:sz w:val="16"/>
                <w:szCs w:val="16"/>
                <w:b w:val="1"/>
                <w:bCs w:val="1"/>
                <w:color w:val="FFFFFF"/>
              </w:rPr>
              <w:t>​</w:t>
            </w:r>
          </w:p>
        </w:tc>
        <w:tc>
          <w:tcPr>
            <w:tcW w:w="30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w:t>
            </w:r>
          </w:p>
        </w:tc>
        <w:tc>
          <w:tcPr>
            <w:tcW w:w="400" w:type="dxa"/>
            <w:vAlign w:val="bottom"/>
            <w:shd w:val="clear" w:color="auto" w:fill="BF5B5A"/>
          </w:tcPr>
          <w:p>
            <w:pPr>
              <w:spacing w:after="0"/>
              <w:rPr>
                <w:sz w:val="19"/>
                <w:szCs w:val="19"/>
                <w:color w:val="auto"/>
              </w:rPr>
            </w:pPr>
          </w:p>
        </w:tc>
        <w:tc>
          <w:tcPr>
            <w:tcW w:w="200" w:type="dxa"/>
            <w:vAlign w:val="bottom"/>
            <w:shd w:val="clear" w:color="auto" w:fill="BF5B5A"/>
          </w:tcPr>
          <w:p>
            <w:pPr>
              <w:spacing w:after="0"/>
              <w:rPr>
                <w:sz w:val="19"/>
                <w:szCs w:val="19"/>
                <w:color w:val="auto"/>
              </w:rPr>
            </w:pPr>
          </w:p>
        </w:tc>
        <w:tc>
          <w:tcPr>
            <w:tcW w:w="160" w:type="dxa"/>
            <w:vAlign w:val="bottom"/>
            <w:shd w:val="clear" w:color="auto" w:fill="BF5B5A"/>
          </w:tcPr>
          <w:p>
            <w:pPr>
              <w:spacing w:after="0"/>
              <w:rPr>
                <w:sz w:val="19"/>
                <w:szCs w:val="19"/>
                <w:color w:val="auto"/>
              </w:rPr>
            </w:pPr>
          </w:p>
        </w:tc>
        <w:tc>
          <w:tcPr>
            <w:tcW w:w="2640" w:type="dxa"/>
            <w:vAlign w:val="bottom"/>
            <w:gridSpan w:val="4"/>
            <w:shd w:val="clear" w:color="auto" w:fill="BF5B5A"/>
          </w:tcPr>
          <w:p>
            <w:pPr>
              <w:ind w:left="640"/>
              <w:spacing w:after="0"/>
              <w:rPr>
                <w:sz w:val="20"/>
                <w:szCs w:val="20"/>
                <w:color w:val="auto"/>
              </w:rPr>
            </w:pPr>
            <w:r>
              <w:rPr>
                <w:rFonts w:ascii="Arial" w:cs="Arial" w:eastAsia="Arial" w:hAnsi="Arial"/>
                <w:sz w:val="16"/>
                <w:szCs w:val="16"/>
                <w:b w:val="1"/>
                <w:bCs w:val="1"/>
                <w:color w:val="FFFFFF"/>
              </w:rPr>
              <w:t>Committee Membership</w:t>
            </w:r>
          </w:p>
        </w:tc>
        <w:tc>
          <w:tcPr>
            <w:tcW w:w="280" w:type="dxa"/>
            <w:vAlign w:val="bottom"/>
            <w:shd w:val="clear" w:color="auto" w:fill="BF5B5A"/>
          </w:tcPr>
          <w:p>
            <w:pPr>
              <w:spacing w:after="0"/>
              <w:rPr>
                <w:sz w:val="19"/>
                <w:szCs w:val="19"/>
                <w:color w:val="auto"/>
              </w:rPr>
            </w:pPr>
          </w:p>
        </w:tc>
        <w:tc>
          <w:tcPr>
            <w:tcW w:w="200" w:type="dxa"/>
            <w:vAlign w:val="bottom"/>
            <w:shd w:val="clear" w:color="auto" w:fill="BF5B5A"/>
          </w:tcPr>
          <w:p>
            <w:pPr>
              <w:spacing w:after="0"/>
              <w:rPr>
                <w:sz w:val="19"/>
                <w:szCs w:val="19"/>
                <w:color w:val="auto"/>
              </w:rPr>
            </w:pPr>
          </w:p>
        </w:tc>
        <w:tc>
          <w:tcPr>
            <w:tcW w:w="320" w:type="dxa"/>
            <w:vAlign w:val="bottom"/>
            <w:shd w:val="clear" w:color="auto" w:fill="BF5B5A"/>
          </w:tcPr>
          <w:p>
            <w:pPr>
              <w:spacing w:after="0"/>
              <w:rPr>
                <w:sz w:val="19"/>
                <w:szCs w:val="19"/>
                <w:color w:val="auto"/>
              </w:rPr>
            </w:pPr>
          </w:p>
        </w:tc>
        <w:tc>
          <w:tcPr>
            <w:tcW w:w="660" w:type="dxa"/>
            <w:vAlign w:val="bottom"/>
            <w:shd w:val="clear" w:color="auto" w:fill="BF5B5A"/>
          </w:tcPr>
          <w:p>
            <w:pPr>
              <w:spacing w:after="0"/>
              <w:rPr>
                <w:sz w:val="19"/>
                <w:szCs w:val="19"/>
                <w:color w:val="auto"/>
              </w:rPr>
            </w:pPr>
          </w:p>
        </w:tc>
        <w:tc>
          <w:tcPr>
            <w:tcW w:w="6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920" w:type="dxa"/>
            <w:vAlign w:val="bottom"/>
            <w:tcBorders>
              <w:top w:val="single" w:sz="8" w:color="BF5B5A"/>
            </w:tcBorders>
            <w:shd w:val="clear" w:color="auto" w:fill="BF5B5A"/>
          </w:tcPr>
          <w:p>
            <w:pPr>
              <w:spacing w:after="0"/>
              <w:rPr>
                <w:sz w:val="13"/>
                <w:szCs w:val="13"/>
                <w:color w:val="auto"/>
              </w:rPr>
            </w:pPr>
          </w:p>
        </w:tc>
        <w:tc>
          <w:tcPr>
            <w:tcW w:w="140" w:type="dxa"/>
            <w:vAlign w:val="bottom"/>
            <w:tcBorders>
              <w:top w:val="single" w:sz="8" w:color="BF5B5A"/>
            </w:tcBorders>
            <w:shd w:val="clear" w:color="auto" w:fill="BF5B5A"/>
          </w:tcPr>
          <w:p>
            <w:pPr>
              <w:spacing w:after="0"/>
              <w:rPr>
                <w:sz w:val="13"/>
                <w:szCs w:val="13"/>
                <w:color w:val="auto"/>
              </w:rPr>
            </w:pPr>
          </w:p>
        </w:tc>
        <w:tc>
          <w:tcPr>
            <w:tcW w:w="240" w:type="dxa"/>
            <w:vAlign w:val="bottom"/>
            <w:tcBorders>
              <w:top w:val="single" w:sz="8" w:color="BF5B5A"/>
            </w:tcBorders>
            <w:shd w:val="clear" w:color="auto" w:fill="BF5B5A"/>
          </w:tcPr>
          <w:p>
            <w:pPr>
              <w:spacing w:after="0"/>
              <w:rPr>
                <w:sz w:val="13"/>
                <w:szCs w:val="13"/>
                <w:color w:val="auto"/>
              </w:rPr>
            </w:pPr>
          </w:p>
        </w:tc>
        <w:tc>
          <w:tcPr>
            <w:tcW w:w="180" w:type="dxa"/>
            <w:vAlign w:val="bottom"/>
            <w:tcBorders>
              <w:top w:val="single" w:sz="8" w:color="BF5B5A"/>
            </w:tcBorders>
            <w:shd w:val="clear" w:color="auto" w:fill="BF5B5A"/>
          </w:tcPr>
          <w:p>
            <w:pPr>
              <w:spacing w:after="0"/>
              <w:rPr>
                <w:sz w:val="13"/>
                <w:szCs w:val="13"/>
                <w:color w:val="auto"/>
              </w:rPr>
            </w:pPr>
          </w:p>
        </w:tc>
        <w:tc>
          <w:tcPr>
            <w:tcW w:w="1120" w:type="dxa"/>
            <w:vAlign w:val="bottom"/>
            <w:tcBorders>
              <w:top w:val="single" w:sz="8" w:color="BF5B5A"/>
            </w:tcBorders>
            <w:shd w:val="clear" w:color="auto" w:fill="BF5B5A"/>
          </w:tcPr>
          <w:p>
            <w:pPr>
              <w:spacing w:after="0"/>
              <w:rPr>
                <w:sz w:val="13"/>
                <w:szCs w:val="13"/>
                <w:color w:val="auto"/>
              </w:rPr>
            </w:pPr>
          </w:p>
        </w:tc>
        <w:tc>
          <w:tcPr>
            <w:tcW w:w="280" w:type="dxa"/>
            <w:vAlign w:val="bottom"/>
            <w:tcBorders>
              <w:top w:val="single" w:sz="8" w:color="BF5B5A"/>
            </w:tcBorders>
            <w:shd w:val="clear" w:color="auto" w:fill="BF5B5A"/>
          </w:tcPr>
          <w:p>
            <w:pPr>
              <w:spacing w:after="0"/>
              <w:rPr>
                <w:sz w:val="13"/>
                <w:szCs w:val="13"/>
                <w:color w:val="auto"/>
              </w:rPr>
            </w:pPr>
          </w:p>
        </w:tc>
        <w:tc>
          <w:tcPr>
            <w:tcW w:w="300" w:type="dxa"/>
            <w:vAlign w:val="bottom"/>
            <w:tcBorders>
              <w:top w:val="single" w:sz="8" w:color="7F7F7F"/>
            </w:tcBorders>
            <w:shd w:val="clear" w:color="auto" w:fill="BF5B5A"/>
          </w:tcPr>
          <w:p>
            <w:pPr>
              <w:spacing w:after="0"/>
              <w:rPr>
                <w:sz w:val="13"/>
                <w:szCs w:val="13"/>
                <w:color w:val="auto"/>
              </w:rPr>
            </w:pPr>
          </w:p>
        </w:tc>
        <w:tc>
          <w:tcPr>
            <w:tcW w:w="400" w:type="dxa"/>
            <w:vAlign w:val="bottom"/>
            <w:tcBorders>
              <w:top w:val="single" w:sz="8" w:color="7F7F7F"/>
            </w:tcBorders>
            <w:shd w:val="clear" w:color="auto" w:fill="BF5B5A"/>
          </w:tcPr>
          <w:p>
            <w:pPr>
              <w:spacing w:after="0"/>
              <w:rPr>
                <w:sz w:val="13"/>
                <w:szCs w:val="13"/>
                <w:color w:val="auto"/>
              </w:rPr>
            </w:pPr>
          </w:p>
        </w:tc>
        <w:tc>
          <w:tcPr>
            <w:tcW w:w="200" w:type="dxa"/>
            <w:vAlign w:val="bottom"/>
            <w:tcBorders>
              <w:top w:val="single" w:sz="8" w:color="7F7F7F"/>
            </w:tcBorders>
            <w:shd w:val="clear" w:color="auto" w:fill="BF5B5A"/>
          </w:tcPr>
          <w:p>
            <w:pPr>
              <w:spacing w:after="0"/>
              <w:rPr>
                <w:sz w:val="13"/>
                <w:szCs w:val="13"/>
                <w:color w:val="auto"/>
              </w:rPr>
            </w:pPr>
          </w:p>
        </w:tc>
        <w:tc>
          <w:tcPr>
            <w:tcW w:w="160" w:type="dxa"/>
            <w:vAlign w:val="bottom"/>
            <w:tcBorders>
              <w:top w:val="single" w:sz="8" w:color="7F7F7F"/>
            </w:tcBorders>
            <w:shd w:val="clear" w:color="auto" w:fill="BF5B5A"/>
          </w:tcPr>
          <w:p>
            <w:pPr>
              <w:spacing w:after="0"/>
              <w:rPr>
                <w:sz w:val="13"/>
                <w:szCs w:val="13"/>
                <w:color w:val="auto"/>
              </w:rPr>
            </w:pPr>
          </w:p>
        </w:tc>
        <w:tc>
          <w:tcPr>
            <w:tcW w:w="1200" w:type="dxa"/>
            <w:vAlign w:val="bottom"/>
            <w:tcBorders>
              <w:top w:val="single" w:sz="8" w:color="7F7F7F"/>
            </w:tcBorders>
            <w:shd w:val="clear" w:color="auto" w:fill="BF5B5A"/>
          </w:tcPr>
          <w:p>
            <w:pPr>
              <w:spacing w:after="0"/>
              <w:rPr>
                <w:sz w:val="13"/>
                <w:szCs w:val="13"/>
                <w:color w:val="auto"/>
              </w:rPr>
            </w:pPr>
          </w:p>
        </w:tc>
        <w:tc>
          <w:tcPr>
            <w:tcW w:w="220" w:type="dxa"/>
            <w:vAlign w:val="bottom"/>
            <w:tcBorders>
              <w:top w:val="single" w:sz="8" w:color="7F7F7F"/>
            </w:tcBorders>
            <w:shd w:val="clear" w:color="auto" w:fill="BF5B5A"/>
          </w:tcPr>
          <w:p>
            <w:pPr>
              <w:spacing w:after="0"/>
              <w:rPr>
                <w:sz w:val="13"/>
                <w:szCs w:val="13"/>
                <w:color w:val="auto"/>
              </w:rPr>
            </w:pPr>
          </w:p>
        </w:tc>
        <w:tc>
          <w:tcPr>
            <w:tcW w:w="180" w:type="dxa"/>
            <w:vAlign w:val="bottom"/>
            <w:tcBorders>
              <w:top w:val="single" w:sz="8" w:color="7F7F7F"/>
            </w:tcBorders>
            <w:shd w:val="clear" w:color="auto" w:fill="BF5B5A"/>
          </w:tcPr>
          <w:p>
            <w:pPr>
              <w:spacing w:after="0"/>
              <w:rPr>
                <w:sz w:val="13"/>
                <w:szCs w:val="13"/>
                <w:color w:val="auto"/>
              </w:rPr>
            </w:pPr>
          </w:p>
        </w:tc>
        <w:tc>
          <w:tcPr>
            <w:tcW w:w="1040" w:type="dxa"/>
            <w:vAlign w:val="bottom"/>
            <w:tcBorders>
              <w:top w:val="single" w:sz="8" w:color="7F7F7F"/>
            </w:tcBorders>
            <w:shd w:val="clear" w:color="auto" w:fill="BF5B5A"/>
          </w:tcPr>
          <w:p>
            <w:pPr>
              <w:jc w:val="center"/>
              <w:ind w:left="159"/>
              <w:spacing w:after="0" w:line="155" w:lineRule="exact"/>
              <w:rPr>
                <w:sz w:val="20"/>
                <w:szCs w:val="20"/>
                <w:color w:val="auto"/>
              </w:rPr>
            </w:pPr>
            <w:r>
              <w:rPr>
                <w:rFonts w:ascii="Arial" w:cs="Arial" w:eastAsia="Arial" w:hAnsi="Arial"/>
                <w:sz w:val="16"/>
                <w:szCs w:val="16"/>
                <w:b w:val="1"/>
                <w:bCs w:val="1"/>
                <w:color w:val="FFFFFF"/>
                <w:w w:val="94"/>
              </w:rPr>
              <w:t>Corporate</w:t>
            </w:r>
          </w:p>
        </w:tc>
        <w:tc>
          <w:tcPr>
            <w:tcW w:w="280" w:type="dxa"/>
            <w:vAlign w:val="bottom"/>
            <w:tcBorders>
              <w:top w:val="single" w:sz="8" w:color="7F7F7F"/>
            </w:tcBorders>
            <w:shd w:val="clear" w:color="auto" w:fill="BF5B5A"/>
          </w:tcPr>
          <w:p>
            <w:pPr>
              <w:spacing w:after="0"/>
              <w:rPr>
                <w:sz w:val="13"/>
                <w:szCs w:val="13"/>
                <w:color w:val="auto"/>
              </w:rPr>
            </w:pPr>
          </w:p>
        </w:tc>
        <w:tc>
          <w:tcPr>
            <w:tcW w:w="200" w:type="dxa"/>
            <w:vAlign w:val="bottom"/>
            <w:tcBorders>
              <w:top w:val="single" w:sz="8" w:color="7F7F7F"/>
            </w:tcBorders>
            <w:shd w:val="clear" w:color="auto" w:fill="BF5B5A"/>
          </w:tcPr>
          <w:p>
            <w:pPr>
              <w:spacing w:after="0"/>
              <w:rPr>
                <w:sz w:val="13"/>
                <w:szCs w:val="13"/>
                <w:color w:val="auto"/>
              </w:rPr>
            </w:pPr>
          </w:p>
        </w:tc>
        <w:tc>
          <w:tcPr>
            <w:tcW w:w="320" w:type="dxa"/>
            <w:vAlign w:val="bottom"/>
            <w:tcBorders>
              <w:top w:val="single" w:sz="8" w:color="7F7F7F"/>
            </w:tcBorders>
            <w:shd w:val="clear" w:color="auto" w:fill="BF5B5A"/>
          </w:tcPr>
          <w:p>
            <w:pPr>
              <w:spacing w:after="0"/>
              <w:rPr>
                <w:sz w:val="13"/>
                <w:szCs w:val="13"/>
                <w:color w:val="auto"/>
              </w:rPr>
            </w:pPr>
          </w:p>
        </w:tc>
        <w:tc>
          <w:tcPr>
            <w:tcW w:w="660" w:type="dxa"/>
            <w:vAlign w:val="bottom"/>
            <w:tcBorders>
              <w:top w:val="single" w:sz="8" w:color="7F7F7F"/>
            </w:tcBorders>
            <w:shd w:val="clear" w:color="auto" w:fill="BF5B5A"/>
          </w:tcPr>
          <w:p>
            <w:pPr>
              <w:spacing w:after="0"/>
              <w:rPr>
                <w:sz w:val="13"/>
                <w:szCs w:val="13"/>
                <w:color w:val="auto"/>
              </w:rPr>
            </w:pPr>
          </w:p>
        </w:tc>
        <w:tc>
          <w:tcPr>
            <w:tcW w:w="60" w:type="dxa"/>
            <w:vAlign w:val="bottom"/>
            <w:tcBorders>
              <w:top w:val="single" w:sz="8" w:color="7F7F7F"/>
            </w:tcBorders>
            <w:shd w:val="clear" w:color="auto" w:fill="BF5B5A"/>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920" w:type="dxa"/>
            <w:vAlign w:val="bottom"/>
            <w:vMerge w:val="restart"/>
            <w:shd w:val="clear" w:color="auto" w:fill="BF5B5A"/>
          </w:tcPr>
          <w:p>
            <w:pPr>
              <w:spacing w:after="0"/>
              <w:rPr>
                <w:sz w:val="20"/>
                <w:szCs w:val="20"/>
                <w:color w:val="auto"/>
              </w:rPr>
            </w:pPr>
            <w:r>
              <w:rPr>
                <w:rFonts w:ascii="Arial" w:cs="Arial" w:eastAsia="Arial" w:hAnsi="Arial"/>
                <w:sz w:val="16"/>
                <w:szCs w:val="16"/>
                <w:b w:val="1"/>
                <w:bCs w:val="1"/>
                <w:color w:val="FFFFFF"/>
              </w:rPr>
              <w:t>​Name</w:t>
            </w:r>
          </w:p>
        </w:tc>
        <w:tc>
          <w:tcPr>
            <w:tcW w:w="140" w:type="dxa"/>
            <w:vAlign w:val="bottom"/>
            <w:shd w:val="clear" w:color="auto" w:fill="BF5B5A"/>
          </w:tcPr>
          <w:p>
            <w:pPr>
              <w:spacing w:after="0"/>
              <w:rPr>
                <w:sz w:val="16"/>
                <w:szCs w:val="16"/>
                <w:color w:val="auto"/>
              </w:rPr>
            </w:pPr>
          </w:p>
        </w:tc>
        <w:tc>
          <w:tcPr>
            <w:tcW w:w="240" w:type="dxa"/>
            <w:vAlign w:val="bottom"/>
            <w:vMerge w:val="restart"/>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80" w:type="dxa"/>
            <w:vAlign w:val="bottom"/>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1120" w:type="dxa"/>
            <w:vAlign w:val="bottom"/>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w w:val="92"/>
              </w:rPr>
              <w:t>Independent</w:t>
            </w:r>
            <w:r>
              <w:rPr>
                <w:rFonts w:ascii="Arial" w:cs="Arial" w:eastAsia="Arial" w:hAnsi="Arial"/>
                <w:sz w:val="19"/>
                <w:szCs w:val="19"/>
                <w:b w:val="1"/>
                <w:bCs w:val="1"/>
                <w:color w:val="FFFFFF"/>
                <w:w w:val="92"/>
                <w:vertAlign w:val="superscript"/>
              </w:rPr>
              <w:t>(1)</w:t>
            </w:r>
          </w:p>
        </w:tc>
        <w:tc>
          <w:tcPr>
            <w:tcW w:w="280" w:type="dxa"/>
            <w:vAlign w:val="bottom"/>
            <w:vMerge w:val="restart"/>
            <w:shd w:val="clear" w:color="auto" w:fill="BF5B5A"/>
          </w:tcPr>
          <w:p>
            <w:pPr>
              <w:ind w:left="180"/>
              <w:spacing w:after="0"/>
              <w:rPr>
                <w:sz w:val="20"/>
                <w:szCs w:val="20"/>
                <w:color w:val="auto"/>
              </w:rPr>
            </w:pPr>
            <w:r>
              <w:rPr>
                <w:rFonts w:ascii="Arial" w:cs="Arial" w:eastAsia="Arial" w:hAnsi="Arial"/>
                <w:sz w:val="16"/>
                <w:szCs w:val="16"/>
                <w:b w:val="1"/>
                <w:bCs w:val="1"/>
                <w:color w:val="FFFFFF"/>
              </w:rPr>
              <w:t>​</w:t>
            </w:r>
          </w:p>
        </w:tc>
        <w:tc>
          <w:tcPr>
            <w:tcW w:w="700" w:type="dxa"/>
            <w:vAlign w:val="bottom"/>
            <w:gridSpan w:val="2"/>
            <w:vMerge w:val="restart"/>
            <w:shd w:val="clear" w:color="auto" w:fill="BF5B5A"/>
          </w:tcPr>
          <w:p>
            <w:pPr>
              <w:ind w:left="120"/>
              <w:spacing w:after="0"/>
              <w:rPr>
                <w:sz w:val="20"/>
                <w:szCs w:val="20"/>
                <w:color w:val="auto"/>
              </w:rPr>
            </w:pPr>
            <w:r>
              <w:rPr>
                <w:rFonts w:ascii="Arial" w:cs="Arial" w:eastAsia="Arial" w:hAnsi="Arial"/>
                <w:sz w:val="16"/>
                <w:szCs w:val="16"/>
                <w:b w:val="1"/>
                <w:bCs w:val="1"/>
                <w:color w:val="FFFFFF"/>
              </w:rPr>
              <w:t>​ Audit</w:t>
            </w:r>
          </w:p>
        </w:tc>
        <w:tc>
          <w:tcPr>
            <w:tcW w:w="200" w:type="dxa"/>
            <w:vAlign w:val="bottom"/>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160" w:type="dxa"/>
            <w:vAlign w:val="bottom"/>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1200" w:type="dxa"/>
            <w:vAlign w:val="bottom"/>
            <w:shd w:val="clear" w:color="auto" w:fill="BF5B5A"/>
          </w:tcPr>
          <w:p>
            <w:pPr>
              <w:spacing w:after="0"/>
              <w:rPr>
                <w:sz w:val="16"/>
                <w:szCs w:val="16"/>
                <w:color w:val="auto"/>
              </w:rPr>
            </w:pPr>
          </w:p>
        </w:tc>
        <w:tc>
          <w:tcPr>
            <w:tcW w:w="220" w:type="dxa"/>
            <w:vAlign w:val="bottom"/>
            <w:vMerge w:val="restart"/>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80" w:type="dxa"/>
            <w:vAlign w:val="bottom"/>
            <w:vMerge w:val="restart"/>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13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Governance and</w:t>
            </w:r>
          </w:p>
        </w:tc>
        <w:tc>
          <w:tcPr>
            <w:tcW w:w="200" w:type="dxa"/>
            <w:vAlign w:val="bottom"/>
            <w:vMerge w:val="restart"/>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320" w:type="dxa"/>
            <w:vAlign w:val="bottom"/>
            <w:vMerge w:val="restart"/>
            <w:shd w:val="clear" w:color="auto" w:fill="BF5B5A"/>
          </w:tcPr>
          <w:p>
            <w:pPr>
              <w:ind w:left="160"/>
              <w:spacing w:after="0"/>
              <w:rPr>
                <w:sz w:val="20"/>
                <w:szCs w:val="20"/>
                <w:color w:val="auto"/>
              </w:rPr>
            </w:pPr>
            <w:r>
              <w:rPr>
                <w:rFonts w:ascii="Arial" w:cs="Arial" w:eastAsia="Arial" w:hAnsi="Arial"/>
                <w:sz w:val="16"/>
                <w:szCs w:val="16"/>
                <w:b w:val="1"/>
                <w:bCs w:val="1"/>
                <w:color w:val="FFFFFF"/>
              </w:rPr>
              <w:t>​</w:t>
            </w:r>
          </w:p>
        </w:tc>
        <w:tc>
          <w:tcPr>
            <w:tcW w:w="660" w:type="dxa"/>
            <w:vAlign w:val="bottom"/>
            <w:shd w:val="clear" w:color="auto" w:fill="BF5B5A"/>
          </w:tcPr>
          <w:p>
            <w:pPr>
              <w:spacing w:after="0"/>
              <w:rPr>
                <w:sz w:val="16"/>
                <w:szCs w:val="16"/>
                <w:color w:val="auto"/>
              </w:rPr>
            </w:pPr>
          </w:p>
        </w:tc>
        <w:tc>
          <w:tcPr>
            <w:tcW w:w="60" w:type="dxa"/>
            <w:vAlign w:val="bottom"/>
            <w:vMerge w:val="restart"/>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920" w:type="dxa"/>
            <w:vAlign w:val="bottom"/>
            <w:vMerge w:val="continue"/>
            <w:shd w:val="clear" w:color="auto" w:fill="BF5B5A"/>
          </w:tcPr>
          <w:p>
            <w:pPr>
              <w:spacing w:after="0"/>
              <w:rPr>
                <w:sz w:val="17"/>
                <w:szCs w:val="17"/>
                <w:color w:val="auto"/>
              </w:rPr>
            </w:pPr>
          </w:p>
        </w:tc>
        <w:tc>
          <w:tcPr>
            <w:tcW w:w="140" w:type="dxa"/>
            <w:vAlign w:val="bottom"/>
            <w:shd w:val="clear" w:color="auto" w:fill="BF5B5A"/>
          </w:tcPr>
          <w:p>
            <w:pPr>
              <w:spacing w:after="0"/>
              <w:rPr>
                <w:sz w:val="17"/>
                <w:szCs w:val="17"/>
                <w:color w:val="auto"/>
              </w:rPr>
            </w:pPr>
          </w:p>
        </w:tc>
        <w:tc>
          <w:tcPr>
            <w:tcW w:w="240" w:type="dxa"/>
            <w:vAlign w:val="bottom"/>
            <w:vMerge w:val="continue"/>
            <w:shd w:val="clear" w:color="auto" w:fill="BF5B5A"/>
          </w:tcPr>
          <w:p>
            <w:pPr>
              <w:spacing w:after="0"/>
              <w:rPr>
                <w:sz w:val="17"/>
                <w:szCs w:val="17"/>
                <w:color w:val="auto"/>
              </w:rPr>
            </w:pPr>
          </w:p>
        </w:tc>
        <w:tc>
          <w:tcPr>
            <w:tcW w:w="180" w:type="dxa"/>
            <w:vAlign w:val="bottom"/>
            <w:vMerge w:val="continue"/>
            <w:shd w:val="clear" w:color="auto" w:fill="BF5B5A"/>
          </w:tcPr>
          <w:p>
            <w:pPr>
              <w:spacing w:after="0"/>
              <w:rPr>
                <w:sz w:val="17"/>
                <w:szCs w:val="17"/>
                <w:color w:val="auto"/>
              </w:rPr>
            </w:pPr>
          </w:p>
        </w:tc>
        <w:tc>
          <w:tcPr>
            <w:tcW w:w="1120" w:type="dxa"/>
            <w:vAlign w:val="bottom"/>
            <w:vMerge w:val="continue"/>
            <w:shd w:val="clear" w:color="auto" w:fill="BF5B5A"/>
          </w:tcPr>
          <w:p>
            <w:pPr>
              <w:spacing w:after="0"/>
              <w:rPr>
                <w:sz w:val="17"/>
                <w:szCs w:val="17"/>
                <w:color w:val="auto"/>
              </w:rPr>
            </w:pPr>
          </w:p>
        </w:tc>
        <w:tc>
          <w:tcPr>
            <w:tcW w:w="280" w:type="dxa"/>
            <w:vAlign w:val="bottom"/>
            <w:vMerge w:val="continue"/>
            <w:shd w:val="clear" w:color="auto" w:fill="BF5B5A"/>
          </w:tcPr>
          <w:p>
            <w:pPr>
              <w:spacing w:after="0"/>
              <w:rPr>
                <w:sz w:val="17"/>
                <w:szCs w:val="17"/>
                <w:color w:val="auto"/>
              </w:rPr>
            </w:pPr>
          </w:p>
        </w:tc>
        <w:tc>
          <w:tcPr>
            <w:tcW w:w="700" w:type="dxa"/>
            <w:vAlign w:val="bottom"/>
            <w:gridSpan w:val="2"/>
            <w:vMerge w:val="continue"/>
            <w:shd w:val="clear" w:color="auto" w:fill="BF5B5A"/>
          </w:tcPr>
          <w:p>
            <w:pPr>
              <w:spacing w:after="0"/>
              <w:rPr>
                <w:sz w:val="17"/>
                <w:szCs w:val="17"/>
                <w:color w:val="auto"/>
              </w:rPr>
            </w:pPr>
          </w:p>
        </w:tc>
        <w:tc>
          <w:tcPr>
            <w:tcW w:w="200" w:type="dxa"/>
            <w:vAlign w:val="bottom"/>
            <w:vMerge w:val="continue"/>
            <w:shd w:val="clear" w:color="auto" w:fill="BF5B5A"/>
          </w:tcPr>
          <w:p>
            <w:pPr>
              <w:spacing w:after="0"/>
              <w:rPr>
                <w:sz w:val="17"/>
                <w:szCs w:val="17"/>
                <w:color w:val="auto"/>
              </w:rPr>
            </w:pPr>
          </w:p>
        </w:tc>
        <w:tc>
          <w:tcPr>
            <w:tcW w:w="160" w:type="dxa"/>
            <w:vAlign w:val="bottom"/>
            <w:vMerge w:val="continue"/>
            <w:shd w:val="clear" w:color="auto" w:fill="BF5B5A"/>
          </w:tcPr>
          <w:p>
            <w:pPr>
              <w:spacing w:after="0"/>
              <w:rPr>
                <w:sz w:val="17"/>
                <w:szCs w:val="17"/>
                <w:color w:val="auto"/>
              </w:rPr>
            </w:pPr>
          </w:p>
        </w:tc>
        <w:tc>
          <w:tcPr>
            <w:tcW w:w="120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Compensation</w:t>
            </w:r>
          </w:p>
        </w:tc>
        <w:tc>
          <w:tcPr>
            <w:tcW w:w="220" w:type="dxa"/>
            <w:vAlign w:val="bottom"/>
            <w:vMerge w:val="continue"/>
            <w:shd w:val="clear" w:color="auto" w:fill="BF5B5A"/>
          </w:tcPr>
          <w:p>
            <w:pPr>
              <w:spacing w:after="0"/>
              <w:rPr>
                <w:sz w:val="17"/>
                <w:szCs w:val="17"/>
                <w:color w:val="auto"/>
              </w:rPr>
            </w:pPr>
          </w:p>
        </w:tc>
        <w:tc>
          <w:tcPr>
            <w:tcW w:w="180" w:type="dxa"/>
            <w:vAlign w:val="bottom"/>
            <w:vMerge w:val="continue"/>
            <w:shd w:val="clear" w:color="auto" w:fill="BF5B5A"/>
          </w:tcPr>
          <w:p>
            <w:pPr>
              <w:spacing w:after="0"/>
              <w:rPr>
                <w:sz w:val="17"/>
                <w:szCs w:val="17"/>
                <w:color w:val="auto"/>
              </w:rPr>
            </w:pPr>
          </w:p>
        </w:tc>
        <w:tc>
          <w:tcPr>
            <w:tcW w:w="13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Nominating</w:t>
            </w:r>
          </w:p>
        </w:tc>
        <w:tc>
          <w:tcPr>
            <w:tcW w:w="200" w:type="dxa"/>
            <w:vAlign w:val="bottom"/>
            <w:vMerge w:val="continue"/>
            <w:shd w:val="clear" w:color="auto" w:fill="BF5B5A"/>
          </w:tcPr>
          <w:p>
            <w:pPr>
              <w:spacing w:after="0"/>
              <w:rPr>
                <w:sz w:val="17"/>
                <w:szCs w:val="17"/>
                <w:color w:val="auto"/>
              </w:rPr>
            </w:pPr>
          </w:p>
        </w:tc>
        <w:tc>
          <w:tcPr>
            <w:tcW w:w="320" w:type="dxa"/>
            <w:vAlign w:val="bottom"/>
            <w:vMerge w:val="continue"/>
            <w:shd w:val="clear" w:color="auto" w:fill="BF5B5A"/>
          </w:tcPr>
          <w:p>
            <w:pPr>
              <w:spacing w:after="0"/>
              <w:rPr>
                <w:sz w:val="17"/>
                <w:szCs w:val="17"/>
                <w:color w:val="auto"/>
              </w:rPr>
            </w:pPr>
          </w:p>
        </w:tc>
        <w:tc>
          <w:tcPr>
            <w:tcW w:w="66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Risk</w:t>
            </w:r>
          </w:p>
        </w:tc>
        <w:tc>
          <w:tcPr>
            <w:tcW w:w="60" w:type="dxa"/>
            <w:vAlign w:val="bottom"/>
            <w:vMerge w:val="continue"/>
            <w:shd w:val="clear" w:color="auto" w:fill="BF5B5A"/>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​Michael K. Fujimoto</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00" w:type="dxa"/>
            <w:vAlign w:val="bottom"/>
            <w:tcBorders>
              <w:bottom w:val="single" w:sz="8" w:color="7F7F7F"/>
            </w:tcBorders>
            <w:gridSpan w:val="2"/>
          </w:tcPr>
          <w:p>
            <w:pPr>
              <w:ind w:left="40"/>
              <w:spacing w:after="0" w:line="31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Robert S. Harrison </w:t>
            </w:r>
          </w:p>
        </w:tc>
        <w:tc>
          <w:tcPr>
            <w:tcW w:w="14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ind w:left="6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7F7F7F"/>
            </w:tcBorders>
          </w:tcPr>
          <w:p>
            <w:pPr>
              <w:ind w:left="6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ind w:left="7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​Faye W. Kurren</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ind w:left="28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​James S. Moffatt</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​Mark M. Mugiishi</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​Kelly S. Thompson</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00" w:type="dxa"/>
            <w:vAlign w:val="bottom"/>
            <w:tcBorders>
              <w:bottom w:val="single" w:sz="8" w:color="7F7F7F"/>
            </w:tcBorders>
            <w:gridSpan w:val="2"/>
          </w:tcPr>
          <w:p>
            <w:pPr>
              <w:ind w:left="4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Allen B. Uyeda </w:t>
            </w:r>
          </w:p>
        </w:tc>
        <w:tc>
          <w:tcPr>
            <w:tcW w:w="140" w:type="dxa"/>
            <w:vAlign w:val="bottom"/>
            <w:tcBorders>
              <w:bottom w:val="single" w:sz="8" w:color="7F7F7F"/>
            </w:tcBorders>
          </w:tcPr>
          <w:p>
            <w:pPr>
              <w:spacing w:after="0"/>
              <w:rPr>
                <w:sz w:val="24"/>
                <w:szCs w:val="24"/>
                <w:color w:val="auto"/>
              </w:rPr>
            </w:pPr>
          </w:p>
        </w:tc>
        <w:tc>
          <w:tcPr>
            <w:tcW w:w="24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spacing w:after="0"/>
              <w:rPr>
                <w:sz w:val="24"/>
                <w:szCs w:val="24"/>
                <w:color w:val="auto"/>
              </w:rPr>
            </w:pPr>
          </w:p>
        </w:tc>
        <w:tc>
          <w:tcPr>
            <w:tcW w:w="28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spacing w:after="0"/>
              <w:rPr>
                <w:sz w:val="24"/>
                <w:szCs w:val="24"/>
                <w:color w:val="auto"/>
              </w:rPr>
            </w:pPr>
          </w:p>
        </w:tc>
        <w:tc>
          <w:tcPr>
            <w:tcW w:w="28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​Vanessa L. Washington</w:t>
            </w:r>
          </w:p>
        </w:tc>
        <w:tc>
          <w:tcPr>
            <w:tcW w:w="140" w:type="dxa"/>
            <w:vAlign w:val="bottom"/>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ind w:left="28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000" w:type="dxa"/>
            <w:vAlign w:val="bottom"/>
            <w:tcBorders>
              <w:bottom w:val="single" w:sz="8" w:color="7F7F7F"/>
            </w:tcBorders>
            <w:gridSpan w:val="2"/>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00" w:type="dxa"/>
            <w:vAlign w:val="bottom"/>
            <w:gridSpan w:val="2"/>
          </w:tcPr>
          <w:p>
            <w:pPr>
              <w:ind w:left="40"/>
              <w:spacing w:after="0"/>
              <w:rPr>
                <w:sz w:val="20"/>
                <w:szCs w:val="20"/>
                <w:color w:val="auto"/>
              </w:rPr>
            </w:pPr>
            <w:r>
              <w:rPr>
                <w:rFonts w:ascii="Arial" w:cs="Arial" w:eastAsia="Arial" w:hAnsi="Arial"/>
                <w:sz w:val="16"/>
                <w:szCs w:val="16"/>
                <w:color w:val="auto"/>
              </w:rPr>
              <w:t>​C. Scott Wo</w:t>
            </w:r>
          </w:p>
        </w:tc>
        <w:tc>
          <w:tcPr>
            <w:tcW w:w="140" w:type="dxa"/>
            <w:vAlign w:val="bottom"/>
          </w:tcPr>
          <w:p>
            <w:pPr>
              <w:spacing w:after="0"/>
              <w:rPr>
                <w:sz w:val="20"/>
                <w:szCs w:val="20"/>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6"/>
                <w:szCs w:val="16"/>
                <w:color w:val="auto"/>
              </w:rPr>
              <w:t>​</w:t>
            </w:r>
          </w:p>
        </w:tc>
        <w:tc>
          <w:tcPr>
            <w:tcW w:w="1200" w:type="dxa"/>
            <w:vAlign w:val="bottom"/>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80" w:type="dxa"/>
            <w:vAlign w:val="bottom"/>
            <w:tcBorders>
              <w:bottom w:val="single" w:sz="8" w:color="BF5B5A"/>
            </w:tcBorders>
          </w:tcPr>
          <w:p>
            <w:pPr>
              <w:spacing w:after="0"/>
              <w:rPr>
                <w:sz w:val="3"/>
                <w:szCs w:val="3"/>
                <w:color w:val="auto"/>
              </w:rPr>
            </w:pPr>
          </w:p>
        </w:tc>
        <w:tc>
          <w:tcPr>
            <w:tcW w:w="1920" w:type="dxa"/>
            <w:vAlign w:val="bottom"/>
            <w:tcBorders>
              <w:bottom w:val="single" w:sz="8" w:color="BF5B5A"/>
            </w:tcBorders>
          </w:tcPr>
          <w:p>
            <w:pPr>
              <w:spacing w:after="0"/>
              <w:rPr>
                <w:sz w:val="3"/>
                <w:szCs w:val="3"/>
                <w:color w:val="auto"/>
              </w:rPr>
            </w:pPr>
          </w:p>
        </w:tc>
        <w:tc>
          <w:tcPr>
            <w:tcW w:w="140" w:type="dxa"/>
            <w:vAlign w:val="bottom"/>
            <w:tcBorders>
              <w:bottom w:val="single" w:sz="8" w:color="BF5B5A"/>
            </w:tcBorders>
          </w:tcPr>
          <w:p>
            <w:pPr>
              <w:spacing w:after="0"/>
              <w:rPr>
                <w:sz w:val="3"/>
                <w:szCs w:val="3"/>
                <w:color w:val="auto"/>
              </w:rPr>
            </w:pPr>
          </w:p>
        </w:tc>
        <w:tc>
          <w:tcPr>
            <w:tcW w:w="240" w:type="dxa"/>
            <w:vAlign w:val="bottom"/>
            <w:tcBorders>
              <w:bottom w:val="single" w:sz="8" w:color="BF5B5A"/>
            </w:tcBorders>
          </w:tcPr>
          <w:p>
            <w:pPr>
              <w:spacing w:after="0"/>
              <w:rPr>
                <w:sz w:val="3"/>
                <w:szCs w:val="3"/>
                <w:color w:val="auto"/>
              </w:rPr>
            </w:pPr>
          </w:p>
        </w:tc>
        <w:tc>
          <w:tcPr>
            <w:tcW w:w="180" w:type="dxa"/>
            <w:vAlign w:val="bottom"/>
            <w:tcBorders>
              <w:bottom w:val="single" w:sz="8" w:color="BF5B5A"/>
            </w:tcBorders>
          </w:tcPr>
          <w:p>
            <w:pPr>
              <w:spacing w:after="0"/>
              <w:rPr>
                <w:sz w:val="3"/>
                <w:szCs w:val="3"/>
                <w:color w:val="auto"/>
              </w:rPr>
            </w:pPr>
          </w:p>
        </w:tc>
        <w:tc>
          <w:tcPr>
            <w:tcW w:w="1120" w:type="dxa"/>
            <w:vAlign w:val="bottom"/>
            <w:tcBorders>
              <w:bottom w:val="single" w:sz="8" w:color="BF5B5A"/>
            </w:tcBorders>
          </w:tcPr>
          <w:p>
            <w:pPr>
              <w:spacing w:after="0"/>
              <w:rPr>
                <w:sz w:val="3"/>
                <w:szCs w:val="3"/>
                <w:color w:val="auto"/>
              </w:rPr>
            </w:pPr>
          </w:p>
        </w:tc>
        <w:tc>
          <w:tcPr>
            <w:tcW w:w="280" w:type="dxa"/>
            <w:vAlign w:val="bottom"/>
            <w:tcBorders>
              <w:bottom w:val="single" w:sz="8" w:color="BF5B5A"/>
            </w:tcBorders>
          </w:tcPr>
          <w:p>
            <w:pPr>
              <w:spacing w:after="0"/>
              <w:rPr>
                <w:sz w:val="3"/>
                <w:szCs w:val="3"/>
                <w:color w:val="auto"/>
              </w:rPr>
            </w:pPr>
          </w:p>
        </w:tc>
        <w:tc>
          <w:tcPr>
            <w:tcW w:w="300" w:type="dxa"/>
            <w:vAlign w:val="bottom"/>
            <w:tcBorders>
              <w:bottom w:val="single" w:sz="8" w:color="BF5B5A"/>
            </w:tcBorders>
          </w:tcPr>
          <w:p>
            <w:pPr>
              <w:spacing w:after="0"/>
              <w:rPr>
                <w:sz w:val="3"/>
                <w:szCs w:val="3"/>
                <w:color w:val="auto"/>
              </w:rPr>
            </w:pPr>
          </w:p>
        </w:tc>
        <w:tc>
          <w:tcPr>
            <w:tcW w:w="400" w:type="dxa"/>
            <w:vAlign w:val="bottom"/>
            <w:tcBorders>
              <w:bottom w:val="single" w:sz="8" w:color="BF5B5A"/>
            </w:tcBorders>
          </w:tcPr>
          <w:p>
            <w:pPr>
              <w:spacing w:after="0"/>
              <w:rPr>
                <w:sz w:val="3"/>
                <w:szCs w:val="3"/>
                <w:color w:val="auto"/>
              </w:rPr>
            </w:pPr>
          </w:p>
        </w:tc>
        <w:tc>
          <w:tcPr>
            <w:tcW w:w="200" w:type="dxa"/>
            <w:vAlign w:val="bottom"/>
            <w:tcBorders>
              <w:bottom w:val="single" w:sz="8" w:color="BF5B5A"/>
            </w:tcBorders>
          </w:tcPr>
          <w:p>
            <w:pPr>
              <w:spacing w:after="0"/>
              <w:rPr>
                <w:sz w:val="3"/>
                <w:szCs w:val="3"/>
                <w:color w:val="auto"/>
              </w:rPr>
            </w:pPr>
          </w:p>
        </w:tc>
        <w:tc>
          <w:tcPr>
            <w:tcW w:w="160" w:type="dxa"/>
            <w:vAlign w:val="bottom"/>
            <w:tcBorders>
              <w:bottom w:val="single" w:sz="8" w:color="BF5B5A"/>
            </w:tcBorders>
          </w:tcPr>
          <w:p>
            <w:pPr>
              <w:spacing w:after="0"/>
              <w:rPr>
                <w:sz w:val="3"/>
                <w:szCs w:val="3"/>
                <w:color w:val="auto"/>
              </w:rPr>
            </w:pPr>
          </w:p>
        </w:tc>
        <w:tc>
          <w:tcPr>
            <w:tcW w:w="1200" w:type="dxa"/>
            <w:vAlign w:val="bottom"/>
            <w:tcBorders>
              <w:bottom w:val="single" w:sz="8" w:color="BF5B5A"/>
            </w:tcBorders>
          </w:tcPr>
          <w:p>
            <w:pPr>
              <w:spacing w:after="0"/>
              <w:rPr>
                <w:sz w:val="3"/>
                <w:szCs w:val="3"/>
                <w:color w:val="auto"/>
              </w:rPr>
            </w:pPr>
          </w:p>
        </w:tc>
        <w:tc>
          <w:tcPr>
            <w:tcW w:w="220" w:type="dxa"/>
            <w:vAlign w:val="bottom"/>
            <w:tcBorders>
              <w:bottom w:val="single" w:sz="8" w:color="BF5B5A"/>
            </w:tcBorders>
          </w:tcPr>
          <w:p>
            <w:pPr>
              <w:spacing w:after="0"/>
              <w:rPr>
                <w:sz w:val="3"/>
                <w:szCs w:val="3"/>
                <w:color w:val="auto"/>
              </w:rPr>
            </w:pPr>
          </w:p>
        </w:tc>
        <w:tc>
          <w:tcPr>
            <w:tcW w:w="180" w:type="dxa"/>
            <w:vAlign w:val="bottom"/>
            <w:tcBorders>
              <w:bottom w:val="single" w:sz="8" w:color="BF5B5A"/>
            </w:tcBorders>
          </w:tcPr>
          <w:p>
            <w:pPr>
              <w:spacing w:after="0"/>
              <w:rPr>
                <w:sz w:val="3"/>
                <w:szCs w:val="3"/>
                <w:color w:val="auto"/>
              </w:rPr>
            </w:pPr>
          </w:p>
        </w:tc>
        <w:tc>
          <w:tcPr>
            <w:tcW w:w="1040" w:type="dxa"/>
            <w:vAlign w:val="bottom"/>
            <w:tcBorders>
              <w:bottom w:val="single" w:sz="8" w:color="BF5B5A"/>
            </w:tcBorders>
          </w:tcPr>
          <w:p>
            <w:pPr>
              <w:spacing w:after="0"/>
              <w:rPr>
                <w:sz w:val="3"/>
                <w:szCs w:val="3"/>
                <w:color w:val="auto"/>
              </w:rPr>
            </w:pPr>
          </w:p>
        </w:tc>
        <w:tc>
          <w:tcPr>
            <w:tcW w:w="280" w:type="dxa"/>
            <w:vAlign w:val="bottom"/>
            <w:tcBorders>
              <w:bottom w:val="single" w:sz="8" w:color="BF5B5A"/>
            </w:tcBorders>
          </w:tcPr>
          <w:p>
            <w:pPr>
              <w:spacing w:after="0"/>
              <w:rPr>
                <w:sz w:val="3"/>
                <w:szCs w:val="3"/>
                <w:color w:val="auto"/>
              </w:rPr>
            </w:pPr>
          </w:p>
        </w:tc>
        <w:tc>
          <w:tcPr>
            <w:tcW w:w="200" w:type="dxa"/>
            <w:vAlign w:val="bottom"/>
            <w:tcBorders>
              <w:bottom w:val="single" w:sz="8" w:color="BF5B5A"/>
            </w:tcBorders>
          </w:tcPr>
          <w:p>
            <w:pPr>
              <w:spacing w:after="0"/>
              <w:rPr>
                <w:sz w:val="3"/>
                <w:szCs w:val="3"/>
                <w:color w:val="auto"/>
              </w:rPr>
            </w:pPr>
          </w:p>
        </w:tc>
        <w:tc>
          <w:tcPr>
            <w:tcW w:w="980" w:type="dxa"/>
            <w:vAlign w:val="bottom"/>
            <w:tcBorders>
              <w:bottom w:val="single" w:sz="8" w:color="BF5B5A"/>
            </w:tcBorders>
            <w:gridSpan w:val="2"/>
          </w:tcPr>
          <w:p>
            <w:pPr>
              <w:spacing w:after="0"/>
              <w:rPr>
                <w:sz w:val="3"/>
                <w:szCs w:val="3"/>
                <w:color w:val="auto"/>
              </w:rPr>
            </w:pPr>
          </w:p>
        </w:tc>
        <w:tc>
          <w:tcPr>
            <w:tcW w:w="60" w:type="dxa"/>
            <w:vAlign w:val="bottom"/>
            <w:tcBorders>
              <w:bottom w:val="single" w:sz="8" w:color="BF5B5A"/>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w w:val="99"/>
              </w:rPr>
              <w:t>Audit Committee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2000" w:type="dxa"/>
            <w:vAlign w:val="bottom"/>
            <w:gridSpan w:val="2"/>
          </w:tcPr>
          <w:p>
            <w:pPr>
              <w:spacing w:after="0"/>
              <w:rPr>
                <w:sz w:val="20"/>
                <w:szCs w:val="20"/>
                <w:color w:val="auto"/>
              </w:rPr>
            </w:pPr>
            <w:r>
              <w:rPr>
                <w:rFonts w:ascii="Arial" w:cs="Arial" w:eastAsia="Arial" w:hAnsi="Arial"/>
                <w:sz w:val="13"/>
                <w:szCs w:val="13"/>
                <w:color w:val="auto"/>
              </w:rPr>
              <w:t>​   ​​ Chairman of the Board   ​​</w:t>
            </w:r>
          </w:p>
        </w:tc>
        <w:tc>
          <w:tcPr>
            <w:tcW w:w="1680" w:type="dxa"/>
            <w:vAlign w:val="bottom"/>
            <w:gridSpan w:val="4"/>
          </w:tcPr>
          <w:p>
            <w:pPr>
              <w:ind w:left="140"/>
              <w:spacing w:after="0"/>
              <w:rPr>
                <w:sz w:val="20"/>
                <w:szCs w:val="20"/>
                <w:color w:val="auto"/>
              </w:rPr>
            </w:pPr>
            <w:r>
              <w:rPr>
                <w:rFonts w:ascii="Arial" w:cs="Arial" w:eastAsia="Arial" w:hAnsi="Arial"/>
                <w:sz w:val="13"/>
                <w:szCs w:val="13"/>
                <w:color w:val="auto"/>
              </w:rPr>
              <w:t>​ ​ Committee Chair  ​ ​</w:t>
            </w:r>
          </w:p>
        </w:tc>
        <w:tc>
          <w:tcPr>
            <w:tcW w:w="1340" w:type="dxa"/>
            <w:vAlign w:val="bottom"/>
            <w:gridSpan w:val="5"/>
          </w:tcPr>
          <w:p>
            <w:pPr>
              <w:spacing w:after="0"/>
              <w:rPr>
                <w:sz w:val="20"/>
                <w:szCs w:val="20"/>
                <w:color w:val="auto"/>
              </w:rPr>
            </w:pPr>
            <w:r>
              <w:rPr>
                <w:rFonts w:ascii="Arial" w:cs="Arial" w:eastAsia="Arial" w:hAnsi="Arial"/>
                <w:sz w:val="13"/>
                <w:szCs w:val="13"/>
                <w:color w:val="auto"/>
              </w:rPr>
              <w:t>​ ​ Committee Member</w:t>
            </w:r>
          </w:p>
        </w:tc>
        <w:tc>
          <w:tcPr>
            <w:tcW w:w="2640" w:type="dxa"/>
            <w:vAlign w:val="bottom"/>
            <w:gridSpan w:val="4"/>
          </w:tcPr>
          <w:p>
            <w:pPr>
              <w:ind w:left="280"/>
              <w:spacing w:after="0"/>
              <w:rPr>
                <w:sz w:val="20"/>
                <w:szCs w:val="20"/>
                <w:color w:val="auto"/>
              </w:rPr>
            </w:pPr>
            <w:r>
              <w:rPr>
                <w:rFonts w:ascii="Arial" w:cs="Arial" w:eastAsia="Arial" w:hAnsi="Arial"/>
                <w:sz w:val="13"/>
                <w:szCs w:val="13"/>
                <w:color w:val="auto"/>
              </w:rPr>
              <w:t>​ ​​ ​ Lead Independent Director</w:t>
            </w:r>
          </w:p>
        </w:tc>
        <w:tc>
          <w:tcPr>
            <w:tcW w:w="280" w:type="dxa"/>
            <w:vAlign w:val="bottom"/>
          </w:tcPr>
          <w:p>
            <w:pPr>
              <w:ind w:left="20"/>
              <w:spacing w:after="0"/>
              <w:rPr>
                <w:sz w:val="20"/>
                <w:szCs w:val="20"/>
                <w:color w:val="auto"/>
              </w:rPr>
            </w:pPr>
            <w:r>
              <w:rPr>
                <w:rFonts w:ascii="Arial" w:cs="Arial" w:eastAsia="Arial" w:hAnsi="Arial"/>
                <w:sz w:val="13"/>
                <w:szCs w:val="13"/>
                <w:color w:val="auto"/>
              </w:rPr>
              <w:t>​ ​</w:t>
            </w:r>
          </w:p>
        </w:tc>
        <w:tc>
          <w:tcPr>
            <w:tcW w:w="1180" w:type="dxa"/>
            <w:vAlign w:val="bottom"/>
            <w:gridSpan w:val="3"/>
          </w:tcPr>
          <w:p>
            <w:pPr>
              <w:ind w:left="100"/>
              <w:spacing w:after="0"/>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financial expert</w:t>
            </w:r>
          </w:p>
        </w:tc>
        <w:tc>
          <w:tcPr>
            <w:tcW w:w="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-2105025</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-2336165</wp:posOffset>
            </wp:positionV>
            <wp:extent cx="16256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2560" cy="14605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-2345055</wp:posOffset>
            </wp:positionV>
            <wp:extent cx="2489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8920"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-2336165</wp:posOffset>
            </wp:positionV>
            <wp:extent cx="12890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-1899285</wp:posOffset>
            </wp:positionV>
            <wp:extent cx="162560"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-1907540</wp:posOffset>
            </wp:positionV>
            <wp:extent cx="2489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8920" cy="13716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-1890395</wp:posOffset>
            </wp:positionV>
            <wp:extent cx="12890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-1667510</wp:posOffset>
            </wp:positionV>
            <wp:extent cx="16256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-1659255</wp:posOffset>
            </wp:positionV>
            <wp:extent cx="128905"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-1659255</wp:posOffset>
            </wp:positionV>
            <wp:extent cx="137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-1436370</wp:posOffset>
            </wp:positionV>
            <wp:extent cx="16256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2560" cy="14605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-1427480</wp:posOffset>
            </wp:positionV>
            <wp:extent cx="128905"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-1204595</wp:posOffset>
            </wp:positionV>
            <wp:extent cx="16256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-1196340</wp:posOffset>
            </wp:positionV>
            <wp:extent cx="12890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-1196340</wp:posOffset>
            </wp:positionV>
            <wp:extent cx="12890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-981710</wp:posOffset>
            </wp:positionV>
            <wp:extent cx="162560"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-981710</wp:posOffset>
            </wp:positionV>
            <wp:extent cx="12890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-981710</wp:posOffset>
            </wp:positionV>
            <wp:extent cx="1371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-767715</wp:posOffset>
            </wp:positionV>
            <wp:extent cx="16256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2560" cy="14541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-758825</wp:posOffset>
            </wp:positionV>
            <wp:extent cx="13716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-758825</wp:posOffset>
            </wp:positionV>
            <wp:extent cx="12890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-553085</wp:posOffset>
            </wp:positionV>
            <wp:extent cx="16256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2560" cy="14605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-561975</wp:posOffset>
            </wp:positionV>
            <wp:extent cx="26543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-553085</wp:posOffset>
            </wp:positionV>
            <wp:extent cx="128905"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-227330</wp:posOffset>
            </wp:positionV>
            <wp:extent cx="1371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-227330</wp:posOffset>
            </wp:positionV>
            <wp:extent cx="13716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-227330</wp:posOffset>
            </wp:positionV>
            <wp:extent cx="12890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-219075</wp:posOffset>
            </wp:positionV>
            <wp:extent cx="93980" cy="128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128270"/>
                    </a:xfrm>
                    <a:prstGeom prst="rect">
                      <a:avLst/>
                    </a:prstGeom>
                    <a:noFill/>
                  </pic:spPr>
                </pic:pic>
              </a:graphicData>
            </a:graphic>
          </wp:anchor>
        </w:drawing>
      </w:r>
    </w:p>
    <w:p>
      <w:pPr>
        <w:spacing w:after="0" w:line="38" w:lineRule="exact"/>
        <w:rPr>
          <w:sz w:val="20"/>
          <w:szCs w:val="20"/>
          <w:color w:val="auto"/>
        </w:rPr>
      </w:pPr>
    </w:p>
    <w:p>
      <w:pPr>
        <w:ind w:left="1140" w:hanging="360"/>
        <w:spacing w:after="0"/>
        <w:tabs>
          <w:tab w:leader="none" w:pos="11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“Independent” under NASDAQ listing standards.</w:t>
      </w:r>
    </w:p>
    <w:p>
      <w:pPr>
        <w:spacing w:after="0" w:line="1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Charters and our other governance documents are available at:</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BF5B5A"/>
        </w:rPr>
        <w:t>ir.fhb.com/corporate-governance/highlights.</w:t>
      </w:r>
    </w:p>
    <w:p>
      <w:pPr>
        <w:sectPr>
          <w:pgSz w:w="11900" w:h="16838" w:orient="portrait"/>
          <w:cols w:equalWidth="0" w:num="1">
            <w:col w:w="100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28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274955</wp:posOffset>
            </wp:positionV>
            <wp:extent cx="4423410" cy="4457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423410" cy="445770"/>
                    </a:xfrm>
                    <a:prstGeom prst="rect">
                      <a:avLst/>
                    </a:prstGeom>
                    <a:noFill/>
                  </pic:spPr>
                </pic:pic>
              </a:graphicData>
            </a:graphic>
          </wp:anchor>
        </w:drawing>
      </w:r>
    </w:p>
    <w:p>
      <w:pPr>
        <w:spacing w:after="0" w:line="393" w:lineRule="exact"/>
        <w:rPr>
          <w:sz w:val="20"/>
          <w:szCs w:val="20"/>
          <w:color w:val="auto"/>
        </w:rPr>
      </w:pPr>
    </w:p>
    <w:tbl>
      <w:tblPr>
        <w:tblLayout w:type="fixed"/>
        <w:tblInd w:w="780" w:type="dxa"/>
        <w:tblCellMar>
          <w:top w:w="0" w:type="dxa"/>
          <w:left w:w="0" w:type="dxa"/>
          <w:bottom w:w="0" w:type="dxa"/>
          <w:right w:w="0" w:type="dxa"/>
        </w:tblCellMar>
      </w:tblPr>
      <w:tr>
        <w:trPr>
          <w:trHeight w:val="242"/>
        </w:trPr>
        <w:tc>
          <w:tcPr>
            <w:tcW w:w="1100" w:type="dxa"/>
            <w:vAlign w:val="bottom"/>
            <w:tcBorders>
              <w:top w:val="single" w:sz="8" w:color="BF5B5A"/>
            </w:tcBorders>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BF5B5A"/>
            </w:tcBorders>
          </w:tcPr>
          <w:p>
            <w:pPr>
              <w:jc w:val="right"/>
              <w:spacing w:after="0"/>
              <w:rPr>
                <w:sz w:val="20"/>
                <w:szCs w:val="20"/>
                <w:color w:val="auto"/>
              </w:rPr>
            </w:pPr>
            <w:r>
              <w:rPr>
                <w:rFonts w:ascii="Arial" w:cs="Arial" w:eastAsia="Arial" w:hAnsi="Arial"/>
                <w:sz w:val="16"/>
                <w:szCs w:val="16"/>
                <w:color w:val="auto"/>
              </w:rPr>
              <w:t>​​</w:t>
            </w:r>
          </w:p>
        </w:tc>
        <w:tc>
          <w:tcPr>
            <w:tcW w:w="3240" w:type="dxa"/>
            <w:vAlign w:val="bottom"/>
            <w:tcBorders>
              <w:top w:val="single" w:sz="8" w:color="BF5B5A"/>
            </w:tcBorders>
          </w:tcPr>
          <w:p>
            <w:pPr>
              <w:ind w:left="660"/>
              <w:spacing w:after="0"/>
              <w:rPr>
                <w:sz w:val="20"/>
                <w:szCs w:val="20"/>
                <w:color w:val="auto"/>
              </w:rPr>
            </w:pPr>
            <w:r>
              <w:rPr>
                <w:rFonts w:ascii="Arial" w:cs="Arial" w:eastAsia="Arial" w:hAnsi="Arial"/>
                <w:sz w:val="16"/>
                <w:szCs w:val="16"/>
                <w:color w:val="auto"/>
              </w:rPr>
              <w:t>​ ​</w:t>
            </w:r>
          </w:p>
        </w:tc>
        <w:tc>
          <w:tcPr>
            <w:tcW w:w="1360" w:type="dxa"/>
            <w:vAlign w:val="bottom"/>
            <w:tcBorders>
              <w:top w:val="single" w:sz="8" w:color="BF5B5A"/>
            </w:tcBorders>
          </w:tcPr>
          <w:p>
            <w:pPr>
              <w:ind w:left="500"/>
              <w:spacing w:after="0"/>
              <w:rPr>
                <w:sz w:val="20"/>
                <w:szCs w:val="20"/>
                <w:color w:val="auto"/>
              </w:rPr>
            </w:pPr>
            <w:r>
              <w:rPr>
                <w:rFonts w:ascii="Arial" w:cs="Arial" w:eastAsia="Arial" w:hAnsi="Arial"/>
                <w:sz w:val="16"/>
                <w:szCs w:val="16"/>
                <w:color w:val="auto"/>
              </w:rPr>
              <w:t>​ ​</w:t>
            </w:r>
          </w:p>
        </w:tc>
        <w:tc>
          <w:tcPr>
            <w:tcW w:w="2320" w:type="dxa"/>
            <w:vAlign w:val="bottom"/>
            <w:tcBorders>
              <w:top w:val="single" w:sz="8" w:color="BF5B5A"/>
            </w:tcBorders>
          </w:tcPr>
          <w:p>
            <w:pPr>
              <w:ind w:left="2220"/>
              <w:spacing w:after="0"/>
              <w:rPr>
                <w:sz w:val="20"/>
                <w:szCs w:val="20"/>
                <w:color w:val="auto"/>
              </w:rPr>
            </w:pPr>
            <w:r>
              <w:rPr>
                <w:rFonts w:ascii="Arial" w:cs="Arial" w:eastAsia="Arial" w:hAnsi="Arial"/>
                <w:sz w:val="16"/>
                <w:szCs w:val="16"/>
                <w:color w:val="auto"/>
              </w:rPr>
              <w:t>​</w:t>
            </w:r>
          </w:p>
        </w:tc>
      </w:tr>
      <w:tr>
        <w:trPr>
          <w:trHeight w:val="365"/>
        </w:trPr>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tcPr>
          <w:p>
            <w:pPr>
              <w:ind w:left="860"/>
              <w:spacing w:after="0"/>
              <w:rPr>
                <w:sz w:val="20"/>
                <w:szCs w:val="20"/>
                <w:color w:val="auto"/>
              </w:rPr>
            </w:pPr>
            <w:r>
              <w:rPr>
                <w:rFonts w:ascii="Arial" w:cs="Arial" w:eastAsia="Arial" w:hAnsi="Arial"/>
                <w:sz w:val="25"/>
                <w:szCs w:val="25"/>
                <w:b w:val="1"/>
                <w:bCs w:val="1"/>
                <w:color w:val="FFFFFF"/>
              </w:rPr>
              <w:t>Audit Committee</w:t>
            </w:r>
          </w:p>
        </w:tc>
        <w:tc>
          <w:tcPr>
            <w:tcW w:w="1360" w:type="dxa"/>
            <w:vAlign w:val="bottom"/>
          </w:tcPr>
          <w:p>
            <w:pPr>
              <w:spacing w:after="0"/>
              <w:rPr>
                <w:sz w:val="24"/>
                <w:szCs w:val="24"/>
                <w:color w:val="auto"/>
              </w:rPr>
            </w:pPr>
          </w:p>
        </w:tc>
        <w:tc>
          <w:tcPr>
            <w:tcW w:w="2320" w:type="dxa"/>
            <w:vAlign w:val="bottom"/>
          </w:tcPr>
          <w:p>
            <w:pPr>
              <w:ind w:left="720"/>
              <w:spacing w:after="0"/>
              <w:rPr>
                <w:sz w:val="20"/>
                <w:szCs w:val="20"/>
                <w:color w:val="auto"/>
              </w:rPr>
            </w:pPr>
            <w:r>
              <w:rPr>
                <w:rFonts w:ascii="Arial" w:cs="Arial" w:eastAsia="Arial" w:hAnsi="Arial"/>
                <w:sz w:val="16"/>
                <w:szCs w:val="16"/>
                <w:b w:val="1"/>
                <w:bCs w:val="1"/>
                <w:color w:val="FFFFFF"/>
              </w:rPr>
              <w:t xml:space="preserve">Meetings in 2023: </w:t>
            </w:r>
            <w:r>
              <w:rPr>
                <w:rFonts w:ascii="Arial" w:cs="Arial" w:eastAsia="Arial" w:hAnsi="Arial"/>
                <w:sz w:val="25"/>
                <w:szCs w:val="25"/>
                <w:b w:val="1"/>
                <w:bCs w:val="1"/>
                <w:color w:val="FFFFFF"/>
              </w:rPr>
              <w:t>5</w:t>
            </w:r>
          </w:p>
        </w:tc>
      </w:tr>
      <w:tr>
        <w:trPr>
          <w:trHeight w:val="394"/>
        </w:trPr>
        <w:tc>
          <w:tcPr>
            <w:tcW w:w="1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40" w:type="dxa"/>
            <w:vAlign w:val="bottom"/>
          </w:tcPr>
          <w:p>
            <w:pPr>
              <w:ind w:left="80"/>
              <w:spacing w:after="0"/>
              <w:rPr>
                <w:sz w:val="20"/>
                <w:szCs w:val="20"/>
                <w:color w:val="auto"/>
              </w:rPr>
            </w:pPr>
            <w:r>
              <w:rPr>
                <w:rFonts w:ascii="Arial" w:cs="Arial" w:eastAsia="Arial" w:hAnsi="Arial"/>
                <w:sz w:val="16"/>
                <w:szCs w:val="16"/>
                <w:b w:val="1"/>
                <w:bCs w:val="1"/>
                <w:color w:val="BF5B5A"/>
              </w:rPr>
              <w:t>OVERVIEW</w:t>
            </w:r>
          </w:p>
        </w:tc>
        <w:tc>
          <w:tcPr>
            <w:tcW w:w="1360" w:type="dxa"/>
            <w:vAlign w:val="bottom"/>
          </w:tcPr>
          <w:p>
            <w:pPr>
              <w:spacing w:after="0"/>
              <w:rPr>
                <w:sz w:val="24"/>
                <w:szCs w:val="24"/>
                <w:color w:val="auto"/>
              </w:rPr>
            </w:pPr>
          </w:p>
        </w:tc>
        <w:tc>
          <w:tcPr>
            <w:tcW w:w="2320" w:type="dxa"/>
            <w:vAlign w:val="bottom"/>
          </w:tcPr>
          <w:p>
            <w:pPr>
              <w:ind w:left="2220"/>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6"/>
                <w:szCs w:val="16"/>
                <w:b w:val="1"/>
                <w:bCs w:val="1"/>
                <w:color w:val="BF5B5A"/>
              </w:rPr>
              <w:t>MEMBERS</w:t>
            </w:r>
          </w:p>
        </w:tc>
        <w:tc>
          <w:tcPr>
            <w:tcW w:w="7200" w:type="dxa"/>
            <w:vAlign w:val="bottom"/>
            <w:vMerge w:val="restart"/>
          </w:tcPr>
          <w:p>
            <w:pPr>
              <w:ind w:left="560"/>
              <w:spacing w:after="0"/>
              <w:rPr>
                <w:sz w:val="20"/>
                <w:szCs w:val="20"/>
                <w:color w:val="auto"/>
              </w:rPr>
            </w:pPr>
            <w:r>
              <w:rPr>
                <w:rFonts w:ascii="Arial" w:cs="Arial" w:eastAsia="Arial" w:hAnsi="Arial"/>
                <w:sz w:val="16"/>
                <w:szCs w:val="16"/>
                <w:color w:val="auto"/>
              </w:rPr>
              <w:t>The Audit Committee assists the Board in fulfilling its responsibilities for general oversight</w:t>
            </w:r>
          </w:p>
        </w:tc>
        <w:tc>
          <w:tcPr>
            <w:tcW w:w="0" w:type="dxa"/>
            <w:vAlign w:val="bottom"/>
          </w:tcPr>
          <w:p>
            <w:pPr>
              <w:spacing w:after="0"/>
              <w:rPr>
                <w:sz w:val="1"/>
                <w:szCs w:val="1"/>
                <w:color w:val="auto"/>
              </w:rPr>
            </w:pPr>
          </w:p>
        </w:tc>
      </w:tr>
      <w:tr>
        <w:trPr>
          <w:trHeight w:val="112"/>
        </w:trPr>
        <w:tc>
          <w:tcPr>
            <w:tcW w:w="1780" w:type="dxa"/>
            <w:vAlign w:val="bottom"/>
            <w:vMerge w:val="restart"/>
          </w:tcPr>
          <w:p>
            <w:pPr>
              <w:ind w:left="80"/>
              <w:spacing w:after="0"/>
              <w:rPr>
                <w:sz w:val="20"/>
                <w:szCs w:val="20"/>
                <w:color w:val="auto"/>
              </w:rPr>
            </w:pPr>
            <w:r>
              <w:rPr>
                <w:rFonts w:ascii="Arial" w:cs="Arial" w:eastAsia="Arial" w:hAnsi="Arial"/>
                <w:sz w:val="16"/>
                <w:szCs w:val="16"/>
                <w:color w:val="BF5B5A"/>
              </w:rPr>
              <w:t>•</w:t>
            </w:r>
            <w:r>
              <w:rPr>
                <w:rFonts w:ascii="Arial" w:cs="Arial" w:eastAsia="Arial" w:hAnsi="Arial"/>
                <w:sz w:val="16"/>
                <w:szCs w:val="16"/>
                <w:color w:val="000000"/>
              </w:rPr>
              <w:t xml:space="preserve">  C. Scott Wo   </w:t>
            </w:r>
          </w:p>
        </w:tc>
        <w:tc>
          <w:tcPr>
            <w:tcW w:w="7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80" w:type="dxa"/>
            <w:vAlign w:val="bottom"/>
            <w:vMerge w:val="continue"/>
          </w:tcPr>
          <w:p>
            <w:pPr>
              <w:spacing w:after="0"/>
              <w:rPr>
                <w:sz w:val="11"/>
                <w:szCs w:val="11"/>
                <w:color w:val="auto"/>
              </w:rPr>
            </w:pPr>
          </w:p>
        </w:tc>
        <w:tc>
          <w:tcPr>
            <w:tcW w:w="7200" w:type="dxa"/>
            <w:vAlign w:val="bottom"/>
            <w:vMerge w:val="restart"/>
          </w:tcPr>
          <w:p>
            <w:pPr>
              <w:ind w:left="560"/>
              <w:spacing w:after="0" w:line="178" w:lineRule="exact"/>
              <w:rPr>
                <w:sz w:val="20"/>
                <w:szCs w:val="20"/>
                <w:color w:val="auto"/>
              </w:rPr>
            </w:pPr>
            <w:r>
              <w:rPr>
                <w:rFonts w:ascii="Arial" w:cs="Arial" w:eastAsia="Arial" w:hAnsi="Arial"/>
                <w:sz w:val="16"/>
                <w:szCs w:val="16"/>
                <w:color w:val="auto"/>
              </w:rPr>
              <w:t>of:</w:t>
            </w:r>
          </w:p>
        </w:tc>
        <w:tc>
          <w:tcPr>
            <w:tcW w:w="0" w:type="dxa"/>
            <w:vAlign w:val="bottom"/>
          </w:tcPr>
          <w:p>
            <w:pPr>
              <w:spacing w:after="0"/>
              <w:rPr>
                <w:sz w:val="1"/>
                <w:szCs w:val="1"/>
                <w:color w:val="auto"/>
              </w:rPr>
            </w:pPr>
          </w:p>
        </w:tc>
      </w:tr>
      <w:tr>
        <w:trPr>
          <w:trHeight w:val="44"/>
        </w:trPr>
        <w:tc>
          <w:tcPr>
            <w:tcW w:w="1780" w:type="dxa"/>
            <w:vAlign w:val="bottom"/>
          </w:tcPr>
          <w:p>
            <w:pPr>
              <w:spacing w:after="0"/>
              <w:rPr>
                <w:sz w:val="3"/>
                <w:szCs w:val="3"/>
                <w:color w:val="auto"/>
              </w:rPr>
            </w:pPr>
          </w:p>
        </w:tc>
        <w:tc>
          <w:tcPr>
            <w:tcW w:w="7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-172085</wp:posOffset>
            </wp:positionV>
            <wp:extent cx="111125"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213"/>
        </w:trPr>
        <w:tc>
          <w:tcPr>
            <w:tcW w:w="100" w:type="dxa"/>
            <w:vAlign w:val="bottom"/>
          </w:tcPr>
          <w:p>
            <w:pPr>
              <w:spacing w:after="0"/>
              <w:rPr>
                <w:sz w:val="20"/>
                <w:szCs w:val="20"/>
                <w:color w:val="auto"/>
              </w:rPr>
            </w:pPr>
            <w:r>
              <w:rPr>
                <w:rFonts w:ascii="Arial" w:cs="Arial" w:eastAsia="Arial" w:hAnsi="Arial"/>
                <w:sz w:val="16"/>
                <w:szCs w:val="16"/>
                <w:color w:val="BF5B5A"/>
              </w:rPr>
              <w:t>•</w:t>
            </w:r>
          </w:p>
        </w:tc>
        <w:tc>
          <w:tcPr>
            <w:tcW w:w="2140" w:type="dxa"/>
            <w:vAlign w:val="bottom"/>
          </w:tcPr>
          <w:p>
            <w:pPr>
              <w:ind w:left="60"/>
              <w:spacing w:after="0"/>
              <w:rPr>
                <w:sz w:val="20"/>
                <w:szCs w:val="20"/>
                <w:color w:val="auto"/>
              </w:rPr>
            </w:pPr>
            <w:r>
              <w:rPr>
                <w:rFonts w:ascii="Arial" w:cs="Arial" w:eastAsia="Arial" w:hAnsi="Arial"/>
                <w:sz w:val="16"/>
                <w:szCs w:val="16"/>
                <w:color w:val="auto"/>
              </w:rPr>
              <w:t>Michael K. Fujimoto</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the audits of our financial statements and financial reporting processes;</w:t>
            </w:r>
          </w:p>
        </w:tc>
        <w:tc>
          <w:tcPr>
            <w:tcW w:w="0" w:type="dxa"/>
            <w:vAlign w:val="bottom"/>
          </w:tcPr>
          <w:p>
            <w:pPr>
              <w:spacing w:after="0"/>
              <w:rPr>
                <w:sz w:val="1"/>
                <w:szCs w:val="1"/>
                <w:color w:val="auto"/>
              </w:rPr>
            </w:pPr>
          </w:p>
        </w:tc>
      </w:tr>
      <w:tr>
        <w:trPr>
          <w:trHeight w:val="147"/>
        </w:trPr>
        <w:tc>
          <w:tcPr>
            <w:tcW w:w="100" w:type="dxa"/>
            <w:vAlign w:val="bottom"/>
            <w:vMerge w:val="restart"/>
          </w:tcPr>
          <w:p>
            <w:pPr>
              <w:spacing w:after="0"/>
              <w:rPr>
                <w:sz w:val="20"/>
                <w:szCs w:val="20"/>
                <w:color w:val="auto"/>
              </w:rPr>
            </w:pPr>
            <w:r>
              <w:rPr>
                <w:rFonts w:ascii="Arial" w:cs="Arial" w:eastAsia="Arial" w:hAnsi="Arial"/>
                <w:sz w:val="16"/>
                <w:szCs w:val="16"/>
                <w:color w:val="BF5B5A"/>
              </w:rPr>
              <w:t>•</w:t>
            </w:r>
          </w:p>
        </w:tc>
        <w:tc>
          <w:tcPr>
            <w:tcW w:w="2140" w:type="dxa"/>
            <w:vAlign w:val="bottom"/>
            <w:vMerge w:val="restart"/>
          </w:tcPr>
          <w:p>
            <w:pPr>
              <w:ind w:left="60"/>
              <w:spacing w:after="0"/>
              <w:rPr>
                <w:sz w:val="20"/>
                <w:szCs w:val="20"/>
                <w:color w:val="auto"/>
              </w:rPr>
            </w:pPr>
            <w:r>
              <w:rPr>
                <w:rFonts w:ascii="Arial" w:cs="Arial" w:eastAsia="Arial" w:hAnsi="Arial"/>
                <w:sz w:val="16"/>
                <w:szCs w:val="16"/>
                <w:color w:val="auto"/>
              </w:rPr>
              <w:t>Faye W. Kurren</w:t>
            </w:r>
          </w:p>
        </w:tc>
        <w:tc>
          <w:tcPr>
            <w:tcW w:w="280" w:type="dxa"/>
            <w:vAlign w:val="bottom"/>
            <w:vMerge w:val="continue"/>
          </w:tcPr>
          <w:p>
            <w:pPr>
              <w:spacing w:after="0"/>
              <w:rPr>
                <w:sz w:val="12"/>
                <w:szCs w:val="12"/>
                <w:color w:val="auto"/>
              </w:rPr>
            </w:pPr>
          </w:p>
        </w:tc>
        <w:tc>
          <w:tcPr>
            <w:tcW w:w="6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6"/>
                <w:szCs w:val="16"/>
                <w:color w:val="auto"/>
              </w:rPr>
              <w:t>All members of the Audit</w:t>
            </w:r>
          </w:p>
        </w:tc>
        <w:tc>
          <w:tcPr>
            <w:tcW w:w="280" w:type="dxa"/>
            <w:vAlign w:val="bottom"/>
          </w:tcPr>
          <w:p>
            <w:pPr>
              <w:ind w:left="160"/>
              <w:spacing w:after="0"/>
              <w:rPr>
                <w:sz w:val="20"/>
                <w:szCs w:val="20"/>
                <w:color w:val="auto"/>
              </w:rPr>
            </w:pPr>
            <w:r>
              <w:rPr>
                <w:rFonts w:ascii="Arial" w:cs="Arial" w:eastAsia="Arial" w:hAnsi="Arial"/>
                <w:sz w:val="16"/>
                <w:szCs w:val="16"/>
                <w:color w:val="BF5B5A"/>
              </w:rPr>
              <w:t>•</w:t>
            </w:r>
          </w:p>
        </w:tc>
        <w:tc>
          <w:tcPr>
            <w:tcW w:w="6140" w:type="dxa"/>
            <w:vAlign w:val="bottom"/>
          </w:tcPr>
          <w:p>
            <w:pPr>
              <w:ind w:left="40"/>
              <w:spacing w:after="0"/>
              <w:rPr>
                <w:sz w:val="20"/>
                <w:szCs w:val="20"/>
                <w:color w:val="auto"/>
              </w:rPr>
            </w:pPr>
            <w:r>
              <w:rPr>
                <w:rFonts w:ascii="Arial" w:cs="Arial" w:eastAsia="Arial" w:hAnsi="Arial"/>
                <w:sz w:val="16"/>
                <w:szCs w:val="16"/>
                <w:color w:val="auto"/>
              </w:rPr>
              <w:t>our compliance with legal and regulatory requirements;</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140" w:type="dxa"/>
            <w:vAlign w:val="bottom"/>
          </w:tcPr>
          <w:p>
            <w:pPr>
              <w:ind w:left="140"/>
              <w:spacing w:after="0"/>
              <w:rPr>
                <w:sz w:val="20"/>
                <w:szCs w:val="20"/>
                <w:color w:val="auto"/>
              </w:rPr>
            </w:pPr>
            <w:r>
              <w:rPr>
                <w:rFonts w:ascii="Arial" w:cs="Arial" w:eastAsia="Arial" w:hAnsi="Arial"/>
                <w:sz w:val="16"/>
                <w:szCs w:val="16"/>
                <w:color w:val="auto"/>
              </w:rPr>
              <w:t>Committee are</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the appointment, dismissal, compensation, qualifications and independence of our</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color w:val="auto"/>
              </w:rPr>
              <w:t>independent under</w:t>
            </w:r>
          </w:p>
        </w:tc>
        <w:tc>
          <w:tcPr>
            <w:tcW w:w="280" w:type="dxa"/>
            <w:vAlign w:val="bottom"/>
            <w:vMerge w:val="continue"/>
          </w:tcPr>
          <w:p>
            <w:pPr>
              <w:spacing w:after="0"/>
              <w:rPr>
                <w:sz w:val="11"/>
                <w:szCs w:val="11"/>
                <w:color w:val="auto"/>
              </w:rPr>
            </w:pPr>
          </w:p>
        </w:tc>
        <w:tc>
          <w:tcPr>
            <w:tcW w:w="6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independent auditors;</w:t>
            </w: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color w:val="auto"/>
              </w:rPr>
              <w:t>NASDAQ listing</w:t>
            </w:r>
          </w:p>
        </w:tc>
        <w:tc>
          <w:tcPr>
            <w:tcW w:w="280" w:type="dxa"/>
            <w:vAlign w:val="bottom"/>
          </w:tcPr>
          <w:p>
            <w:pPr>
              <w:spacing w:after="0"/>
              <w:rPr>
                <w:sz w:val="12"/>
                <w:szCs w:val="12"/>
                <w:color w:val="auto"/>
              </w:rPr>
            </w:pPr>
          </w:p>
        </w:tc>
        <w:tc>
          <w:tcPr>
            <w:tcW w:w="6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1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6"/>
                <w:szCs w:val="16"/>
                <w:color w:val="auto"/>
              </w:rPr>
              <w:t>standards.</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the performance of our internal audit function and independent auditors;</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6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6"/>
                <w:szCs w:val="16"/>
                <w:color w:val="auto"/>
              </w:rPr>
              <w:t>All members of the Audit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BF5B5A"/>
              </w:rPr>
              <w:t>•</w:t>
            </w: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our systems of disclosure controls and procedures, as well as our internal controls</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color w:val="auto"/>
              </w:rPr>
              <w:t>Committee are “audit</w:t>
            </w:r>
          </w:p>
        </w:tc>
        <w:tc>
          <w:tcPr>
            <w:tcW w:w="280" w:type="dxa"/>
            <w:vAlign w:val="bottom"/>
            <w:vMerge w:val="continue"/>
          </w:tcPr>
          <w:p>
            <w:pPr>
              <w:spacing w:after="0"/>
              <w:rPr>
                <w:sz w:val="8"/>
                <w:szCs w:val="8"/>
                <w:color w:val="auto"/>
              </w:rPr>
            </w:pP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140" w:type="dxa"/>
            <w:vAlign w:val="bottom"/>
            <w:vMerge w:val="restart"/>
          </w:tcPr>
          <w:p>
            <w:pPr>
              <w:ind w:left="40"/>
              <w:spacing w:after="0"/>
              <w:rPr>
                <w:sz w:val="20"/>
                <w:szCs w:val="20"/>
                <w:color w:val="auto"/>
              </w:rPr>
            </w:pPr>
            <w:r>
              <w:rPr>
                <w:rFonts w:ascii="Arial" w:cs="Arial" w:eastAsia="Arial" w:hAnsi="Arial"/>
                <w:sz w:val="16"/>
                <w:szCs w:val="16"/>
                <w:color w:val="auto"/>
              </w:rPr>
              <w:t>over financial reporting; and</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140" w:type="dxa"/>
            <w:vAlign w:val="bottom"/>
            <w:vMerge w:val="restart"/>
          </w:tcPr>
          <w:p>
            <w:pPr>
              <w:ind w:left="140"/>
              <w:spacing w:after="0"/>
              <w:rPr>
                <w:sz w:val="20"/>
                <w:szCs w:val="20"/>
                <w:color w:val="auto"/>
              </w:rPr>
            </w:pPr>
            <w:r>
              <w:rPr>
                <w:rFonts w:ascii="Arial" w:cs="Arial" w:eastAsia="Arial" w:hAnsi="Arial"/>
                <w:sz w:val="16"/>
                <w:szCs w:val="16"/>
                <w:color w:val="auto"/>
              </w:rPr>
              <w:t>committee financial</w:t>
            </w:r>
          </w:p>
        </w:tc>
        <w:tc>
          <w:tcPr>
            <w:tcW w:w="280" w:type="dxa"/>
            <w:vAlign w:val="bottom"/>
          </w:tcPr>
          <w:p>
            <w:pPr>
              <w:spacing w:after="0"/>
              <w:rPr>
                <w:sz w:val="10"/>
                <w:szCs w:val="10"/>
                <w:color w:val="auto"/>
              </w:rPr>
            </w:pPr>
          </w:p>
        </w:tc>
        <w:tc>
          <w:tcPr>
            <w:tcW w:w="6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-1061085</wp:posOffset>
            </wp:positionV>
            <wp:extent cx="128905"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12001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-375285</wp:posOffset>
            </wp:positionV>
            <wp:extent cx="10287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ind w:left="1100"/>
        <w:spacing w:after="0"/>
        <w:rPr>
          <w:sz w:val="20"/>
          <w:szCs w:val="20"/>
          <w:color w:val="auto"/>
        </w:rPr>
      </w:pPr>
      <w:r>
        <w:rPr>
          <w:rFonts w:ascii="Arial" w:cs="Arial" w:eastAsia="Arial" w:hAnsi="Arial"/>
          <w:sz w:val="16"/>
          <w:szCs w:val="16"/>
          <w:color w:val="auto"/>
        </w:rPr>
        <w:t>experts.”</w:t>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CHARTER</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Audit Committee has</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adopted a written charter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that specifies the scope of</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its duties and</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responsibilities, including</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those listed here. The</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charter is available on our</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color w:val="BF5B5A"/>
        </w:rPr>
        <w:t>www.fhb.com</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under the Investor Relations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section.</w:t>
      </w:r>
    </w:p>
    <w:p>
      <w:pPr>
        <w:spacing w:after="0" w:line="20" w:lineRule="exact"/>
        <w:rPr>
          <w:sz w:val="20"/>
          <w:szCs w:val="20"/>
          <w:color w:val="auto"/>
        </w:rPr>
      </w:pPr>
      <w:r>
        <w:rPr>
          <w:sz w:val="20"/>
          <w:szCs w:val="20"/>
          <w:color w:val="auto"/>
        </w:rPr>
        <w:br w:type="column"/>
      </w:r>
    </w:p>
    <w:p>
      <w:pPr>
        <w:ind w:left="420" w:hanging="156"/>
        <w:spacing w:after="0"/>
        <w:tabs>
          <w:tab w:leader="none" w:pos="420" w:val="left"/>
        </w:tabs>
        <w:numPr>
          <w:ilvl w:val="0"/>
          <w:numId w:val="66"/>
        </w:numPr>
        <w:rPr>
          <w:rFonts w:ascii="Arial" w:cs="Arial" w:eastAsia="Arial" w:hAnsi="Arial"/>
          <w:sz w:val="16"/>
          <w:szCs w:val="16"/>
          <w:color w:val="BF5B5A"/>
        </w:rPr>
      </w:pPr>
      <w:r>
        <w:rPr>
          <w:rFonts w:ascii="Arial" w:cs="Arial" w:eastAsia="Arial" w:hAnsi="Arial"/>
          <w:sz w:val="16"/>
          <w:szCs w:val="16"/>
          <w:color w:val="auto"/>
        </w:rPr>
        <w:t>our compliance with our ethical standards.</w:t>
      </w:r>
    </w:p>
    <w:p>
      <w:pPr>
        <w:spacing w:after="0" w:line="100" w:lineRule="exact"/>
        <w:rPr>
          <w:sz w:val="20"/>
          <w:szCs w:val="20"/>
          <w:color w:val="auto"/>
        </w:rPr>
      </w:pPr>
    </w:p>
    <w:p>
      <w:pPr>
        <w:spacing w:after="0"/>
        <w:tabs>
          <w:tab w:leader="none" w:pos="684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KEY RESPONSIBILITIES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44234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6" w:lineRule="exact"/>
        <w:rPr>
          <w:sz w:val="20"/>
          <w:szCs w:val="20"/>
          <w:color w:val="auto"/>
        </w:rPr>
      </w:pPr>
    </w:p>
    <w:p>
      <w:pPr>
        <w:ind w:left="420" w:hanging="156"/>
        <w:spacing w:after="0"/>
        <w:tabs>
          <w:tab w:leader="none" w:pos="420" w:val="left"/>
        </w:tabs>
        <w:numPr>
          <w:ilvl w:val="0"/>
          <w:numId w:val="67"/>
        </w:numPr>
        <w:rPr>
          <w:rFonts w:ascii="Arial" w:cs="Arial" w:eastAsia="Arial" w:hAnsi="Arial"/>
          <w:sz w:val="16"/>
          <w:szCs w:val="16"/>
          <w:color w:val="BF5B5A"/>
        </w:rPr>
      </w:pPr>
      <w:r>
        <w:rPr>
          <w:rFonts w:ascii="Arial" w:cs="Arial" w:eastAsia="Arial" w:hAnsi="Arial"/>
          <w:sz w:val="16"/>
          <w:szCs w:val="16"/>
          <w:color w:val="auto"/>
        </w:rPr>
        <w:t>Appoints, oversees and determines the compensation of our independent auditors;</w:t>
      </w:r>
    </w:p>
    <w:p>
      <w:pPr>
        <w:spacing w:after="0" w:line="124" w:lineRule="exact"/>
        <w:rPr>
          <w:rFonts w:ascii="Arial" w:cs="Arial" w:eastAsia="Arial" w:hAnsi="Arial"/>
          <w:sz w:val="16"/>
          <w:szCs w:val="16"/>
          <w:color w:val="BF5B5A"/>
        </w:rPr>
      </w:pPr>
    </w:p>
    <w:p>
      <w:pPr>
        <w:ind w:left="420" w:right="260" w:hanging="156"/>
        <w:spacing w:after="0" w:line="286" w:lineRule="auto"/>
        <w:tabs>
          <w:tab w:leader="none" w:pos="420" w:val="left"/>
        </w:tabs>
        <w:numPr>
          <w:ilvl w:val="0"/>
          <w:numId w:val="67"/>
        </w:numPr>
        <w:rPr>
          <w:rFonts w:ascii="Arial" w:cs="Arial" w:eastAsia="Arial" w:hAnsi="Arial"/>
          <w:sz w:val="16"/>
          <w:szCs w:val="16"/>
          <w:color w:val="BF5B5A"/>
        </w:rPr>
      </w:pPr>
      <w:r>
        <w:rPr>
          <w:rFonts w:ascii="Arial" w:cs="Arial" w:eastAsia="Arial" w:hAnsi="Arial"/>
          <w:sz w:val="16"/>
          <w:szCs w:val="16"/>
          <w:color w:val="auto"/>
        </w:rPr>
        <w:t>Reviews and discusses our financial statements and the scope of our annual audit to be conducted by our independent auditors and approves all audit fees;</w:t>
      </w:r>
    </w:p>
    <w:p>
      <w:pPr>
        <w:spacing w:after="0" w:line="101" w:lineRule="exact"/>
        <w:rPr>
          <w:rFonts w:ascii="Arial" w:cs="Arial" w:eastAsia="Arial" w:hAnsi="Arial"/>
          <w:sz w:val="16"/>
          <w:szCs w:val="16"/>
          <w:color w:val="BF5B5A"/>
        </w:rPr>
      </w:pPr>
    </w:p>
    <w:p>
      <w:pPr>
        <w:ind w:left="420" w:right="300" w:hanging="156"/>
        <w:spacing w:after="0" w:line="275" w:lineRule="auto"/>
        <w:tabs>
          <w:tab w:leader="none" w:pos="420" w:val="left"/>
        </w:tabs>
        <w:numPr>
          <w:ilvl w:val="0"/>
          <w:numId w:val="67"/>
        </w:numPr>
        <w:rPr>
          <w:rFonts w:ascii="Arial" w:cs="Arial" w:eastAsia="Arial" w:hAnsi="Arial"/>
          <w:sz w:val="16"/>
          <w:szCs w:val="16"/>
          <w:color w:val="BF5B5A"/>
        </w:rPr>
      </w:pPr>
      <w:r>
        <w:rPr>
          <w:rFonts w:ascii="Arial" w:cs="Arial" w:eastAsia="Arial" w:hAnsi="Arial"/>
          <w:sz w:val="16"/>
          <w:szCs w:val="16"/>
          <w:color w:val="auto"/>
        </w:rPr>
        <w:t>Reviews and discusses our financial reporting activities, including our annual report, and the accounting standards and principles followed in connection with those activities, and prepares our Audit Committee Report;</w:t>
      </w:r>
    </w:p>
    <w:p>
      <w:pPr>
        <w:spacing w:after="0" w:line="83" w:lineRule="exact"/>
        <w:rPr>
          <w:rFonts w:ascii="Arial" w:cs="Arial" w:eastAsia="Arial" w:hAnsi="Arial"/>
          <w:sz w:val="16"/>
          <w:szCs w:val="16"/>
          <w:color w:val="BF5B5A"/>
        </w:rPr>
      </w:pPr>
    </w:p>
    <w:p>
      <w:pPr>
        <w:ind w:left="420" w:hanging="156"/>
        <w:spacing w:after="0"/>
        <w:tabs>
          <w:tab w:leader="none" w:pos="420" w:val="left"/>
        </w:tabs>
        <w:numPr>
          <w:ilvl w:val="0"/>
          <w:numId w:val="67"/>
        </w:numPr>
        <w:rPr>
          <w:rFonts w:ascii="Arial" w:cs="Arial" w:eastAsia="Arial" w:hAnsi="Arial"/>
          <w:sz w:val="16"/>
          <w:szCs w:val="16"/>
          <w:color w:val="BF5B5A"/>
        </w:rPr>
      </w:pPr>
      <w:r>
        <w:rPr>
          <w:rFonts w:ascii="Arial" w:cs="Arial" w:eastAsia="Arial" w:hAnsi="Arial"/>
          <w:sz w:val="16"/>
          <w:szCs w:val="16"/>
          <w:color w:val="auto"/>
        </w:rPr>
        <w:t>Pre-approves audit and non-audit services provided by our independent auditors;</w:t>
      </w:r>
    </w:p>
    <w:p>
      <w:pPr>
        <w:spacing w:after="0" w:line="140" w:lineRule="exact"/>
        <w:rPr>
          <w:rFonts w:ascii="Arial" w:cs="Arial" w:eastAsia="Arial" w:hAnsi="Arial"/>
          <w:sz w:val="16"/>
          <w:szCs w:val="16"/>
          <w:color w:val="BF5B5A"/>
        </w:rPr>
      </w:pPr>
    </w:p>
    <w:p>
      <w:pPr>
        <w:ind w:left="420" w:right="540" w:hanging="156"/>
        <w:spacing w:after="0" w:line="304" w:lineRule="auto"/>
        <w:tabs>
          <w:tab w:leader="none" w:pos="420" w:val="left"/>
        </w:tabs>
        <w:numPr>
          <w:ilvl w:val="0"/>
          <w:numId w:val="67"/>
        </w:numPr>
        <w:rPr>
          <w:rFonts w:ascii="Arial" w:cs="Arial" w:eastAsia="Arial" w:hAnsi="Arial"/>
          <w:sz w:val="16"/>
          <w:szCs w:val="16"/>
          <w:color w:val="BF5B5A"/>
        </w:rPr>
      </w:pPr>
      <w:r>
        <w:rPr>
          <w:rFonts w:ascii="Arial" w:cs="Arial" w:eastAsia="Arial" w:hAnsi="Arial"/>
          <w:sz w:val="16"/>
          <w:szCs w:val="16"/>
          <w:color w:val="auto"/>
        </w:rPr>
        <w:t>Meets with management and our independent auditors to review and discuss our financial statements and financial disclosure;</w:t>
      </w:r>
    </w:p>
    <w:p>
      <w:pPr>
        <w:spacing w:after="0" w:line="74" w:lineRule="exact"/>
        <w:rPr>
          <w:sz w:val="20"/>
          <w:szCs w:val="20"/>
          <w:color w:val="auto"/>
        </w:rPr>
      </w:pPr>
    </w:p>
    <w:p>
      <w:pPr>
        <w:sectPr>
          <w:pgSz w:w="11900" w:h="16838" w:orient="portrait"/>
          <w:cols w:equalWidth="0" w:num="2">
            <w:col w:w="2880" w:space="120"/>
            <w:col w:w="6960"/>
          </w:cols>
          <w:pgMar w:left="580" w:top="97" w:right="1359" w:bottom="1440" w:gutter="0" w:footer="0" w:header="0"/>
          <w:type w:val="continuous"/>
        </w:sectPr>
      </w:pPr>
    </w:p>
    <w:p>
      <w:pPr>
        <w:ind w:left="3420" w:right="680" w:hanging="156"/>
        <w:spacing w:after="0" w:line="286" w:lineRule="auto"/>
        <w:tabs>
          <w:tab w:leader="none" w:pos="3420" w:val="left"/>
        </w:tabs>
        <w:numPr>
          <w:ilvl w:val="0"/>
          <w:numId w:val="68"/>
        </w:numPr>
        <w:rPr>
          <w:rFonts w:ascii="Arial" w:cs="Arial" w:eastAsia="Arial" w:hAnsi="Arial"/>
          <w:sz w:val="16"/>
          <w:szCs w:val="16"/>
          <w:color w:val="BF5B5A"/>
        </w:rPr>
      </w:pPr>
      <w:r>
        <w:rPr>
          <w:rFonts w:ascii="Arial" w:cs="Arial" w:eastAsia="Arial" w:hAnsi="Arial"/>
          <w:sz w:val="16"/>
          <w:szCs w:val="16"/>
          <w:color w:val="auto"/>
        </w:rPr>
        <w:t>Establishes and oversees procedures for the treatment of complaints regarding accounting and auditing matters;</w:t>
      </w:r>
    </w:p>
    <w:p>
      <w:pPr>
        <w:spacing w:after="0" w:line="101" w:lineRule="exact"/>
        <w:rPr>
          <w:rFonts w:ascii="Arial" w:cs="Arial" w:eastAsia="Arial" w:hAnsi="Arial"/>
          <w:sz w:val="16"/>
          <w:szCs w:val="16"/>
          <w:color w:val="BF5B5A"/>
        </w:rPr>
      </w:pPr>
    </w:p>
    <w:p>
      <w:pPr>
        <w:ind w:left="3420" w:right="360" w:hanging="156"/>
        <w:spacing w:after="0" w:line="286" w:lineRule="auto"/>
        <w:tabs>
          <w:tab w:leader="none" w:pos="3420" w:val="left"/>
        </w:tabs>
        <w:numPr>
          <w:ilvl w:val="0"/>
          <w:numId w:val="68"/>
        </w:numPr>
        <w:rPr>
          <w:rFonts w:ascii="Arial" w:cs="Arial" w:eastAsia="Arial" w:hAnsi="Arial"/>
          <w:sz w:val="16"/>
          <w:szCs w:val="16"/>
          <w:color w:val="BF5B5A"/>
        </w:rPr>
      </w:pPr>
      <w:r>
        <w:rPr>
          <w:rFonts w:ascii="Arial" w:cs="Arial" w:eastAsia="Arial" w:hAnsi="Arial"/>
          <w:sz w:val="16"/>
          <w:szCs w:val="16"/>
          <w:color w:val="auto"/>
        </w:rPr>
        <w:t>Reviews the scope and staffing of our internal audit function and our disclosure and internal controls; and</w:t>
      </w:r>
    </w:p>
    <w:p>
      <w:pPr>
        <w:spacing w:after="0" w:line="88" w:lineRule="exact"/>
        <w:rPr>
          <w:rFonts w:ascii="Arial" w:cs="Arial" w:eastAsia="Arial" w:hAnsi="Arial"/>
          <w:sz w:val="16"/>
          <w:szCs w:val="16"/>
          <w:color w:val="BF5B5A"/>
        </w:rPr>
      </w:pPr>
    </w:p>
    <w:p>
      <w:pPr>
        <w:ind w:left="3420" w:hanging="156"/>
        <w:spacing w:after="0"/>
        <w:tabs>
          <w:tab w:leader="none" w:pos="3420" w:val="left"/>
        </w:tabs>
        <w:numPr>
          <w:ilvl w:val="0"/>
          <w:numId w:val="68"/>
        </w:numPr>
        <w:rPr>
          <w:rFonts w:ascii="Arial" w:cs="Arial" w:eastAsia="Arial" w:hAnsi="Arial"/>
          <w:sz w:val="16"/>
          <w:szCs w:val="16"/>
          <w:color w:val="BF5B5A"/>
        </w:rPr>
      </w:pPr>
      <w:r>
        <w:rPr>
          <w:rFonts w:ascii="Arial" w:cs="Arial" w:eastAsia="Arial" w:hAnsi="Arial"/>
          <w:sz w:val="16"/>
          <w:szCs w:val="16"/>
          <w:color w:val="auto"/>
        </w:rPr>
        <w:t>Monitors our legal, ethical and regulatory compliance.</w:t>
      </w:r>
    </w:p>
    <w:p>
      <w:pPr>
        <w:spacing w:after="0" w:line="100" w:lineRule="exact"/>
        <w:rPr>
          <w:sz w:val="20"/>
          <w:szCs w:val="20"/>
          <w:color w:val="auto"/>
        </w:rPr>
      </w:pPr>
    </w:p>
    <w:p>
      <w:pPr>
        <w:ind w:left="3000"/>
        <w:spacing w:after="0"/>
        <w:tabs>
          <w:tab w:leader="none" w:pos="984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QUALIFICATIONS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-232410</wp:posOffset>
            </wp:positionV>
            <wp:extent cx="44234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6"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Pursuant to the Audit Committee’s charter, the Audit Committee must:</w:t>
      </w:r>
    </w:p>
    <w:p>
      <w:pPr>
        <w:spacing w:after="0" w:line="124" w:lineRule="exact"/>
        <w:rPr>
          <w:sz w:val="20"/>
          <w:szCs w:val="20"/>
          <w:color w:val="auto"/>
        </w:rPr>
      </w:pPr>
    </w:p>
    <w:p>
      <w:pPr>
        <w:ind w:left="3420" w:right="200" w:hanging="156"/>
        <w:spacing w:after="0" w:line="275" w:lineRule="auto"/>
        <w:tabs>
          <w:tab w:leader="none" w:pos="3420" w:val="left"/>
        </w:tabs>
        <w:numPr>
          <w:ilvl w:val="0"/>
          <w:numId w:val="69"/>
        </w:numPr>
        <w:rPr>
          <w:rFonts w:ascii="Arial" w:cs="Arial" w:eastAsia="Arial" w:hAnsi="Arial"/>
          <w:sz w:val="16"/>
          <w:szCs w:val="16"/>
          <w:color w:val="BF5B5A"/>
        </w:rPr>
      </w:pPr>
      <w:r>
        <w:rPr>
          <w:rFonts w:ascii="Arial" w:cs="Arial" w:eastAsia="Arial" w:hAnsi="Arial"/>
          <w:sz w:val="16"/>
          <w:szCs w:val="16"/>
          <w:color w:val="auto"/>
        </w:rPr>
        <w:t>consist of at least three members, all of whom are required to be “independent” under the listing standards of NASDAQ and meet the requirements of Rule 10A-3 of the Exchange Act; and</w:t>
      </w:r>
    </w:p>
    <w:p>
      <w:pPr>
        <w:spacing w:after="0" w:line="83" w:lineRule="exact"/>
        <w:rPr>
          <w:rFonts w:ascii="Arial" w:cs="Arial" w:eastAsia="Arial" w:hAnsi="Arial"/>
          <w:sz w:val="16"/>
          <w:szCs w:val="16"/>
          <w:color w:val="BF5B5A"/>
        </w:rPr>
      </w:pPr>
    </w:p>
    <w:p>
      <w:pPr>
        <w:ind w:left="3420" w:hanging="156"/>
        <w:spacing w:after="0"/>
        <w:tabs>
          <w:tab w:leader="none" w:pos="3420" w:val="left"/>
        </w:tabs>
        <w:numPr>
          <w:ilvl w:val="0"/>
          <w:numId w:val="69"/>
        </w:numPr>
        <w:rPr>
          <w:rFonts w:ascii="Arial" w:cs="Arial" w:eastAsia="Arial" w:hAnsi="Arial"/>
          <w:sz w:val="16"/>
          <w:szCs w:val="16"/>
          <w:color w:val="BF5B5A"/>
        </w:rPr>
      </w:pPr>
      <w:r>
        <w:rPr>
          <w:rFonts w:ascii="Arial" w:cs="Arial" w:eastAsia="Arial" w:hAnsi="Arial"/>
          <w:sz w:val="16"/>
          <w:szCs w:val="16"/>
          <w:color w:val="auto"/>
        </w:rPr>
        <w:t>include at least one “audit committee financial expert.”</w:t>
      </w:r>
    </w:p>
    <w:p>
      <w:pPr>
        <w:spacing w:after="0" w:line="112" w:lineRule="exact"/>
        <w:rPr>
          <w:sz w:val="20"/>
          <w:szCs w:val="20"/>
          <w:color w:val="auto"/>
        </w:rPr>
      </w:pPr>
    </w:p>
    <w:p>
      <w:pPr>
        <w:ind w:left="3000"/>
        <w:spacing w:after="0"/>
        <w:tabs>
          <w:tab w:leader="none" w:pos="984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AUDIT COMMITTEE REPORT</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-231775</wp:posOffset>
            </wp:positionV>
            <wp:extent cx="44234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ind w:left="3120"/>
        <w:spacing w:after="0"/>
        <w:rPr>
          <w:sz w:val="20"/>
          <w:szCs w:val="20"/>
          <w:color w:val="auto"/>
        </w:rPr>
      </w:pPr>
      <w:r>
        <w:rPr>
          <w:rFonts w:ascii="Arial" w:cs="Arial" w:eastAsia="Arial" w:hAnsi="Arial"/>
          <w:sz w:val="16"/>
          <w:szCs w:val="16"/>
          <w:color w:val="auto"/>
        </w:rPr>
        <w:t>The Audit Committee Report is on pages 81-82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96520</wp:posOffset>
            </wp:positionV>
            <wp:extent cx="58293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29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274955</wp:posOffset>
            </wp:positionV>
            <wp:extent cx="5829300" cy="4540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29300" cy="45402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MEMBERS</w:t>
      </w:r>
    </w:p>
    <w:p>
      <w:pPr>
        <w:spacing w:after="0" w:line="194" w:lineRule="exact"/>
        <w:rPr>
          <w:sz w:val="20"/>
          <w:szCs w:val="20"/>
          <w:color w:val="auto"/>
        </w:rPr>
      </w:pPr>
    </w:p>
    <w:p>
      <w:pPr>
        <w:ind w:left="860"/>
        <w:spacing w:after="0"/>
        <w:rPr>
          <w:sz w:val="20"/>
          <w:szCs w:val="20"/>
          <w:color w:val="auto"/>
        </w:rPr>
      </w:pPr>
      <w:r>
        <w:rPr>
          <w:rFonts w:ascii="Arial" w:cs="Arial" w:eastAsia="Arial" w:hAnsi="Arial"/>
          <w:sz w:val="16"/>
          <w:szCs w:val="16"/>
          <w:color w:val="BF5B5A"/>
        </w:rPr>
        <w:t>•</w:t>
      </w:r>
      <w:r>
        <w:rPr>
          <w:rFonts w:ascii="Arial" w:cs="Arial" w:eastAsia="Arial" w:hAnsi="Arial"/>
          <w:sz w:val="16"/>
          <w:szCs w:val="16"/>
          <w:color w:val="000000"/>
        </w:rPr>
        <w:t xml:space="preserve">  Vanessa L.      </w:t>
      </w:r>
    </w:p>
    <w:p>
      <w:pPr>
        <w:spacing w:after="0" w:line="3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Washington  </w:t>
      </w:r>
      <w:r>
        <w:rPr>
          <w:sz w:val="1"/>
          <w:szCs w:val="1"/>
          <w:color w:val="auto"/>
        </w:rPr>
        <w:drawing>
          <wp:inline distT="0" distB="0" distL="0" distR="0">
            <wp:extent cx="111125" cy="1111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141" w:lineRule="exact"/>
        <w:rPr>
          <w:sz w:val="20"/>
          <w:szCs w:val="20"/>
          <w:color w:val="auto"/>
        </w:rPr>
      </w:pPr>
    </w:p>
    <w:p>
      <w:pPr>
        <w:ind w:left="1020" w:hanging="168"/>
        <w:spacing w:after="0"/>
        <w:tabs>
          <w:tab w:leader="none" w:pos="1020" w:val="left"/>
        </w:tabs>
        <w:numPr>
          <w:ilvl w:val="0"/>
          <w:numId w:val="70"/>
        </w:numPr>
        <w:rPr>
          <w:rFonts w:ascii="Arial" w:cs="Arial" w:eastAsia="Arial" w:hAnsi="Arial"/>
          <w:sz w:val="16"/>
          <w:szCs w:val="16"/>
          <w:color w:val="BF5B5A"/>
        </w:rPr>
      </w:pPr>
      <w:r>
        <w:rPr>
          <w:rFonts w:ascii="Arial" w:cs="Arial" w:eastAsia="Arial" w:hAnsi="Arial"/>
          <w:sz w:val="16"/>
          <w:szCs w:val="16"/>
          <w:color w:val="auto"/>
        </w:rPr>
        <w:t>Faye W. Kurren</w:t>
      </w:r>
    </w:p>
    <w:p>
      <w:pPr>
        <w:spacing w:after="0" w:line="45" w:lineRule="exact"/>
        <w:rPr>
          <w:rFonts w:ascii="Arial" w:cs="Arial" w:eastAsia="Arial" w:hAnsi="Arial"/>
          <w:sz w:val="16"/>
          <w:szCs w:val="16"/>
          <w:color w:val="BF5B5A"/>
        </w:rPr>
      </w:pPr>
    </w:p>
    <w:p>
      <w:pPr>
        <w:ind w:left="1020" w:hanging="168"/>
        <w:spacing w:after="0"/>
        <w:tabs>
          <w:tab w:leader="none" w:pos="1020" w:val="left"/>
        </w:tabs>
        <w:numPr>
          <w:ilvl w:val="0"/>
          <w:numId w:val="70"/>
        </w:numPr>
        <w:rPr>
          <w:rFonts w:ascii="Arial" w:cs="Arial" w:eastAsia="Arial" w:hAnsi="Arial"/>
          <w:sz w:val="16"/>
          <w:szCs w:val="16"/>
          <w:color w:val="BF5B5A"/>
        </w:rPr>
      </w:pPr>
      <w:r>
        <w:rPr>
          <w:rFonts w:ascii="Arial" w:cs="Arial" w:eastAsia="Arial" w:hAnsi="Arial"/>
          <w:sz w:val="16"/>
          <w:szCs w:val="16"/>
          <w:color w:val="auto"/>
        </w:rPr>
        <w:t>Kelly A. Thompson</w:t>
      </w:r>
    </w:p>
    <w:p>
      <w:pPr>
        <w:spacing w:after="0" w:line="59" w:lineRule="exact"/>
        <w:rPr>
          <w:rFonts w:ascii="Arial" w:cs="Arial" w:eastAsia="Arial" w:hAnsi="Arial"/>
          <w:sz w:val="16"/>
          <w:szCs w:val="16"/>
          <w:color w:val="BF5B5A"/>
        </w:rPr>
      </w:pPr>
    </w:p>
    <w:p>
      <w:pPr>
        <w:ind w:left="1020" w:hanging="168"/>
        <w:spacing w:after="0"/>
        <w:tabs>
          <w:tab w:leader="none" w:pos="1020" w:val="left"/>
        </w:tabs>
        <w:numPr>
          <w:ilvl w:val="0"/>
          <w:numId w:val="70"/>
        </w:numPr>
        <w:rPr>
          <w:rFonts w:ascii="Arial" w:cs="Arial" w:eastAsia="Arial" w:hAnsi="Arial"/>
          <w:sz w:val="16"/>
          <w:szCs w:val="16"/>
          <w:color w:val="BF5B5A"/>
        </w:rPr>
      </w:pPr>
      <w:r>
        <w:rPr>
          <w:rFonts w:ascii="Arial" w:cs="Arial" w:eastAsia="Arial" w:hAnsi="Arial"/>
          <w:sz w:val="16"/>
          <w:szCs w:val="16"/>
          <w:color w:val="auto"/>
        </w:rPr>
        <w:t>Allen B. Uyeda</w:t>
      </w:r>
    </w:p>
    <w:p>
      <w:pPr>
        <w:spacing w:after="0" w:line="73" w:lineRule="exact"/>
        <w:rPr>
          <w:sz w:val="20"/>
          <w:szCs w:val="20"/>
          <w:color w:val="auto"/>
        </w:rPr>
      </w:pPr>
    </w:p>
    <w:p>
      <w:pPr>
        <w:ind w:left="1100" w:right="380"/>
        <w:spacing w:after="0" w:line="268" w:lineRule="auto"/>
        <w:rPr>
          <w:sz w:val="20"/>
          <w:szCs w:val="20"/>
          <w:color w:val="auto"/>
        </w:rPr>
      </w:pPr>
      <w:r>
        <w:rPr>
          <w:rFonts w:ascii="Arial" w:cs="Arial" w:eastAsia="Arial" w:hAnsi="Arial"/>
          <w:sz w:val="16"/>
          <w:szCs w:val="16"/>
          <w:color w:val="auto"/>
        </w:rPr>
        <w:t>All members of the Compensation Committee are independent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-773430</wp:posOffset>
            </wp:positionV>
            <wp:extent cx="128905"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CHARTER</w:t>
      </w:r>
    </w:p>
    <w:p>
      <w:pPr>
        <w:spacing w:after="0" w:line="140" w:lineRule="exact"/>
        <w:rPr>
          <w:sz w:val="20"/>
          <w:szCs w:val="20"/>
          <w:color w:val="auto"/>
        </w:rPr>
      </w:pPr>
    </w:p>
    <w:p>
      <w:pPr>
        <w:ind w:left="780"/>
        <w:spacing w:after="0" w:line="263" w:lineRule="auto"/>
        <w:rPr>
          <w:sz w:val="20"/>
          <w:szCs w:val="20"/>
          <w:color w:val="auto"/>
        </w:rPr>
      </w:pPr>
      <w:r>
        <w:rPr>
          <w:rFonts w:ascii="Arial" w:cs="Arial" w:eastAsia="Arial" w:hAnsi="Arial"/>
          <w:sz w:val="16"/>
          <w:szCs w:val="16"/>
          <w:color w:val="auto"/>
        </w:rPr>
        <w:t xml:space="preserve">The Compensation Committee has adopted a written charter that specifies the scope of its duties and responsibilities, including those listed here. The charter is available on our website at </w:t>
      </w:r>
      <w:r>
        <w:rPr>
          <w:rFonts w:ascii="Arial" w:cs="Arial" w:eastAsia="Arial" w:hAnsi="Arial"/>
          <w:sz w:val="16"/>
          <w:szCs w:val="16"/>
          <w:color w:val="BF5B5A"/>
        </w:rPr>
        <w:t>www.fhb.com</w:t>
      </w:r>
      <w:r>
        <w:rPr>
          <w:rFonts w:ascii="Arial" w:cs="Arial" w:eastAsia="Arial" w:hAnsi="Arial"/>
          <w:sz w:val="16"/>
          <w:szCs w:val="16"/>
          <w:color w:val="auto"/>
        </w:rPr>
        <w:t xml:space="preserve"> under the Investor Relations section.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3840" w:type="dxa"/>
            <w:vAlign w:val="bottom"/>
          </w:tcPr>
          <w:p>
            <w:pPr>
              <w:jc w:val="center"/>
              <w:ind w:right="2704"/>
              <w:spacing w:after="0"/>
              <w:rPr>
                <w:sz w:val="20"/>
                <w:szCs w:val="20"/>
                <w:color w:val="auto"/>
              </w:rPr>
            </w:pPr>
            <w:r>
              <w:rPr>
                <w:rFonts w:ascii="Arial" w:cs="Arial" w:eastAsia="Arial" w:hAnsi="Arial"/>
                <w:sz w:val="16"/>
                <w:szCs w:val="16"/>
                <w:color w:val="auto"/>
              </w:rPr>
              <w:t>​ ​</w:t>
            </w:r>
          </w:p>
        </w:tc>
        <w:tc>
          <w:tcPr>
            <w:tcW w:w="680" w:type="dxa"/>
            <w:vAlign w:val="bottom"/>
          </w:tcPr>
          <w:p>
            <w:pPr>
              <w:ind w:left="280"/>
              <w:spacing w:after="0"/>
              <w:rPr>
                <w:sz w:val="20"/>
                <w:szCs w:val="20"/>
                <w:color w:val="auto"/>
              </w:rPr>
            </w:pPr>
            <w:r>
              <w:rPr>
                <w:rFonts w:ascii="Arial" w:cs="Arial" w:eastAsia="Arial" w:hAnsi="Arial"/>
                <w:sz w:val="16"/>
                <w:szCs w:val="16"/>
                <w:color w:val="auto"/>
              </w:rPr>
              <w:t>​ ​</w:t>
            </w:r>
          </w:p>
        </w:tc>
        <w:tc>
          <w:tcPr>
            <w:tcW w:w="2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100" w:type="dxa"/>
            <w:vAlign w:val="bottom"/>
          </w:tcPr>
          <w:p>
            <w:pPr>
              <w:spacing w:after="0"/>
              <w:rPr>
                <w:sz w:val="20"/>
                <w:szCs w:val="20"/>
                <w:color w:val="auto"/>
              </w:rPr>
            </w:pPr>
          </w:p>
        </w:tc>
        <w:tc>
          <w:tcPr>
            <w:tcW w:w="3840" w:type="dxa"/>
            <w:vAlign w:val="bottom"/>
            <w:vMerge w:val="restart"/>
          </w:tcPr>
          <w:p>
            <w:pPr>
              <w:ind w:left="660"/>
              <w:spacing w:after="0"/>
              <w:rPr>
                <w:sz w:val="20"/>
                <w:szCs w:val="20"/>
                <w:color w:val="auto"/>
              </w:rPr>
            </w:pPr>
            <w:r>
              <w:rPr>
                <w:rFonts w:ascii="Arial" w:cs="Arial" w:eastAsia="Arial" w:hAnsi="Arial"/>
                <w:sz w:val="25"/>
                <w:szCs w:val="25"/>
                <w:b w:val="1"/>
                <w:bCs w:val="1"/>
                <w:color w:val="FFFFFF"/>
              </w:rPr>
              <w:t>Compensation Committee</w:t>
            </w:r>
          </w:p>
        </w:tc>
        <w:tc>
          <w:tcPr>
            <w:tcW w:w="6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FFFFFF"/>
              </w:rPr>
              <w:t>Meetings in 2023:</w:t>
            </w:r>
          </w:p>
        </w:tc>
        <w:tc>
          <w:tcPr>
            <w:tcW w:w="260" w:type="dxa"/>
            <w:vAlign w:val="bottom"/>
          </w:tcPr>
          <w:p>
            <w:pPr>
              <w:jc w:val="right"/>
              <w:spacing w:after="0" w:line="232" w:lineRule="exact"/>
              <w:rPr>
                <w:sz w:val="20"/>
                <w:szCs w:val="20"/>
                <w:color w:val="auto"/>
              </w:rPr>
            </w:pPr>
            <w:r>
              <w:rPr>
                <w:rFonts w:ascii="Arial" w:cs="Arial" w:eastAsia="Arial" w:hAnsi="Arial"/>
                <w:sz w:val="25"/>
                <w:szCs w:val="25"/>
                <w:b w:val="1"/>
                <w:bCs w:val="1"/>
                <w:color w:val="FFFFFF"/>
              </w:rPr>
              <w:t>9</w:t>
            </w:r>
          </w:p>
        </w:tc>
        <w:tc>
          <w:tcPr>
            <w:tcW w:w="0" w:type="dxa"/>
            <w:vAlign w:val="bottom"/>
          </w:tcPr>
          <w:p>
            <w:pPr>
              <w:spacing w:after="0"/>
              <w:rPr>
                <w:sz w:val="1"/>
                <w:szCs w:val="1"/>
                <w:color w:val="auto"/>
              </w:rPr>
            </w:pPr>
          </w:p>
        </w:tc>
      </w:tr>
      <w:tr>
        <w:trPr>
          <w:trHeight w:val="308"/>
        </w:trPr>
        <w:tc>
          <w:tcPr>
            <w:tcW w:w="1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FFFFFF"/>
              </w:rPr>
              <w:t>Meetings to date in 2024:</w:t>
            </w:r>
          </w:p>
        </w:tc>
        <w:tc>
          <w:tcPr>
            <w:tcW w:w="260" w:type="dxa"/>
            <w:vAlign w:val="bottom"/>
          </w:tcPr>
          <w:p>
            <w:pPr>
              <w:jc w:val="right"/>
              <w:spacing w:after="0"/>
              <w:rPr>
                <w:sz w:val="20"/>
                <w:szCs w:val="20"/>
                <w:color w:val="auto"/>
              </w:rPr>
            </w:pPr>
            <w:r>
              <w:rPr>
                <w:rFonts w:ascii="Arial" w:cs="Arial" w:eastAsia="Arial" w:hAnsi="Arial"/>
                <w:sz w:val="25"/>
                <w:szCs w:val="25"/>
                <w:b w:val="1"/>
                <w:bCs w:val="1"/>
                <w:color w:val="FFFFFF"/>
              </w:rPr>
              <w:t>3</w:t>
            </w:r>
          </w:p>
        </w:tc>
        <w:tc>
          <w:tcPr>
            <w:tcW w:w="0" w:type="dxa"/>
            <w:vAlign w:val="bottom"/>
          </w:tcPr>
          <w:p>
            <w:pPr>
              <w:spacing w:after="0"/>
              <w:rPr>
                <w:sz w:val="1"/>
                <w:szCs w:val="1"/>
                <w:color w:val="auto"/>
              </w:rPr>
            </w:pPr>
          </w:p>
        </w:tc>
      </w:tr>
      <w:tr>
        <w:trPr>
          <w:trHeight w:val="317"/>
        </w:trPr>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3840" w:type="dxa"/>
            <w:vAlign w:val="bottom"/>
          </w:tcPr>
          <w:p>
            <w:pPr>
              <w:jc w:val="center"/>
              <w:ind w:right="2744"/>
              <w:spacing w:after="0"/>
              <w:rPr>
                <w:sz w:val="20"/>
                <w:szCs w:val="20"/>
                <w:color w:val="auto"/>
              </w:rPr>
            </w:pPr>
            <w:r>
              <w:rPr>
                <w:rFonts w:ascii="Arial" w:cs="Arial" w:eastAsia="Arial" w:hAnsi="Arial"/>
                <w:sz w:val="16"/>
                <w:szCs w:val="16"/>
                <w:b w:val="1"/>
                <w:bCs w:val="1"/>
                <w:color w:val="BF5B5A"/>
                <w:w w:val="97"/>
              </w:rPr>
              <w:t>OVERVIEW</w:t>
            </w: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0" w:right="440"/>
        <w:spacing w:after="0" w:line="304" w:lineRule="auto"/>
        <w:rPr>
          <w:sz w:val="20"/>
          <w:szCs w:val="20"/>
          <w:color w:val="auto"/>
        </w:rPr>
      </w:pPr>
      <w:r>
        <w:rPr>
          <w:rFonts w:ascii="Arial" w:cs="Arial" w:eastAsia="Arial" w:hAnsi="Arial"/>
          <w:sz w:val="16"/>
          <w:szCs w:val="16"/>
          <w:color w:val="auto"/>
        </w:rPr>
        <w:t>The Compensation Committee is responsible for discharging the responsibilities of our Board relating to compensation of our executives and directors.</w:t>
      </w:r>
    </w:p>
    <w:p>
      <w:pPr>
        <w:spacing w:after="0" w:line="47" w:lineRule="exact"/>
        <w:rPr>
          <w:sz w:val="20"/>
          <w:szCs w:val="20"/>
          <w:color w:val="auto"/>
        </w:rPr>
      </w:pPr>
    </w:p>
    <w:p>
      <w:pPr>
        <w:ind w:left="60"/>
        <w:spacing w:after="0"/>
        <w:tabs>
          <w:tab w:leader="none" w:pos="690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KEY RESPONSIBILITIES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-232410</wp:posOffset>
            </wp:positionV>
            <wp:extent cx="442341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33" w:lineRule="exact"/>
        <w:rPr>
          <w:sz w:val="20"/>
          <w:szCs w:val="20"/>
          <w:color w:val="auto"/>
        </w:rPr>
      </w:pPr>
    </w:p>
    <w:p>
      <w:pPr>
        <w:ind w:left="480" w:right="480" w:hanging="156"/>
        <w:spacing w:after="0" w:line="283" w:lineRule="auto"/>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Reviews and approves our compensation programs and incentive plans, including those for our executive officers;</w:t>
      </w:r>
    </w:p>
    <w:p>
      <w:pPr>
        <w:spacing w:after="0" w:line="76" w:lineRule="exact"/>
        <w:rPr>
          <w:rFonts w:ascii="Arial" w:cs="Arial" w:eastAsia="Arial" w:hAnsi="Arial"/>
          <w:sz w:val="16"/>
          <w:szCs w:val="16"/>
          <w:color w:val="BF5B5A"/>
        </w:rPr>
      </w:pPr>
    </w:p>
    <w:p>
      <w:pPr>
        <w:ind w:left="480" w:hanging="156"/>
        <w:spacing w:after="0"/>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Reviews our overall compensation philosophy;</w:t>
      </w:r>
    </w:p>
    <w:p>
      <w:pPr>
        <w:spacing w:after="0" w:line="140" w:lineRule="exact"/>
        <w:rPr>
          <w:rFonts w:ascii="Arial" w:cs="Arial" w:eastAsia="Arial" w:hAnsi="Arial"/>
          <w:sz w:val="16"/>
          <w:szCs w:val="16"/>
          <w:color w:val="BF5B5A"/>
        </w:rPr>
      </w:pPr>
    </w:p>
    <w:p>
      <w:pPr>
        <w:ind w:left="480" w:right="120" w:hanging="156"/>
        <w:spacing w:after="0" w:line="275" w:lineRule="auto"/>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Prepares our Compensation Committee report, reviews and discusses with management our compensation discussion and analysis and recommends its inclusion in our annual proxy statement or report;</w:t>
      </w:r>
    </w:p>
    <w:p>
      <w:pPr>
        <w:spacing w:after="0" w:line="96" w:lineRule="exact"/>
        <w:rPr>
          <w:rFonts w:ascii="Arial" w:cs="Arial" w:eastAsia="Arial" w:hAnsi="Arial"/>
          <w:sz w:val="16"/>
          <w:szCs w:val="16"/>
          <w:color w:val="BF5B5A"/>
        </w:rPr>
      </w:pPr>
    </w:p>
    <w:p>
      <w:pPr>
        <w:ind w:left="480" w:right="540" w:hanging="156"/>
        <w:spacing w:after="0" w:line="304" w:lineRule="auto"/>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Reviews and approves director compensation and recommends to the Board any changes thereto;</w:t>
      </w:r>
    </w:p>
    <w:p>
      <w:pPr>
        <w:spacing w:after="0" w:line="60" w:lineRule="exact"/>
        <w:rPr>
          <w:rFonts w:ascii="Arial" w:cs="Arial" w:eastAsia="Arial" w:hAnsi="Arial"/>
          <w:sz w:val="16"/>
          <w:szCs w:val="16"/>
          <w:color w:val="BF5B5A"/>
        </w:rPr>
      </w:pPr>
    </w:p>
    <w:p>
      <w:pPr>
        <w:ind w:left="480" w:hanging="156"/>
        <w:spacing w:after="0"/>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Reviews our human resources strategies and programs</w:t>
      </w:r>
    </w:p>
    <w:p>
      <w:pPr>
        <w:spacing w:after="0" w:line="140" w:lineRule="exact"/>
        <w:rPr>
          <w:rFonts w:ascii="Arial" w:cs="Arial" w:eastAsia="Arial" w:hAnsi="Arial"/>
          <w:sz w:val="16"/>
          <w:szCs w:val="16"/>
          <w:color w:val="BF5B5A"/>
        </w:rPr>
      </w:pPr>
    </w:p>
    <w:p>
      <w:pPr>
        <w:ind w:left="480" w:right="140" w:hanging="156"/>
        <w:spacing w:after="0" w:line="286" w:lineRule="auto"/>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Reviews and approves corporate goals and objectives relevant to the compensation of our Chief Executive Officer; and</w:t>
      </w:r>
    </w:p>
    <w:p>
      <w:pPr>
        <w:spacing w:after="0" w:line="101" w:lineRule="exact"/>
        <w:rPr>
          <w:rFonts w:ascii="Arial" w:cs="Arial" w:eastAsia="Arial" w:hAnsi="Arial"/>
          <w:sz w:val="16"/>
          <w:szCs w:val="16"/>
          <w:color w:val="BF5B5A"/>
        </w:rPr>
      </w:pPr>
    </w:p>
    <w:p>
      <w:pPr>
        <w:ind w:left="480" w:right="420" w:hanging="156"/>
        <w:spacing w:after="0" w:line="286" w:lineRule="auto"/>
        <w:tabs>
          <w:tab w:leader="none" w:pos="480" w:val="left"/>
        </w:tabs>
        <w:numPr>
          <w:ilvl w:val="0"/>
          <w:numId w:val="71"/>
        </w:numPr>
        <w:rPr>
          <w:rFonts w:ascii="Arial" w:cs="Arial" w:eastAsia="Arial" w:hAnsi="Arial"/>
          <w:sz w:val="16"/>
          <w:szCs w:val="16"/>
          <w:color w:val="BF5B5A"/>
        </w:rPr>
      </w:pPr>
      <w:r>
        <w:rPr>
          <w:rFonts w:ascii="Arial" w:cs="Arial" w:eastAsia="Arial" w:hAnsi="Arial"/>
          <w:sz w:val="16"/>
          <w:szCs w:val="16"/>
          <w:color w:val="auto"/>
        </w:rPr>
        <w:t>Oversees, in consultation with management, regulatory compliance with respect to compensation matters.</w:t>
      </w:r>
    </w:p>
    <w:p>
      <w:pPr>
        <w:spacing w:after="0" w:line="61" w:lineRule="exact"/>
        <w:rPr>
          <w:sz w:val="20"/>
          <w:szCs w:val="20"/>
          <w:color w:val="auto"/>
        </w:rPr>
      </w:pPr>
    </w:p>
    <w:p>
      <w:pPr>
        <w:ind w:left="60"/>
        <w:spacing w:after="0"/>
        <w:tabs>
          <w:tab w:leader="none" w:pos="690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QUALIFICATIONS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-232410</wp:posOffset>
            </wp:positionV>
            <wp:extent cx="44234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Pursuant to the Compensation Committee’s charter and NASDAQ listing standards, the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Compensation Committee must:</w:t>
      </w:r>
    </w:p>
    <w:p>
      <w:pPr>
        <w:spacing w:after="0" w:line="128" w:lineRule="exact"/>
        <w:rPr>
          <w:sz w:val="20"/>
          <w:szCs w:val="20"/>
          <w:color w:val="auto"/>
        </w:rPr>
      </w:pPr>
    </w:p>
    <w:p>
      <w:pPr>
        <w:ind w:left="480" w:hanging="156"/>
        <w:spacing w:after="0"/>
        <w:tabs>
          <w:tab w:leader="none" w:pos="480" w:val="left"/>
        </w:tabs>
        <w:numPr>
          <w:ilvl w:val="0"/>
          <w:numId w:val="72"/>
        </w:numPr>
        <w:rPr>
          <w:rFonts w:ascii="Arial" w:cs="Arial" w:eastAsia="Arial" w:hAnsi="Arial"/>
          <w:sz w:val="16"/>
          <w:szCs w:val="16"/>
          <w:color w:val="BF5B5A"/>
        </w:rPr>
      </w:pPr>
      <w:r>
        <w:rPr>
          <w:rFonts w:ascii="Arial" w:cs="Arial" w:eastAsia="Arial" w:hAnsi="Arial"/>
          <w:sz w:val="16"/>
          <w:szCs w:val="16"/>
          <w:color w:val="auto"/>
        </w:rPr>
        <w:t>consist of at least two members, and,</w:t>
      </w:r>
    </w:p>
    <w:p>
      <w:pPr>
        <w:spacing w:after="0" w:line="140" w:lineRule="exact"/>
        <w:rPr>
          <w:rFonts w:ascii="Arial" w:cs="Arial" w:eastAsia="Arial" w:hAnsi="Arial"/>
          <w:sz w:val="16"/>
          <w:szCs w:val="16"/>
          <w:color w:val="BF5B5A"/>
        </w:rPr>
      </w:pPr>
    </w:p>
    <w:p>
      <w:pPr>
        <w:ind w:left="480" w:right="1000" w:hanging="156"/>
        <w:spacing w:after="0" w:line="286" w:lineRule="auto"/>
        <w:tabs>
          <w:tab w:leader="none" w:pos="480" w:val="left"/>
        </w:tabs>
        <w:numPr>
          <w:ilvl w:val="0"/>
          <w:numId w:val="72"/>
        </w:numPr>
        <w:rPr>
          <w:rFonts w:ascii="Arial" w:cs="Arial" w:eastAsia="Arial" w:hAnsi="Arial"/>
          <w:sz w:val="16"/>
          <w:szCs w:val="16"/>
          <w:color w:val="BF5B5A"/>
        </w:rPr>
      </w:pPr>
      <w:r>
        <w:rPr>
          <w:rFonts w:ascii="Arial" w:cs="Arial" w:eastAsia="Arial" w:hAnsi="Arial"/>
          <w:sz w:val="16"/>
          <w:szCs w:val="16"/>
          <w:color w:val="auto"/>
        </w:rPr>
        <w:t>except under exceptional and limited circumstances, must consist solely of independent directors.</w:t>
      </w:r>
    </w:p>
    <w:p>
      <w:pPr>
        <w:spacing w:after="0" w:line="61" w:lineRule="exact"/>
        <w:rPr>
          <w:sz w:val="20"/>
          <w:szCs w:val="20"/>
          <w:color w:val="auto"/>
        </w:rPr>
      </w:pPr>
    </w:p>
    <w:p>
      <w:pPr>
        <w:ind w:left="60"/>
        <w:spacing w:after="0"/>
        <w:tabs>
          <w:tab w:leader="none" w:pos="690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COMPENSATION COMMITTEE REPORT</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-232410</wp:posOffset>
            </wp:positionV>
            <wp:extent cx="442341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The Compensation Committee Report is on page 63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96520</wp:posOffset>
            </wp:positionV>
            <wp:extent cx="58293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60"/>
            <w:col w:w="7020"/>
          </w:cols>
          <w:pgMar w:left="580" w:top="97" w:right="1359" w:bottom="1440" w:gutter="0" w:footer="0" w:header="0"/>
          <w:type w:val="continuous"/>
        </w:sect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Outside Compensation Consultant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76200</wp:posOffset>
            </wp:positionV>
            <wp:extent cx="27603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38" w:lineRule="exact"/>
        <w:rPr>
          <w:sz w:val="20"/>
          <w:szCs w:val="20"/>
          <w:color w:val="auto"/>
        </w:rPr>
      </w:pPr>
    </w:p>
    <w:p>
      <w:pPr>
        <w:ind w:left="780" w:right="20"/>
        <w:spacing w:after="0" w:line="273" w:lineRule="auto"/>
        <w:rPr>
          <w:sz w:val="20"/>
          <w:szCs w:val="20"/>
          <w:color w:val="auto"/>
        </w:rPr>
      </w:pPr>
      <w:r>
        <w:rPr>
          <w:rFonts w:ascii="Arial" w:cs="Arial" w:eastAsia="Arial" w:hAnsi="Arial"/>
          <w:sz w:val="18"/>
          <w:szCs w:val="18"/>
          <w:color w:val="auto"/>
        </w:rPr>
        <w:t>For 2023, the Compensation Committee retained the services of Pay Governance LLC as an independent outside compensation consultant (“Pay Governance”) to perform a competitive assessment of First Hawaiian’s executive and director compensation programs, as well as to provide guidance on the changing regulatory environment governing executive compensation. The Compensation Committee regularly reviews the services provided by Pay Governance and believes that Pay Governance is independent in providing executive compensation consulting services.</w:t>
      </w:r>
    </w:p>
    <w:p>
      <w:pPr>
        <w:spacing w:after="0" w:line="118" w:lineRule="exact"/>
        <w:rPr>
          <w:sz w:val="20"/>
          <w:szCs w:val="20"/>
          <w:color w:val="auto"/>
        </w:rPr>
      </w:pPr>
    </w:p>
    <w:p>
      <w:pPr>
        <w:ind w:left="780" w:right="860"/>
        <w:spacing w:after="0" w:line="303" w:lineRule="auto"/>
        <w:rPr>
          <w:sz w:val="20"/>
          <w:szCs w:val="20"/>
          <w:color w:val="auto"/>
        </w:rPr>
      </w:pPr>
      <w:r>
        <w:rPr>
          <w:rFonts w:ascii="Arial" w:cs="Arial" w:eastAsia="Arial" w:hAnsi="Arial"/>
          <w:sz w:val="18"/>
          <w:szCs w:val="18"/>
          <w:color w:val="auto"/>
        </w:rPr>
        <w:t>For more information about the role of Pay Governance as an independent outside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compensation consultant, see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Compensation—Compensation Discussion and Analysis—Compensation Governance Process—Role of the Compensation Consultant and Independence</w:t>
      </w:r>
      <w:r>
        <w:rPr>
          <w:rFonts w:ascii="Arial" w:cs="Arial" w:eastAsia="Arial" w:hAnsi="Arial"/>
          <w:sz w:val="17"/>
          <w:szCs w:val="17"/>
          <w:color w:val="auto"/>
        </w:rPr>
        <w:t>.”</w:t>
      </w:r>
    </w:p>
    <w:p>
      <w:pPr>
        <w:spacing w:after="0" w:line="8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Chief Executive Officer, in conjunction with members of the Compensation Committee and the Executive Vice President, Chief Human Resources Officer, develops recommendations regarding the appropriate mix and level of compensation for our NEOs (other than himself) while considering the objectives of our compensation philosophy and the range of compensation programs authorized by the Compensation Committee. The Chief Executive Officer meets with the Compensation Committee to discuss the compensation recommendations for the other NEOs. Our Chief Executive Officer does not participate in Compensation Committee discussions relating to his compensation.</w:t>
      </w:r>
    </w:p>
    <w:p>
      <w:pPr>
        <w:spacing w:after="0" w:line="200" w:lineRule="exact"/>
        <w:rPr>
          <w:sz w:val="20"/>
          <w:szCs w:val="20"/>
          <w:color w:val="auto"/>
        </w:rPr>
      </w:pPr>
    </w:p>
    <w:p>
      <w:pPr>
        <w:sectPr>
          <w:pgSz w:w="11900" w:h="16838" w:orient="portrait"/>
          <w:cols w:equalWidth="0" w:num="2">
            <w:col w:w="5140" w:space="480"/>
            <w:col w:w="4340"/>
          </w:cols>
          <w:pgMar w:left="580" w:top="97" w:right="1359" w:bottom="1440" w:gutter="0" w:footer="0" w:header="0"/>
          <w:type w:val="continuous"/>
        </w:sectPr>
      </w:pPr>
    </w:p>
    <w:p>
      <w:pPr>
        <w:spacing w:after="0" w:line="367"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30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Compensation Committee Interlocks and Insider Participation</w:t>
      </w:r>
    </w:p>
    <w:p>
      <w:pPr>
        <w:sectPr>
          <w:pgSz w:w="11900" w:h="16838" w:orient="portrait"/>
          <w:cols w:equalWidth="0" w:num="1">
            <w:col w:w="9920"/>
          </w:cols>
          <w:pgMar w:left="580" w:top="97" w:right="1399" w:bottom="1440" w:gutter="0" w:footer="0" w:header="0"/>
        </w:sectPr>
      </w:pPr>
    </w:p>
    <w:p>
      <w:pPr>
        <w:spacing w:after="0" w:line="258" w:lineRule="exact"/>
        <w:rPr>
          <w:sz w:val="20"/>
          <w:szCs w:val="20"/>
          <w:color w:val="auto"/>
        </w:rPr>
      </w:pPr>
    </w:p>
    <w:p>
      <w:pPr>
        <w:ind w:left="780"/>
        <w:spacing w:after="0" w:line="276" w:lineRule="auto"/>
        <w:rPr>
          <w:sz w:val="20"/>
          <w:szCs w:val="20"/>
          <w:color w:val="auto"/>
        </w:rPr>
      </w:pPr>
      <w:r>
        <w:rPr>
          <w:rFonts w:ascii="Arial" w:cs="Arial" w:eastAsia="Arial" w:hAnsi="Arial"/>
          <w:sz w:val="18"/>
          <w:szCs w:val="18"/>
          <w:color w:val="auto"/>
        </w:rPr>
        <w:t>No member of our Compensation Committee is or has been one of our officers or employees, and none has had or will have any relationships with us of the type that is required to be disclosed under Item 404 of Regulation S-K. None of our executive officers serves or has served as a member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the Board, Compensation Committee or other Board committee performing equivalent functions of any entity that has one or more executive officers serving as one of our directors or on our Compensation Committee.</w:t>
      </w:r>
    </w:p>
    <w:p>
      <w:pPr>
        <w:spacing w:after="0" w:line="373" w:lineRule="exact"/>
        <w:rPr>
          <w:sz w:val="20"/>
          <w:szCs w:val="20"/>
          <w:color w:val="auto"/>
        </w:rPr>
      </w:pPr>
    </w:p>
    <w:p>
      <w:pPr>
        <w:sectPr>
          <w:pgSz w:w="11900" w:h="16838" w:orient="portrait"/>
          <w:cols w:equalWidth="0" w:num="2">
            <w:col w:w="4980" w:space="640"/>
            <w:col w:w="430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31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274955</wp:posOffset>
            </wp:positionV>
            <wp:extent cx="4705985" cy="4629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05985" cy="462915"/>
                    </a:xfrm>
                    <a:prstGeom prst="rect">
                      <a:avLst/>
                    </a:prstGeom>
                    <a:noFill/>
                  </pic:spPr>
                </pic:pic>
              </a:graphicData>
            </a:graphic>
          </wp:anchor>
        </w:drawing>
      </w:r>
    </w:p>
    <w:p>
      <w:pPr>
        <w:spacing w:after="0" w:line="393" w:lineRule="exact"/>
        <w:rPr>
          <w:sz w:val="20"/>
          <w:szCs w:val="20"/>
          <w:color w:val="auto"/>
        </w:rPr>
      </w:pPr>
    </w:p>
    <w:tbl>
      <w:tblPr>
        <w:tblLayout w:type="fixed"/>
        <w:tblInd w:w="780" w:type="dxa"/>
        <w:tblCellMar>
          <w:top w:w="0" w:type="dxa"/>
          <w:left w:w="0" w:type="dxa"/>
          <w:bottom w:w="0" w:type="dxa"/>
          <w:right w:w="0" w:type="dxa"/>
        </w:tblCellMar>
      </w:tblPr>
      <w:tr>
        <w:trPr>
          <w:trHeight w:val="300"/>
        </w:trPr>
        <w:tc>
          <w:tcPr>
            <w:tcW w:w="880" w:type="dxa"/>
            <w:vAlign w:val="bottom"/>
            <w:tcBorders>
              <w:top w:val="single" w:sz="8" w:color="BF5B5A"/>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BF5B5A"/>
            </w:tcBorders>
          </w:tcPr>
          <w:p>
            <w:pPr>
              <w:ind w:left="8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BF5B5A"/>
            </w:tcBorders>
          </w:tcPr>
          <w:p>
            <w:pPr>
              <w:ind w:left="480"/>
              <w:spacing w:after="0"/>
              <w:rPr>
                <w:sz w:val="20"/>
                <w:szCs w:val="20"/>
                <w:color w:val="auto"/>
              </w:rPr>
            </w:pPr>
            <w:r>
              <w:rPr>
                <w:rFonts w:ascii="Arial" w:cs="Arial" w:eastAsia="Arial" w:hAnsi="Arial"/>
                <w:sz w:val="16"/>
                <w:szCs w:val="16"/>
                <w:color w:val="auto"/>
              </w:rPr>
              <w:t>​ ​</w:t>
            </w:r>
          </w:p>
        </w:tc>
        <w:tc>
          <w:tcPr>
            <w:tcW w:w="3500" w:type="dxa"/>
            <w:vAlign w:val="bottom"/>
            <w:tcBorders>
              <w:top w:val="single" w:sz="8" w:color="BF5B5A"/>
            </w:tcBorders>
            <w:vMerge w:val="restart"/>
          </w:tcPr>
          <w:p>
            <w:pPr>
              <w:ind w:left="20"/>
              <w:spacing w:after="0"/>
              <w:rPr>
                <w:sz w:val="20"/>
                <w:szCs w:val="20"/>
                <w:color w:val="auto"/>
              </w:rPr>
            </w:pPr>
            <w:r>
              <w:rPr>
                <w:rFonts w:ascii="Arial" w:cs="Arial" w:eastAsia="Arial" w:hAnsi="Arial"/>
                <w:sz w:val="25"/>
                <w:szCs w:val="25"/>
                <w:b w:val="1"/>
                <w:bCs w:val="1"/>
                <w:color w:val="FFFFFF"/>
              </w:rPr>
              <w:t>Corporate Governance</w:t>
            </w:r>
          </w:p>
        </w:tc>
        <w:tc>
          <w:tcPr>
            <w:tcW w:w="2940" w:type="dxa"/>
            <w:vAlign w:val="bottom"/>
            <w:tcBorders>
              <w:top w:val="single" w:sz="8" w:color="BF5B5A"/>
            </w:tcBorders>
          </w:tcPr>
          <w:p>
            <w:pPr>
              <w:ind w:left="400"/>
              <w:spacing w:after="0"/>
              <w:rPr>
                <w:sz w:val="20"/>
                <w:szCs w:val="20"/>
                <w:color w:val="auto"/>
              </w:rPr>
            </w:pPr>
            <w:r>
              <w:rPr>
                <w:rFonts w:ascii="Arial" w:cs="Arial" w:eastAsia="Arial" w:hAnsi="Arial"/>
                <w:sz w:val="16"/>
                <w:szCs w:val="16"/>
                <w:color w:val="auto"/>
              </w:rPr>
              <w:t>​ ​</w:t>
            </w:r>
          </w:p>
        </w:tc>
        <w:tc>
          <w:tcPr>
            <w:tcW w:w="260" w:type="dxa"/>
            <w:vAlign w:val="bottom"/>
            <w:tcBorders>
              <w:top w:val="single" w:sz="8" w:color="BF5B5A"/>
            </w:tcBorders>
          </w:tcPr>
          <w:p>
            <w:pPr>
              <w:jc w:val="right"/>
              <w:spacing w:after="0" w:line="299" w:lineRule="exact"/>
              <w:rPr>
                <w:sz w:val="20"/>
                <w:szCs w:val="20"/>
                <w:color w:val="auto"/>
              </w:rPr>
            </w:pPr>
            <w:r>
              <w:rPr>
                <w:rFonts w:ascii="Arial" w:cs="Arial" w:eastAsia="Arial" w:hAnsi="Arial"/>
                <w:sz w:val="16"/>
                <w:szCs w:val="16"/>
                <w:b w:val="1"/>
                <w:bCs w:val="1"/>
                <w:color w:val="FFFFFF"/>
              </w:rPr>
              <w:t>  ​</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2940" w:type="dxa"/>
            <w:vAlign w:val="bottom"/>
            <w:vMerge w:val="restart"/>
          </w:tcPr>
          <w:p>
            <w:pPr>
              <w:ind w:left="1600"/>
              <w:spacing w:after="0"/>
              <w:rPr>
                <w:sz w:val="20"/>
                <w:szCs w:val="20"/>
                <w:color w:val="auto"/>
              </w:rPr>
            </w:pPr>
            <w:r>
              <w:rPr>
                <w:rFonts w:ascii="Arial" w:cs="Arial" w:eastAsia="Arial" w:hAnsi="Arial"/>
                <w:sz w:val="16"/>
                <w:szCs w:val="16"/>
                <w:b w:val="1"/>
                <w:bCs w:val="1"/>
                <w:color w:val="FFFFFF"/>
                <w:w w:val="98"/>
              </w:rPr>
              <w:t>Meetings in 2023:</w:t>
            </w:r>
          </w:p>
        </w:tc>
        <w:tc>
          <w:tcPr>
            <w:tcW w:w="260" w:type="dxa"/>
            <w:vAlign w:val="bottom"/>
            <w:vMerge w:val="restart"/>
          </w:tcPr>
          <w:p>
            <w:pPr>
              <w:jc w:val="right"/>
              <w:spacing w:after="0"/>
              <w:rPr>
                <w:sz w:val="20"/>
                <w:szCs w:val="20"/>
                <w:color w:val="auto"/>
              </w:rPr>
            </w:pPr>
            <w:r>
              <w:rPr>
                <w:rFonts w:ascii="Arial" w:cs="Arial" w:eastAsia="Arial" w:hAnsi="Arial"/>
                <w:sz w:val="25"/>
                <w:szCs w:val="25"/>
                <w:b w:val="1"/>
                <w:bCs w:val="1"/>
                <w:color w:val="FFFFFF"/>
              </w:rPr>
              <w:t>3</w:t>
            </w: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00" w:type="dxa"/>
            <w:vAlign w:val="bottom"/>
            <w:vMerge w:val="restart"/>
          </w:tcPr>
          <w:p>
            <w:pPr>
              <w:ind w:left="20"/>
              <w:spacing w:after="0"/>
              <w:rPr>
                <w:sz w:val="20"/>
                <w:szCs w:val="20"/>
                <w:color w:val="auto"/>
              </w:rPr>
            </w:pPr>
            <w:r>
              <w:rPr>
                <w:rFonts w:ascii="Arial" w:cs="Arial" w:eastAsia="Arial" w:hAnsi="Arial"/>
                <w:sz w:val="25"/>
                <w:szCs w:val="25"/>
                <w:b w:val="1"/>
                <w:bCs w:val="1"/>
                <w:color w:val="FFFFFF"/>
              </w:rPr>
              <w:t>and Nominating Committee</w:t>
            </w:r>
          </w:p>
        </w:tc>
        <w:tc>
          <w:tcPr>
            <w:tcW w:w="29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22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MEMBERS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BF5B5A"/>
        </w:rPr>
        <w:t>•</w:t>
      </w:r>
      <w:r>
        <w:rPr>
          <w:rFonts w:ascii="Arial" w:cs="Arial" w:eastAsia="Arial" w:hAnsi="Arial"/>
          <w:sz w:val="16"/>
          <w:szCs w:val="16"/>
          <w:color w:val="000000"/>
        </w:rPr>
        <w:t xml:space="preserve">  Allen B. Uyeda  </w:t>
      </w:r>
      <w:r>
        <w:rPr>
          <w:sz w:val="1"/>
          <w:szCs w:val="1"/>
          <w:color w:val="auto"/>
        </w:rPr>
        <w:drawing>
          <wp:inline distT="0" distB="0" distL="0" distR="0">
            <wp:extent cx="111125" cy="11112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p>
    <w:p>
      <w:pPr>
        <w:spacing w:after="0" w:line="47" w:lineRule="exact"/>
        <w:rPr>
          <w:sz w:val="20"/>
          <w:szCs w:val="20"/>
          <w:color w:val="auto"/>
        </w:rPr>
      </w:pPr>
    </w:p>
    <w:p>
      <w:pPr>
        <w:ind w:left="1020" w:hanging="168"/>
        <w:spacing w:after="0"/>
        <w:tabs>
          <w:tab w:leader="none" w:pos="1020" w:val="left"/>
        </w:tabs>
        <w:numPr>
          <w:ilvl w:val="0"/>
          <w:numId w:val="73"/>
        </w:numPr>
        <w:rPr>
          <w:rFonts w:ascii="Arial" w:cs="Arial" w:eastAsia="Arial" w:hAnsi="Arial"/>
          <w:sz w:val="16"/>
          <w:szCs w:val="16"/>
          <w:color w:val="BF5B5A"/>
        </w:rPr>
      </w:pPr>
      <w:r>
        <w:rPr>
          <w:rFonts w:ascii="Arial" w:cs="Arial" w:eastAsia="Arial" w:hAnsi="Arial"/>
          <w:sz w:val="16"/>
          <w:szCs w:val="16"/>
          <w:color w:val="auto"/>
        </w:rPr>
        <w:t>James S. Moffatt</w:t>
      </w:r>
    </w:p>
    <w:p>
      <w:pPr>
        <w:spacing w:after="0" w:line="72" w:lineRule="exact"/>
        <w:rPr>
          <w:rFonts w:ascii="Arial" w:cs="Arial" w:eastAsia="Arial" w:hAnsi="Arial"/>
          <w:sz w:val="16"/>
          <w:szCs w:val="16"/>
          <w:color w:val="BF5B5A"/>
        </w:rPr>
      </w:pPr>
    </w:p>
    <w:p>
      <w:pPr>
        <w:jc w:val="both"/>
        <w:ind w:left="1020" w:right="600" w:hanging="168"/>
        <w:spacing w:after="0" w:line="286" w:lineRule="auto"/>
        <w:tabs>
          <w:tab w:leader="none" w:pos="1020" w:val="left"/>
        </w:tabs>
        <w:numPr>
          <w:ilvl w:val="0"/>
          <w:numId w:val="73"/>
        </w:numPr>
        <w:rPr>
          <w:rFonts w:ascii="Arial" w:cs="Arial" w:eastAsia="Arial" w:hAnsi="Arial"/>
          <w:sz w:val="16"/>
          <w:szCs w:val="16"/>
          <w:color w:val="BF5B5A"/>
        </w:rPr>
      </w:pPr>
      <w:r>
        <w:rPr>
          <w:rFonts w:ascii="Arial" w:cs="Arial" w:eastAsia="Arial" w:hAnsi="Arial"/>
          <w:sz w:val="16"/>
          <w:szCs w:val="16"/>
          <w:color w:val="auto"/>
        </w:rPr>
        <w:t>Vanessa L. Washington</w:t>
      </w:r>
    </w:p>
    <w:p>
      <w:pPr>
        <w:spacing w:after="0" w:line="48" w:lineRule="exact"/>
        <w:rPr>
          <w:sz w:val="20"/>
          <w:szCs w:val="20"/>
          <w:color w:val="auto"/>
        </w:rPr>
      </w:pPr>
    </w:p>
    <w:p>
      <w:pPr>
        <w:ind w:left="1100" w:right="120"/>
        <w:spacing w:after="0" w:line="262" w:lineRule="auto"/>
        <w:rPr>
          <w:sz w:val="20"/>
          <w:szCs w:val="20"/>
          <w:color w:val="auto"/>
        </w:rPr>
      </w:pPr>
      <w:r>
        <w:rPr>
          <w:rFonts w:ascii="Arial" w:cs="Arial" w:eastAsia="Arial" w:hAnsi="Arial"/>
          <w:sz w:val="16"/>
          <w:szCs w:val="16"/>
          <w:color w:val="auto"/>
        </w:rPr>
        <w:t>All members of the Corporate Governance and Nominating Committee are independent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-1010920</wp:posOffset>
            </wp:positionV>
            <wp:extent cx="128905" cy="1200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CHARTER</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Corporate</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Governance and</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Nominating Committee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has adopted a written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charter that specifies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scope of its duties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and responsibilities,</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including those listed</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here. The charter is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available on our</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website at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BF5B5A"/>
        </w:rPr>
        <w:t xml:space="preserve">www.fhb.com </w:t>
      </w:r>
      <w:r>
        <w:rPr>
          <w:rFonts w:ascii="Arial" w:cs="Arial" w:eastAsia="Arial" w:hAnsi="Arial"/>
          <w:sz w:val="16"/>
          <w:szCs w:val="16"/>
          <w:color w:val="000000"/>
        </w:rPr>
        <w:t>under</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Investor Relations</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section.</w:t>
      </w:r>
    </w:p>
    <w:p>
      <w:pPr>
        <w:spacing w:after="0" w:line="20" w:lineRule="exact"/>
        <w:rPr>
          <w:sz w:val="20"/>
          <w:szCs w:val="20"/>
          <w:color w:val="auto"/>
        </w:rPr>
      </w:pPr>
      <w:r>
        <w:rPr>
          <w:sz w:val="20"/>
          <w:szCs w:val="20"/>
          <w:color w:val="auto"/>
        </w:rPr>
        <w:br w:type="column"/>
      </w:r>
    </w:p>
    <w:p>
      <w:pPr>
        <w:spacing w:after="0"/>
        <w:tabs>
          <w:tab w:leader="none" w:pos="730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OVERVIEW</w:t>
      </w:r>
      <w:r>
        <w:rPr>
          <w:sz w:val="20"/>
          <w:szCs w:val="20"/>
          <w:color w:val="auto"/>
        </w:rPr>
        <w:tab/>
      </w:r>
      <w:r>
        <w:rPr>
          <w:rFonts w:ascii="Arial" w:cs="Arial" w:eastAsia="Arial" w:hAnsi="Arial"/>
          <w:sz w:val="32"/>
          <w:szCs w:val="32"/>
          <w:color w:val="auto"/>
          <w:vertAlign w:val="superscript"/>
        </w:rPr>
        <w:t>​</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Corporate Governance and Nominating Committee is responsible for:</w:t>
      </w:r>
    </w:p>
    <w:p>
      <w:pPr>
        <w:spacing w:after="0" w:line="137" w:lineRule="exact"/>
        <w:rPr>
          <w:sz w:val="20"/>
          <w:szCs w:val="20"/>
          <w:color w:val="auto"/>
        </w:rPr>
      </w:pPr>
    </w:p>
    <w:p>
      <w:pPr>
        <w:ind w:left="440" w:right="220" w:hanging="161"/>
        <w:spacing w:after="0" w:line="286" w:lineRule="auto"/>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ensuring an effective and efficient system of corporate governance by clarifying the roles of our Board and its committees;</w:t>
      </w:r>
    </w:p>
    <w:p>
      <w:pPr>
        <w:spacing w:after="0" w:line="88" w:lineRule="exact"/>
        <w:rPr>
          <w:rFonts w:ascii="Arial" w:cs="Arial" w:eastAsia="Arial" w:hAnsi="Arial"/>
          <w:sz w:val="16"/>
          <w:szCs w:val="16"/>
          <w:color w:val="BF5B5A"/>
        </w:rPr>
      </w:pPr>
    </w:p>
    <w:p>
      <w:pPr>
        <w:ind w:left="440" w:hanging="161"/>
        <w:spacing w:after="0"/>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identifying, evaluating and recommending to our Board candidates for directorships;</w:t>
      </w:r>
    </w:p>
    <w:p>
      <w:pPr>
        <w:spacing w:after="0" w:line="126" w:lineRule="exact"/>
        <w:rPr>
          <w:rFonts w:ascii="Arial" w:cs="Arial" w:eastAsia="Arial" w:hAnsi="Arial"/>
          <w:sz w:val="16"/>
          <w:szCs w:val="16"/>
          <w:color w:val="BF5B5A"/>
        </w:rPr>
      </w:pPr>
    </w:p>
    <w:p>
      <w:pPr>
        <w:ind w:left="440" w:right="480" w:hanging="161"/>
        <w:spacing w:after="0" w:line="284" w:lineRule="auto"/>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reviewing and making recommendations with respect to the size and composition of our Board, including in respect of the characteristics, skills, experience and diversity of our Board;</w:t>
      </w:r>
    </w:p>
    <w:p>
      <w:pPr>
        <w:spacing w:after="0" w:line="89" w:lineRule="exact"/>
        <w:rPr>
          <w:rFonts w:ascii="Arial" w:cs="Arial" w:eastAsia="Arial" w:hAnsi="Arial"/>
          <w:sz w:val="16"/>
          <w:szCs w:val="16"/>
          <w:color w:val="BF5B5A"/>
        </w:rPr>
      </w:pPr>
    </w:p>
    <w:p>
      <w:pPr>
        <w:ind w:left="440" w:right="1160" w:hanging="161"/>
        <w:spacing w:after="0" w:line="304" w:lineRule="auto"/>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reviewing and overseeing our corporate governance guidelines and for making recommendations to our Board concerning governance matters;</w:t>
      </w:r>
    </w:p>
    <w:p>
      <w:pPr>
        <w:spacing w:after="0" w:line="73" w:lineRule="exact"/>
        <w:rPr>
          <w:rFonts w:ascii="Arial" w:cs="Arial" w:eastAsia="Arial" w:hAnsi="Arial"/>
          <w:sz w:val="16"/>
          <w:szCs w:val="16"/>
          <w:color w:val="BF5B5A"/>
        </w:rPr>
      </w:pPr>
    </w:p>
    <w:p>
      <w:pPr>
        <w:ind w:left="440" w:right="380" w:hanging="161"/>
        <w:spacing w:after="0" w:line="286" w:lineRule="auto"/>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reviewing our oversight practices and initiatives with respect to environmental, social and governance matters; and</w:t>
      </w:r>
    </w:p>
    <w:p>
      <w:pPr>
        <w:spacing w:after="0" w:line="101" w:lineRule="exact"/>
        <w:rPr>
          <w:rFonts w:ascii="Arial" w:cs="Arial" w:eastAsia="Arial" w:hAnsi="Arial"/>
          <w:sz w:val="16"/>
          <w:szCs w:val="16"/>
          <w:color w:val="BF5B5A"/>
        </w:rPr>
      </w:pPr>
    </w:p>
    <w:p>
      <w:pPr>
        <w:ind w:left="440" w:right="420" w:hanging="161"/>
        <w:spacing w:after="0" w:line="286" w:lineRule="auto"/>
        <w:tabs>
          <w:tab w:leader="none" w:pos="440" w:val="left"/>
        </w:tabs>
        <w:numPr>
          <w:ilvl w:val="0"/>
          <w:numId w:val="74"/>
        </w:numPr>
        <w:rPr>
          <w:rFonts w:ascii="Arial" w:cs="Arial" w:eastAsia="Arial" w:hAnsi="Arial"/>
          <w:sz w:val="16"/>
          <w:szCs w:val="16"/>
          <w:color w:val="BF5B5A"/>
        </w:rPr>
      </w:pPr>
      <w:r>
        <w:rPr>
          <w:rFonts w:ascii="Arial" w:cs="Arial" w:eastAsia="Arial" w:hAnsi="Arial"/>
          <w:sz w:val="16"/>
          <w:szCs w:val="16"/>
          <w:color w:val="auto"/>
        </w:rPr>
        <w:t>overseeing our engagement with stockholders concerning corporate governance matters and related governance disclosures.</w:t>
      </w:r>
    </w:p>
    <w:p>
      <w:pPr>
        <w:spacing w:after="0" w:line="61" w:lineRule="exact"/>
        <w:rPr>
          <w:sz w:val="20"/>
          <w:szCs w:val="20"/>
          <w:color w:val="auto"/>
        </w:rPr>
      </w:pPr>
    </w:p>
    <w:p>
      <w:pPr>
        <w:spacing w:after="0"/>
        <w:tabs>
          <w:tab w:leader="none" w:pos="730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KEY RESPONSIBILITIES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-232410</wp:posOffset>
            </wp:positionV>
            <wp:extent cx="47059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33" w:lineRule="exact"/>
        <w:rPr>
          <w:sz w:val="20"/>
          <w:szCs w:val="20"/>
          <w:color w:val="auto"/>
        </w:rPr>
      </w:pPr>
    </w:p>
    <w:p>
      <w:pPr>
        <w:ind w:left="440" w:right="440" w:hanging="161"/>
        <w:spacing w:after="0" w:line="283"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Identifies individuals qualified to be directors consistent with our corporate governance guidelines and evaluates and recommends director nominees for approval by our Board;</w:t>
      </w:r>
    </w:p>
    <w:p>
      <w:pPr>
        <w:spacing w:after="0" w:line="90" w:lineRule="exact"/>
        <w:rPr>
          <w:rFonts w:ascii="Arial" w:cs="Arial" w:eastAsia="Arial" w:hAnsi="Arial"/>
          <w:sz w:val="16"/>
          <w:szCs w:val="16"/>
          <w:color w:val="BF5B5A"/>
        </w:rPr>
      </w:pPr>
    </w:p>
    <w:p>
      <w:pPr>
        <w:ind w:left="440" w:right="840" w:hanging="161"/>
        <w:spacing w:after="0" w:line="304"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Reviews Board committee assignments and makes recommendations to our Board concerning the structure and membership of Board committees;</w:t>
      </w:r>
    </w:p>
    <w:p>
      <w:pPr>
        <w:spacing w:after="0" w:line="73" w:lineRule="exact"/>
        <w:rPr>
          <w:rFonts w:ascii="Arial" w:cs="Arial" w:eastAsia="Arial" w:hAnsi="Arial"/>
          <w:sz w:val="16"/>
          <w:szCs w:val="16"/>
          <w:color w:val="BF5B5A"/>
        </w:rPr>
      </w:pPr>
    </w:p>
    <w:p>
      <w:pPr>
        <w:ind w:left="440" w:right="140" w:hanging="161"/>
        <w:spacing w:after="0" w:line="304"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Annually reviews our corporate governance guidelines and recommends any changes to our Board; and</w:t>
      </w:r>
    </w:p>
    <w:p>
      <w:pPr>
        <w:spacing w:after="0" w:line="73" w:lineRule="exact"/>
        <w:rPr>
          <w:rFonts w:ascii="Arial" w:cs="Arial" w:eastAsia="Arial" w:hAnsi="Arial"/>
          <w:sz w:val="16"/>
          <w:szCs w:val="16"/>
          <w:color w:val="BF5B5A"/>
        </w:rPr>
      </w:pPr>
    </w:p>
    <w:p>
      <w:pPr>
        <w:ind w:left="440" w:right="380" w:hanging="161"/>
        <w:spacing w:after="0" w:line="275"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Assists management with the preparation of the disclosure in our annual proxy statement regarding director independence and the operations of the Corporate Governance and Nominating Committee;</w:t>
      </w:r>
    </w:p>
    <w:p>
      <w:pPr>
        <w:spacing w:after="0" w:line="96" w:lineRule="exact"/>
        <w:rPr>
          <w:rFonts w:ascii="Arial" w:cs="Arial" w:eastAsia="Arial" w:hAnsi="Arial"/>
          <w:sz w:val="16"/>
          <w:szCs w:val="16"/>
          <w:color w:val="BF5B5A"/>
        </w:rPr>
      </w:pPr>
    </w:p>
    <w:p>
      <w:pPr>
        <w:ind w:left="440" w:right="460" w:hanging="161"/>
        <w:spacing w:after="0" w:line="304"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Reviews our oversight practices and initiatives with respect to environmental, social and governance matters; and</w:t>
      </w:r>
    </w:p>
    <w:p>
      <w:pPr>
        <w:spacing w:after="0" w:line="73" w:lineRule="exact"/>
        <w:rPr>
          <w:rFonts w:ascii="Arial" w:cs="Arial" w:eastAsia="Arial" w:hAnsi="Arial"/>
          <w:sz w:val="16"/>
          <w:szCs w:val="16"/>
          <w:color w:val="BF5B5A"/>
        </w:rPr>
      </w:pPr>
    </w:p>
    <w:p>
      <w:pPr>
        <w:ind w:left="440" w:right="500" w:hanging="161"/>
        <w:spacing w:after="0" w:line="304" w:lineRule="auto"/>
        <w:tabs>
          <w:tab w:leader="none" w:pos="440" w:val="left"/>
        </w:tabs>
        <w:numPr>
          <w:ilvl w:val="0"/>
          <w:numId w:val="75"/>
        </w:numPr>
        <w:rPr>
          <w:rFonts w:ascii="Arial" w:cs="Arial" w:eastAsia="Arial" w:hAnsi="Arial"/>
          <w:sz w:val="16"/>
          <w:szCs w:val="16"/>
          <w:color w:val="BF5B5A"/>
        </w:rPr>
      </w:pPr>
      <w:r>
        <w:rPr>
          <w:rFonts w:ascii="Arial" w:cs="Arial" w:eastAsia="Arial" w:hAnsi="Arial"/>
          <w:sz w:val="16"/>
          <w:szCs w:val="16"/>
          <w:color w:val="auto"/>
        </w:rPr>
        <w:t>Oversees our annual stockholder engagement in connection with corporate governance matters and related governance disclosures.</w:t>
      </w:r>
    </w:p>
    <w:p>
      <w:pPr>
        <w:spacing w:after="0" w:line="47" w:lineRule="exact"/>
        <w:rPr>
          <w:sz w:val="20"/>
          <w:szCs w:val="20"/>
          <w:color w:val="auto"/>
        </w:rPr>
      </w:pPr>
    </w:p>
    <w:p>
      <w:pPr>
        <w:sectPr>
          <w:pgSz w:w="11900" w:h="16838" w:orient="portrait"/>
          <w:cols w:equalWidth="0" w:num="2">
            <w:col w:w="2480" w:space="60"/>
            <w:col w:w="7420"/>
          </w:cols>
          <w:pgMar w:left="580" w:top="97" w:right="1359" w:bottom="1440" w:gutter="0" w:footer="0" w:header="0"/>
          <w:type w:val="continuous"/>
        </w:sectPr>
      </w:pPr>
    </w:p>
    <w:p>
      <w:pPr>
        <w:ind w:left="2540"/>
        <w:spacing w:after="0"/>
        <w:tabs>
          <w:tab w:leader="none" w:pos="984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QUALIFICATIONS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-232410</wp:posOffset>
            </wp:positionV>
            <wp:extent cx="47059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ind w:left="2680" w:right="140"/>
        <w:spacing w:after="0" w:line="273" w:lineRule="auto"/>
        <w:rPr>
          <w:sz w:val="20"/>
          <w:szCs w:val="20"/>
          <w:color w:val="auto"/>
        </w:rPr>
      </w:pPr>
      <w:r>
        <w:rPr>
          <w:rFonts w:ascii="Arial" w:cs="Arial" w:eastAsia="Arial" w:hAnsi="Arial"/>
          <w:sz w:val="16"/>
          <w:szCs w:val="16"/>
          <w:color w:val="auto"/>
        </w:rPr>
        <w:t>Pursuant to the Corporate Governance and Nominating Committee’s charter, the Corporate Governance and Nominating Committee must consist of at least three members, all of whom are independent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71755</wp:posOffset>
            </wp:positionV>
            <wp:extent cx="58293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32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281940</wp:posOffset>
            </wp:positionV>
            <wp:extent cx="4697730" cy="3860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697730" cy="3860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780" w:type="dxa"/>
        <w:tblCellMar>
          <w:top w:w="0" w:type="dxa"/>
          <w:left w:w="0" w:type="dxa"/>
          <w:bottom w:w="0" w:type="dxa"/>
          <w:right w:w="0" w:type="dxa"/>
        </w:tblCellMar>
      </w:tblPr>
      <w:tr>
        <w:trPr>
          <w:trHeight w:val="526"/>
        </w:trPr>
        <w:tc>
          <w:tcPr>
            <w:tcW w:w="180" w:type="dxa"/>
            <w:vAlign w:val="bottom"/>
            <w:tcBorders>
              <w:top w:val="single" w:sz="8" w:color="BF5B5A"/>
            </w:tcBorders>
          </w:tcPr>
          <w:p>
            <w:pPr>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BF5B5A"/>
            </w:tcBorders>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BF5B5A"/>
            </w:tcBorders>
          </w:tcPr>
          <w:p>
            <w:pPr>
              <w:ind w:left="440"/>
              <w:spacing w:after="0"/>
              <w:rPr>
                <w:sz w:val="20"/>
                <w:szCs w:val="20"/>
                <w:color w:val="auto"/>
              </w:rPr>
            </w:pPr>
            <w:r>
              <w:rPr>
                <w:rFonts w:ascii="Arial" w:cs="Arial" w:eastAsia="Arial" w:hAnsi="Arial"/>
                <w:sz w:val="16"/>
                <w:szCs w:val="16"/>
                <w:color w:val="auto"/>
              </w:rPr>
              <w:t>​ ​</w:t>
            </w:r>
          </w:p>
        </w:tc>
        <w:tc>
          <w:tcPr>
            <w:tcW w:w="2660" w:type="dxa"/>
            <w:vAlign w:val="bottom"/>
            <w:tcBorders>
              <w:top w:val="single" w:sz="8" w:color="BF5B5A"/>
            </w:tcBorders>
          </w:tcPr>
          <w:p>
            <w:pPr>
              <w:ind w:left="40"/>
              <w:spacing w:after="0"/>
              <w:rPr>
                <w:sz w:val="20"/>
                <w:szCs w:val="20"/>
                <w:color w:val="auto"/>
              </w:rPr>
            </w:pPr>
            <w:r>
              <w:rPr>
                <w:rFonts w:ascii="Arial" w:cs="Arial" w:eastAsia="Arial" w:hAnsi="Arial"/>
                <w:sz w:val="25"/>
                <w:szCs w:val="25"/>
                <w:b w:val="1"/>
                <w:bCs w:val="1"/>
                <w:color w:val="FFFFFF"/>
              </w:rPr>
              <w:t>Risk Committee</w:t>
            </w:r>
          </w:p>
        </w:tc>
        <w:tc>
          <w:tcPr>
            <w:tcW w:w="1740" w:type="dxa"/>
            <w:vAlign w:val="bottom"/>
            <w:tcBorders>
              <w:top w:val="single" w:sz="8" w:color="BF5B5A"/>
            </w:tcBorders>
          </w:tcPr>
          <w:p>
            <w:pPr>
              <w:ind w:left="840"/>
              <w:spacing w:after="0"/>
              <w:rPr>
                <w:sz w:val="20"/>
                <w:szCs w:val="20"/>
                <w:color w:val="auto"/>
              </w:rPr>
            </w:pPr>
            <w:r>
              <w:rPr>
                <w:rFonts w:ascii="Arial" w:cs="Arial" w:eastAsia="Arial" w:hAnsi="Arial"/>
                <w:sz w:val="16"/>
                <w:szCs w:val="16"/>
                <w:color w:val="auto"/>
              </w:rPr>
              <w:t>​ ​</w:t>
            </w:r>
          </w:p>
        </w:tc>
        <w:tc>
          <w:tcPr>
            <w:tcW w:w="2340" w:type="dxa"/>
            <w:vAlign w:val="bottom"/>
            <w:tcBorders>
              <w:top w:val="single" w:sz="8" w:color="BF5B5A"/>
            </w:tcBorders>
          </w:tcPr>
          <w:p>
            <w:pPr>
              <w:jc w:val="right"/>
              <w:spacing w:after="0"/>
              <w:rPr>
                <w:sz w:val="20"/>
                <w:szCs w:val="20"/>
                <w:color w:val="auto"/>
              </w:rPr>
            </w:pPr>
            <w:r>
              <w:rPr>
                <w:rFonts w:ascii="Arial" w:cs="Arial" w:eastAsia="Arial" w:hAnsi="Arial"/>
                <w:sz w:val="16"/>
                <w:szCs w:val="16"/>
                <w:b w:val="1"/>
                <w:bCs w:val="1"/>
                <w:color w:val="FFFFFF"/>
              </w:rPr>
              <w:t xml:space="preserve">Meetings in 2023: </w:t>
            </w:r>
            <w:r>
              <w:rPr>
                <w:rFonts w:ascii="Arial" w:cs="Arial" w:eastAsia="Arial" w:hAnsi="Arial"/>
                <w:sz w:val="25"/>
                <w:szCs w:val="25"/>
                <w:b w:val="1"/>
                <w:bCs w:val="1"/>
                <w:color w:val="FFFFFF"/>
              </w:rPr>
              <w:t>5</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398"/>
        </w:trPr>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3280" w:type="dxa"/>
            <w:vAlign w:val="bottom"/>
            <w:gridSpan w:val="2"/>
          </w:tcPr>
          <w:p>
            <w:pPr>
              <w:ind w:left="80"/>
              <w:spacing w:after="0"/>
              <w:rPr>
                <w:sz w:val="20"/>
                <w:szCs w:val="20"/>
                <w:color w:val="auto"/>
              </w:rPr>
            </w:pPr>
            <w:r>
              <w:rPr>
                <w:rFonts w:ascii="Arial" w:cs="Arial" w:eastAsia="Arial" w:hAnsi="Arial"/>
                <w:sz w:val="16"/>
                <w:szCs w:val="16"/>
                <w:b w:val="1"/>
                <w:bCs w:val="1"/>
                <w:color w:val="BF5B5A"/>
              </w:rPr>
              <w:t>OVERVIEW</w:t>
            </w:r>
          </w:p>
        </w:tc>
        <w:tc>
          <w:tcPr>
            <w:tcW w:w="17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1820" w:type="dxa"/>
            <w:vAlign w:val="bottom"/>
            <w:gridSpan w:val="3"/>
          </w:tcPr>
          <w:p>
            <w:pPr>
              <w:spacing w:after="0"/>
              <w:rPr>
                <w:sz w:val="20"/>
                <w:szCs w:val="20"/>
                <w:color w:val="auto"/>
              </w:rPr>
            </w:pPr>
            <w:r>
              <w:rPr>
                <w:rFonts w:ascii="Arial" w:cs="Arial" w:eastAsia="Arial" w:hAnsi="Arial"/>
                <w:sz w:val="16"/>
                <w:szCs w:val="16"/>
                <w:b w:val="1"/>
                <w:bCs w:val="1"/>
                <w:color w:val="BF5B5A"/>
              </w:rPr>
              <w:t>MEMBERS</w:t>
            </w:r>
          </w:p>
        </w:tc>
        <w:tc>
          <w:tcPr>
            <w:tcW w:w="7360" w:type="dxa"/>
            <w:vAlign w:val="bottom"/>
            <w:gridSpan w:val="4"/>
          </w:tcPr>
          <w:p>
            <w:pPr>
              <w:ind w:left="80"/>
              <w:spacing w:after="0"/>
              <w:rPr>
                <w:sz w:val="20"/>
                <w:szCs w:val="20"/>
                <w:color w:val="auto"/>
              </w:rPr>
            </w:pPr>
            <w:r>
              <w:rPr>
                <w:rFonts w:ascii="Arial" w:cs="Arial" w:eastAsia="Arial" w:hAnsi="Arial"/>
                <w:sz w:val="16"/>
                <w:szCs w:val="16"/>
                <w:color w:val="auto"/>
              </w:rPr>
              <w:t>The Risk Committee assists the Board in fulfilling its responsibilities for oversight of our</w:t>
            </w:r>
          </w:p>
        </w:tc>
        <w:tc>
          <w:tcPr>
            <w:tcW w:w="0" w:type="dxa"/>
            <w:vAlign w:val="bottom"/>
          </w:tcPr>
          <w:p>
            <w:pPr>
              <w:spacing w:after="0"/>
              <w:rPr>
                <w:sz w:val="1"/>
                <w:szCs w:val="1"/>
                <w:color w:val="auto"/>
              </w:rPr>
            </w:pPr>
          </w:p>
        </w:tc>
      </w:tr>
      <w:tr>
        <w:trPr>
          <w:trHeight w:val="203"/>
        </w:trPr>
        <w:tc>
          <w:tcPr>
            <w:tcW w:w="1820" w:type="dxa"/>
            <w:vAlign w:val="bottom"/>
            <w:gridSpan w:val="3"/>
            <w:vMerge w:val="restart"/>
          </w:tcPr>
          <w:p>
            <w:pPr>
              <w:ind w:left="80"/>
              <w:spacing w:after="0"/>
              <w:rPr>
                <w:sz w:val="20"/>
                <w:szCs w:val="20"/>
                <w:color w:val="auto"/>
              </w:rPr>
            </w:pPr>
            <w:r>
              <w:rPr>
                <w:rFonts w:ascii="Arial" w:cs="Arial" w:eastAsia="Arial" w:hAnsi="Arial"/>
                <w:sz w:val="16"/>
                <w:szCs w:val="16"/>
                <w:color w:val="BF5B5A"/>
              </w:rPr>
              <w:t>•</w:t>
            </w:r>
            <w:r>
              <w:rPr>
                <w:rFonts w:ascii="Arial" w:cs="Arial" w:eastAsia="Arial" w:hAnsi="Arial"/>
                <w:sz w:val="16"/>
                <w:szCs w:val="16"/>
                <w:color w:val="000000"/>
              </w:rPr>
              <w:t xml:space="preserve">  James S.</w:t>
            </w:r>
          </w:p>
        </w:tc>
        <w:tc>
          <w:tcPr>
            <w:tcW w:w="7360" w:type="dxa"/>
            <w:vAlign w:val="bottom"/>
            <w:gridSpan w:val="4"/>
          </w:tcPr>
          <w:p>
            <w:pPr>
              <w:ind w:left="80"/>
              <w:spacing w:after="0"/>
              <w:rPr>
                <w:sz w:val="20"/>
                <w:szCs w:val="20"/>
                <w:color w:val="auto"/>
              </w:rPr>
            </w:pPr>
            <w:r>
              <w:rPr>
                <w:rFonts w:ascii="Arial" w:cs="Arial" w:eastAsia="Arial" w:hAnsi="Arial"/>
                <w:sz w:val="16"/>
                <w:szCs w:val="16"/>
                <w:color w:val="auto"/>
              </w:rPr>
              <w:t>enterprise-wide risk management framework, including reviewing our overall risk appetite, risk</w:t>
            </w:r>
          </w:p>
        </w:tc>
        <w:tc>
          <w:tcPr>
            <w:tcW w:w="0" w:type="dxa"/>
            <w:vAlign w:val="bottom"/>
          </w:tcPr>
          <w:p>
            <w:pPr>
              <w:spacing w:after="0"/>
              <w:rPr>
                <w:sz w:val="1"/>
                <w:szCs w:val="1"/>
                <w:color w:val="auto"/>
              </w:rPr>
            </w:pPr>
          </w:p>
        </w:tc>
      </w:tr>
      <w:tr>
        <w:trPr>
          <w:trHeight w:val="147"/>
        </w:trPr>
        <w:tc>
          <w:tcPr>
            <w:tcW w:w="1820" w:type="dxa"/>
            <w:vAlign w:val="bottom"/>
            <w:gridSpan w:val="3"/>
            <w:vMerge w:val="continue"/>
          </w:tcPr>
          <w:p>
            <w:pPr>
              <w:spacing w:after="0"/>
              <w:rPr>
                <w:sz w:val="12"/>
                <w:szCs w:val="12"/>
                <w:color w:val="auto"/>
              </w:rPr>
            </w:pPr>
          </w:p>
        </w:tc>
        <w:tc>
          <w:tcPr>
            <w:tcW w:w="7360" w:type="dxa"/>
            <w:vAlign w:val="bottom"/>
            <w:gridSpan w:val="4"/>
            <w:vMerge w:val="restart"/>
          </w:tcPr>
          <w:p>
            <w:pPr>
              <w:ind w:left="80"/>
              <w:spacing w:after="0"/>
              <w:rPr>
                <w:sz w:val="20"/>
                <w:szCs w:val="20"/>
                <w:color w:val="auto"/>
              </w:rPr>
            </w:pPr>
            <w:r>
              <w:rPr>
                <w:rFonts w:ascii="Arial" w:cs="Arial" w:eastAsia="Arial" w:hAnsi="Arial"/>
                <w:sz w:val="16"/>
                <w:szCs w:val="16"/>
                <w:color w:val="auto"/>
              </w:rPr>
              <w:t>management strategy and policies and practices established by management to identify and</w:t>
            </w:r>
          </w:p>
        </w:tc>
        <w:tc>
          <w:tcPr>
            <w:tcW w:w="0" w:type="dxa"/>
            <w:vAlign w:val="bottom"/>
          </w:tcPr>
          <w:p>
            <w:pPr>
              <w:spacing w:after="0"/>
              <w:rPr>
                <w:sz w:val="1"/>
                <w:szCs w:val="1"/>
                <w:color w:val="auto"/>
              </w:rPr>
            </w:pPr>
          </w:p>
        </w:tc>
      </w:tr>
      <w:tr>
        <w:trPr>
          <w:trHeight w:val="42"/>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3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820" w:type="dxa"/>
            <w:vAlign w:val="bottom"/>
            <w:gridSpan w:val="3"/>
          </w:tcPr>
          <w:p>
            <w:pPr>
              <w:ind w:left="80"/>
              <w:spacing w:after="0"/>
              <w:rPr>
                <w:sz w:val="20"/>
                <w:szCs w:val="20"/>
                <w:color w:val="auto"/>
              </w:rPr>
            </w:pPr>
            <w:r>
              <w:rPr>
                <w:rFonts w:ascii="Arial" w:cs="Arial" w:eastAsia="Arial" w:hAnsi="Arial"/>
                <w:sz w:val="16"/>
                <w:szCs w:val="16"/>
                <w:color w:val="auto"/>
              </w:rPr>
              <w:t>    Moffatt </w:t>
            </w:r>
          </w:p>
        </w:tc>
        <w:tc>
          <w:tcPr>
            <w:tcW w:w="3280" w:type="dxa"/>
            <w:vAlign w:val="bottom"/>
            <w:gridSpan w:val="2"/>
          </w:tcPr>
          <w:p>
            <w:pPr>
              <w:ind w:left="80"/>
              <w:spacing w:after="0"/>
              <w:rPr>
                <w:sz w:val="20"/>
                <w:szCs w:val="20"/>
                <w:color w:val="auto"/>
              </w:rPr>
            </w:pPr>
            <w:r>
              <w:rPr>
                <w:rFonts w:ascii="Arial" w:cs="Arial" w:eastAsia="Arial" w:hAnsi="Arial"/>
                <w:sz w:val="16"/>
                <w:szCs w:val="16"/>
                <w:color w:val="auto"/>
              </w:rPr>
              <w:t>manage the risks we face.</w:t>
            </w:r>
          </w:p>
        </w:tc>
        <w:tc>
          <w:tcPr>
            <w:tcW w:w="1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180" w:type="dxa"/>
            <w:vAlign w:val="bottom"/>
            <w:vMerge w:val="restart"/>
          </w:tcPr>
          <w:p>
            <w:pPr>
              <w:ind w:left="80"/>
              <w:spacing w:after="0"/>
              <w:rPr>
                <w:sz w:val="20"/>
                <w:szCs w:val="20"/>
                <w:color w:val="auto"/>
              </w:rPr>
            </w:pPr>
            <w:r>
              <w:rPr>
                <w:rFonts w:ascii="Arial" w:cs="Arial" w:eastAsia="Arial" w:hAnsi="Arial"/>
                <w:sz w:val="16"/>
                <w:szCs w:val="16"/>
                <w:color w:val="BF5B5A"/>
              </w:rPr>
              <w:t>•</w:t>
            </w:r>
          </w:p>
        </w:tc>
        <w:tc>
          <w:tcPr>
            <w:tcW w:w="1600" w:type="dxa"/>
            <w:vAlign w:val="bottom"/>
            <w:vMerge w:val="restart"/>
          </w:tcPr>
          <w:p>
            <w:pPr>
              <w:ind w:left="60"/>
              <w:spacing w:after="0"/>
              <w:rPr>
                <w:sz w:val="20"/>
                <w:szCs w:val="20"/>
                <w:color w:val="auto"/>
              </w:rPr>
            </w:pPr>
            <w:r>
              <w:rPr>
                <w:rFonts w:ascii="Arial" w:cs="Arial" w:eastAsia="Arial" w:hAnsi="Arial"/>
                <w:sz w:val="16"/>
                <w:szCs w:val="16"/>
                <w:color w:val="auto"/>
              </w:rPr>
              <w:t>Michael K. Fujimoto</w:t>
            </w:r>
          </w:p>
        </w:tc>
        <w:tc>
          <w:tcPr>
            <w:tcW w:w="40" w:type="dxa"/>
            <w:vAlign w:val="bottom"/>
            <w:tcBorders>
              <w:bottom w:val="single" w:sz="8" w:color="BF5B5A"/>
            </w:tcBorders>
          </w:tcPr>
          <w:p>
            <w:pPr>
              <w:spacing w:after="0"/>
              <w:rPr>
                <w:sz w:val="7"/>
                <w:szCs w:val="7"/>
                <w:color w:val="auto"/>
              </w:rPr>
            </w:pPr>
          </w:p>
        </w:tc>
        <w:tc>
          <w:tcPr>
            <w:tcW w:w="3280" w:type="dxa"/>
            <w:vAlign w:val="bottom"/>
            <w:tcBorders>
              <w:bottom w:val="single" w:sz="8" w:color="BF5B5A"/>
            </w:tcBorders>
            <w:gridSpan w:val="2"/>
          </w:tcPr>
          <w:p>
            <w:pPr>
              <w:spacing w:after="0"/>
              <w:rPr>
                <w:sz w:val="7"/>
                <w:szCs w:val="7"/>
                <w:color w:val="auto"/>
              </w:rPr>
            </w:pPr>
          </w:p>
        </w:tc>
        <w:tc>
          <w:tcPr>
            <w:tcW w:w="1740" w:type="dxa"/>
            <w:vAlign w:val="bottom"/>
            <w:tcBorders>
              <w:bottom w:val="single" w:sz="8" w:color="BF5B5A"/>
            </w:tcBorders>
          </w:tcPr>
          <w:p>
            <w:pPr>
              <w:spacing w:after="0"/>
              <w:rPr>
                <w:sz w:val="7"/>
                <w:szCs w:val="7"/>
                <w:color w:val="auto"/>
              </w:rPr>
            </w:pPr>
          </w:p>
        </w:tc>
        <w:tc>
          <w:tcPr>
            <w:tcW w:w="2340" w:type="dxa"/>
            <w:vAlign w:val="bottom"/>
            <w:tcBorders>
              <w:bottom w:val="single" w:sz="8" w:color="BF5B5A"/>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8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3280" w:type="dxa"/>
            <w:vAlign w:val="bottom"/>
            <w:gridSpan w:val="2"/>
          </w:tcPr>
          <w:p>
            <w:pPr>
              <w:ind w:left="80"/>
              <w:spacing w:after="0"/>
              <w:rPr>
                <w:sz w:val="20"/>
                <w:szCs w:val="20"/>
                <w:color w:val="auto"/>
              </w:rPr>
            </w:pPr>
            <w:r>
              <w:rPr>
                <w:rFonts w:ascii="Arial" w:cs="Arial" w:eastAsia="Arial" w:hAnsi="Arial"/>
                <w:sz w:val="16"/>
                <w:szCs w:val="16"/>
                <w:b w:val="1"/>
                <w:bCs w:val="1"/>
                <w:color w:val="BF5B5A"/>
              </w:rPr>
              <w:t>KEY RESPONSIBILITIES</w:t>
            </w:r>
          </w:p>
        </w:tc>
        <w:tc>
          <w:tcPr>
            <w:tcW w:w="17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-377825</wp:posOffset>
            </wp:positionV>
            <wp:extent cx="111125" cy="1117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1020" w:hanging="168"/>
        <w:spacing w:after="0" w:line="211" w:lineRule="auto"/>
        <w:tabs>
          <w:tab w:leader="none" w:pos="1020" w:val="left"/>
        </w:tabs>
        <w:numPr>
          <w:ilvl w:val="0"/>
          <w:numId w:val="76"/>
        </w:numPr>
        <w:rPr>
          <w:rFonts w:ascii="Arial" w:cs="Arial" w:eastAsia="Arial" w:hAnsi="Arial"/>
          <w:sz w:val="16"/>
          <w:szCs w:val="16"/>
          <w:color w:val="BF5B5A"/>
        </w:rPr>
      </w:pPr>
      <w:r>
        <w:rPr>
          <w:rFonts w:ascii="Arial" w:cs="Arial" w:eastAsia="Arial" w:hAnsi="Arial"/>
          <w:sz w:val="16"/>
          <w:szCs w:val="16"/>
          <w:color w:val="auto"/>
        </w:rPr>
        <w:t>Mark M. Mugiishi</w:t>
      </w:r>
    </w:p>
    <w:tbl>
      <w:tblPr>
        <w:tblLayout w:type="fixed"/>
        <w:tblInd w:w="860" w:type="dxa"/>
        <w:tblCellMar>
          <w:top w:w="0" w:type="dxa"/>
          <w:left w:w="0" w:type="dxa"/>
          <w:bottom w:w="0" w:type="dxa"/>
          <w:right w:w="0" w:type="dxa"/>
        </w:tblCellMar>
      </w:tblPr>
      <w:tr>
        <w:trPr>
          <w:trHeight w:val="187"/>
        </w:trPr>
        <w:tc>
          <w:tcPr>
            <w:tcW w:w="100" w:type="dxa"/>
            <w:vAlign w:val="bottom"/>
            <w:vMerge w:val="restart"/>
          </w:tcPr>
          <w:p>
            <w:pPr>
              <w:spacing w:after="0"/>
              <w:rPr>
                <w:sz w:val="20"/>
                <w:szCs w:val="20"/>
                <w:color w:val="auto"/>
              </w:rPr>
            </w:pPr>
            <w:r>
              <w:rPr>
                <w:rFonts w:ascii="Arial" w:cs="Arial" w:eastAsia="Arial" w:hAnsi="Arial"/>
                <w:sz w:val="16"/>
                <w:szCs w:val="16"/>
                <w:color w:val="BF5B5A"/>
              </w:rPr>
              <w:t>•</w:t>
            </w:r>
          </w:p>
        </w:tc>
        <w:tc>
          <w:tcPr>
            <w:tcW w:w="1660" w:type="dxa"/>
            <w:vAlign w:val="bottom"/>
            <w:vMerge w:val="restart"/>
          </w:tcPr>
          <w:p>
            <w:pPr>
              <w:ind w:left="60"/>
              <w:spacing w:after="0"/>
              <w:rPr>
                <w:sz w:val="20"/>
                <w:szCs w:val="20"/>
                <w:color w:val="auto"/>
              </w:rPr>
            </w:pPr>
            <w:r>
              <w:rPr>
                <w:rFonts w:ascii="Arial" w:cs="Arial" w:eastAsia="Arial" w:hAnsi="Arial"/>
                <w:sz w:val="16"/>
                <w:szCs w:val="16"/>
                <w:color w:val="auto"/>
              </w:rPr>
              <w:t>Kelly A. Thompson</w:t>
            </w:r>
          </w:p>
        </w:tc>
        <w:tc>
          <w:tcPr>
            <w:tcW w:w="7080" w:type="dxa"/>
            <w:vAlign w:val="bottom"/>
          </w:tcPr>
          <w:p>
            <w:pPr>
              <w:ind w:left="220"/>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Reviews and approves our risk management framework, including a clearly articulated risk</w:t>
            </w:r>
          </w:p>
        </w:tc>
        <w:tc>
          <w:tcPr>
            <w:tcW w:w="0" w:type="dxa"/>
            <w:vAlign w:val="bottom"/>
          </w:tcPr>
          <w:p>
            <w:pPr>
              <w:spacing w:after="0"/>
              <w:rPr>
                <w:sz w:val="1"/>
                <w:szCs w:val="1"/>
                <w:color w:val="auto"/>
              </w:rPr>
            </w:pPr>
          </w:p>
        </w:tc>
      </w:tr>
      <w:tr>
        <w:trPr>
          <w:trHeight w:val="80"/>
        </w:trPr>
        <w:tc>
          <w:tcPr>
            <w:tcW w:w="1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7080" w:type="dxa"/>
            <w:vAlign w:val="bottom"/>
            <w:vMerge w:val="restart"/>
          </w:tcPr>
          <w:p>
            <w:pPr>
              <w:ind w:left="380"/>
              <w:spacing w:after="0"/>
              <w:rPr>
                <w:sz w:val="20"/>
                <w:szCs w:val="20"/>
                <w:color w:val="auto"/>
              </w:rPr>
            </w:pPr>
            <w:r>
              <w:rPr>
                <w:rFonts w:ascii="Arial" w:cs="Arial" w:eastAsia="Arial" w:hAnsi="Arial"/>
                <w:sz w:val="16"/>
                <w:szCs w:val="16"/>
                <w:color w:val="auto"/>
              </w:rPr>
              <w:t>appetite statement;</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BF5B5A"/>
              </w:rPr>
              <w:t>•</w:t>
            </w:r>
          </w:p>
        </w:tc>
        <w:tc>
          <w:tcPr>
            <w:tcW w:w="1660" w:type="dxa"/>
            <w:vAlign w:val="bottom"/>
            <w:vMerge w:val="restart"/>
          </w:tcPr>
          <w:p>
            <w:pPr>
              <w:ind w:left="60"/>
              <w:spacing w:after="0"/>
              <w:rPr>
                <w:sz w:val="20"/>
                <w:szCs w:val="20"/>
                <w:color w:val="auto"/>
              </w:rPr>
            </w:pPr>
            <w:r>
              <w:rPr>
                <w:rFonts w:ascii="Arial" w:cs="Arial" w:eastAsia="Arial" w:hAnsi="Arial"/>
                <w:sz w:val="16"/>
                <w:szCs w:val="16"/>
                <w:color w:val="auto"/>
              </w:rPr>
              <w:t>C. Scott Wo</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7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41" w:lineRule="exact"/>
        <w:rPr>
          <w:sz w:val="20"/>
          <w:szCs w:val="20"/>
          <w:color w:val="auto"/>
        </w:rPr>
      </w:pPr>
    </w:p>
    <w:p>
      <w:pPr>
        <w:ind w:left="1100"/>
        <w:spacing w:after="0" w:line="269" w:lineRule="auto"/>
        <w:rPr>
          <w:sz w:val="20"/>
          <w:szCs w:val="20"/>
          <w:color w:val="auto"/>
        </w:rPr>
      </w:pPr>
      <w:r>
        <w:rPr>
          <w:rFonts w:ascii="Arial" w:cs="Arial" w:eastAsia="Arial" w:hAnsi="Arial"/>
          <w:sz w:val="16"/>
          <w:szCs w:val="16"/>
          <w:color w:val="auto"/>
        </w:rPr>
        <w:t>All members of the Risk Committee are independent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-645160</wp:posOffset>
            </wp:positionV>
            <wp:extent cx="128905"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6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BF5B5A"/>
        </w:rPr>
        <w:t>CHARTER</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Risk Committee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has adopted a written</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charter that specifies</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scope of its duties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and responsibilities,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including those listed</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here. The charter is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available on our</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website at</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BF5B5A"/>
        </w:rPr>
        <w:t xml:space="preserve">www.fhb.com </w:t>
      </w:r>
      <w:r>
        <w:rPr>
          <w:rFonts w:ascii="Arial" w:cs="Arial" w:eastAsia="Arial" w:hAnsi="Arial"/>
          <w:sz w:val="16"/>
          <w:szCs w:val="16"/>
          <w:color w:val="000000"/>
        </w:rPr>
        <w:t>under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Investor Relations</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section.</w:t>
      </w:r>
    </w:p>
    <w:p>
      <w:pPr>
        <w:spacing w:after="0" w:line="20" w:lineRule="exact"/>
        <w:rPr>
          <w:sz w:val="20"/>
          <w:szCs w:val="20"/>
          <w:color w:val="auto"/>
        </w:rPr>
      </w:pPr>
      <w:r>
        <w:rPr>
          <w:sz w:val="20"/>
          <w:szCs w:val="20"/>
          <w:color w:val="auto"/>
        </w:rPr>
        <w:br w:type="column"/>
      </w:r>
    </w:p>
    <w:p>
      <w:pPr>
        <w:ind w:left="440" w:hanging="168"/>
        <w:spacing w:after="0"/>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Oversees significant credit policies and reviews and approves major changes to them;</w:t>
      </w:r>
    </w:p>
    <w:p>
      <w:pPr>
        <w:spacing w:after="0" w:line="126" w:lineRule="exact"/>
        <w:rPr>
          <w:rFonts w:ascii="Arial" w:cs="Arial" w:eastAsia="Arial" w:hAnsi="Arial"/>
          <w:sz w:val="16"/>
          <w:szCs w:val="16"/>
          <w:color w:val="BF5B5A"/>
        </w:rPr>
      </w:pPr>
    </w:p>
    <w:p>
      <w:pPr>
        <w:ind w:left="440" w:hanging="168"/>
        <w:spacing w:after="0"/>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Oversees significant policies and practices governing the management of market risk;</w:t>
      </w:r>
    </w:p>
    <w:p>
      <w:pPr>
        <w:spacing w:after="0" w:line="126" w:lineRule="exact"/>
        <w:rPr>
          <w:rFonts w:ascii="Arial" w:cs="Arial" w:eastAsia="Arial" w:hAnsi="Arial"/>
          <w:sz w:val="16"/>
          <w:szCs w:val="16"/>
          <w:color w:val="BF5B5A"/>
        </w:rPr>
      </w:pPr>
    </w:p>
    <w:p>
      <w:pPr>
        <w:ind w:left="440" w:right="340" w:hanging="168"/>
        <w:spacing w:after="0" w:line="304" w:lineRule="auto"/>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Annually approves the acceptable level of liquidity risk that we may assume in connection with our operating strategies;</w:t>
      </w:r>
    </w:p>
    <w:p>
      <w:pPr>
        <w:spacing w:after="0" w:line="73" w:lineRule="exact"/>
        <w:rPr>
          <w:rFonts w:ascii="Arial" w:cs="Arial" w:eastAsia="Arial" w:hAnsi="Arial"/>
          <w:sz w:val="16"/>
          <w:szCs w:val="16"/>
          <w:color w:val="BF5B5A"/>
        </w:rPr>
      </w:pPr>
    </w:p>
    <w:p>
      <w:pPr>
        <w:ind w:left="440" w:right="200" w:hanging="168"/>
        <w:spacing w:after="0" w:line="304" w:lineRule="auto"/>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Reviews consolidated reports on operational risk, including, to the extent available, key risk indicators;</w:t>
      </w:r>
    </w:p>
    <w:p>
      <w:pPr>
        <w:spacing w:after="0" w:line="73" w:lineRule="exact"/>
        <w:rPr>
          <w:rFonts w:ascii="Arial" w:cs="Arial" w:eastAsia="Arial" w:hAnsi="Arial"/>
          <w:sz w:val="16"/>
          <w:szCs w:val="16"/>
          <w:color w:val="BF5B5A"/>
        </w:rPr>
      </w:pPr>
    </w:p>
    <w:p>
      <w:pPr>
        <w:ind w:left="440" w:right="300" w:hanging="168"/>
        <w:spacing w:after="0" w:line="304" w:lineRule="auto"/>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Provides oversight responsibility and accountability for capital planning, and oversees and approves significant capital policies;</w:t>
      </w:r>
    </w:p>
    <w:p>
      <w:pPr>
        <w:spacing w:after="0" w:line="60" w:lineRule="exact"/>
        <w:rPr>
          <w:rFonts w:ascii="Arial" w:cs="Arial" w:eastAsia="Arial" w:hAnsi="Arial"/>
          <w:sz w:val="16"/>
          <w:szCs w:val="16"/>
          <w:color w:val="BF5B5A"/>
        </w:rPr>
      </w:pPr>
    </w:p>
    <w:p>
      <w:pPr>
        <w:ind w:left="440" w:hanging="168"/>
        <w:spacing w:after="0"/>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Reviews and approves the policies and procedures for stress testing processes; and</w:t>
      </w:r>
    </w:p>
    <w:p>
      <w:pPr>
        <w:spacing w:after="0" w:line="140" w:lineRule="exact"/>
        <w:rPr>
          <w:rFonts w:ascii="Arial" w:cs="Arial" w:eastAsia="Arial" w:hAnsi="Arial"/>
          <w:sz w:val="16"/>
          <w:szCs w:val="16"/>
          <w:color w:val="BF5B5A"/>
        </w:rPr>
      </w:pPr>
    </w:p>
    <w:p>
      <w:pPr>
        <w:ind w:left="440" w:right="340" w:hanging="168"/>
        <w:spacing w:after="0" w:line="286" w:lineRule="auto"/>
        <w:tabs>
          <w:tab w:leader="none" w:pos="440" w:val="left"/>
        </w:tabs>
        <w:numPr>
          <w:ilvl w:val="0"/>
          <w:numId w:val="77"/>
        </w:numPr>
        <w:rPr>
          <w:rFonts w:ascii="Arial" w:cs="Arial" w:eastAsia="Arial" w:hAnsi="Arial"/>
          <w:sz w:val="16"/>
          <w:szCs w:val="16"/>
          <w:color w:val="BF5B5A"/>
        </w:rPr>
      </w:pPr>
      <w:r>
        <w:rPr>
          <w:rFonts w:ascii="Arial" w:cs="Arial" w:eastAsia="Arial" w:hAnsi="Arial"/>
          <w:sz w:val="16"/>
          <w:szCs w:val="16"/>
          <w:color w:val="auto"/>
        </w:rPr>
        <w:t>Evaluates and discusses summary information about stress test results to ensure that the stress tests are consistent with our risk appetite and overall business strategy.</w:t>
      </w:r>
    </w:p>
    <w:p>
      <w:pPr>
        <w:spacing w:after="0" w:line="61" w:lineRule="exact"/>
        <w:rPr>
          <w:sz w:val="20"/>
          <w:szCs w:val="20"/>
          <w:color w:val="auto"/>
        </w:rPr>
      </w:pPr>
    </w:p>
    <w:p>
      <w:pPr>
        <w:spacing w:after="0"/>
        <w:tabs>
          <w:tab w:leader="none" w:pos="728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BF5B5A"/>
        </w:rPr>
        <w:t xml:space="preserve"> QUALIFICATIONS</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46977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Risk Committee’s charter, the Risk Committee must:</w:t>
      </w:r>
    </w:p>
    <w:p>
      <w:pPr>
        <w:spacing w:after="0" w:line="124" w:lineRule="exact"/>
        <w:rPr>
          <w:sz w:val="20"/>
          <w:szCs w:val="20"/>
          <w:color w:val="auto"/>
        </w:rPr>
      </w:pPr>
    </w:p>
    <w:p>
      <w:pPr>
        <w:ind w:left="440" w:right="340" w:hanging="168"/>
        <w:spacing w:after="0" w:line="286" w:lineRule="auto"/>
        <w:tabs>
          <w:tab w:leader="none" w:pos="440" w:val="left"/>
        </w:tabs>
        <w:numPr>
          <w:ilvl w:val="0"/>
          <w:numId w:val="78"/>
        </w:numPr>
        <w:rPr>
          <w:rFonts w:ascii="Arial" w:cs="Arial" w:eastAsia="Arial" w:hAnsi="Arial"/>
          <w:sz w:val="16"/>
          <w:szCs w:val="16"/>
          <w:color w:val="BF5B5A"/>
        </w:rPr>
      </w:pPr>
      <w:r>
        <w:rPr>
          <w:rFonts w:ascii="Arial" w:cs="Arial" w:eastAsia="Arial" w:hAnsi="Arial"/>
          <w:sz w:val="16"/>
          <w:szCs w:val="16"/>
          <w:color w:val="auto"/>
        </w:rPr>
        <w:t>consist of at least three members, a majority of whom must not currently be employees at the Company or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64770</wp:posOffset>
            </wp:positionV>
            <wp:extent cx="58293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60"/>
            <w:col w:w="7400"/>
          </w:cols>
          <w:pgMar w:left="580" w:top="97" w:right="1359" w:bottom="1440" w:gutter="0" w:footer="0" w:header="0"/>
          <w:type w:val="continuous"/>
        </w:sectPr>
      </w:pPr>
    </w:p>
    <w:p>
      <w:pPr>
        <w:spacing w:after="0" w:line="188"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Board Oversight of Risk Management</w:t>
      </w:r>
    </w:p>
    <w:p>
      <w:pPr>
        <w:spacing w:after="0" w:line="270" w:lineRule="exact"/>
        <w:rPr>
          <w:sz w:val="20"/>
          <w:szCs w:val="20"/>
          <w:color w:val="auto"/>
        </w:rPr>
      </w:pPr>
    </w:p>
    <w:p>
      <w:pPr>
        <w:ind w:left="780" w:right="120"/>
        <w:spacing w:after="0" w:line="303" w:lineRule="auto"/>
        <w:rPr>
          <w:sz w:val="20"/>
          <w:szCs w:val="20"/>
          <w:color w:val="auto"/>
        </w:rPr>
      </w:pPr>
      <w:r>
        <w:rPr>
          <w:rFonts w:ascii="Arial" w:cs="Arial" w:eastAsia="Arial" w:hAnsi="Arial"/>
          <w:sz w:val="18"/>
          <w:szCs w:val="18"/>
          <w:color w:val="auto"/>
        </w:rPr>
        <w:t>Our Board believes that effective risk management and control processes are critical to:</w:t>
      </w:r>
    </w:p>
    <w:p>
      <w:pPr>
        <w:spacing w:after="0" w:line="58" w:lineRule="exact"/>
        <w:rPr>
          <w:sz w:val="20"/>
          <w:szCs w:val="20"/>
          <w:color w:val="auto"/>
        </w:rPr>
      </w:pPr>
    </w:p>
    <w:p>
      <w:pPr>
        <w:ind w:left="1420" w:hanging="280"/>
        <w:spacing w:after="0"/>
        <w:tabs>
          <w:tab w:leader="none" w:pos="1420" w:val="left"/>
        </w:tabs>
        <w:numPr>
          <w:ilvl w:val="0"/>
          <w:numId w:val="79"/>
        </w:numPr>
        <w:rPr>
          <w:rFonts w:ascii="Arial" w:cs="Arial" w:eastAsia="Arial" w:hAnsi="Arial"/>
          <w:sz w:val="18"/>
          <w:szCs w:val="18"/>
          <w:color w:val="BF5B5A"/>
        </w:rPr>
      </w:pPr>
      <w:r>
        <w:rPr>
          <w:rFonts w:ascii="Arial" w:cs="Arial" w:eastAsia="Arial" w:hAnsi="Arial"/>
          <w:sz w:val="18"/>
          <w:szCs w:val="18"/>
          <w:color w:val="auto"/>
        </w:rPr>
        <w:t>our safety and soundness,</w:t>
      </w:r>
    </w:p>
    <w:p>
      <w:pPr>
        <w:spacing w:after="0" w:line="130" w:lineRule="exact"/>
        <w:rPr>
          <w:rFonts w:ascii="Arial" w:cs="Arial" w:eastAsia="Arial" w:hAnsi="Arial"/>
          <w:sz w:val="18"/>
          <w:szCs w:val="18"/>
          <w:color w:val="BF5B5A"/>
        </w:rPr>
      </w:pPr>
    </w:p>
    <w:p>
      <w:pPr>
        <w:ind w:left="1420" w:right="660" w:hanging="280"/>
        <w:spacing w:after="0" w:line="303" w:lineRule="auto"/>
        <w:tabs>
          <w:tab w:leader="none" w:pos="1420" w:val="left"/>
        </w:tabs>
        <w:numPr>
          <w:ilvl w:val="0"/>
          <w:numId w:val="79"/>
        </w:numPr>
        <w:rPr>
          <w:rFonts w:ascii="Arial" w:cs="Arial" w:eastAsia="Arial" w:hAnsi="Arial"/>
          <w:sz w:val="18"/>
          <w:szCs w:val="18"/>
          <w:color w:val="BF5B5A"/>
        </w:rPr>
      </w:pPr>
      <w:r>
        <w:rPr>
          <w:rFonts w:ascii="Arial" w:cs="Arial" w:eastAsia="Arial" w:hAnsi="Arial"/>
          <w:sz w:val="18"/>
          <w:szCs w:val="18"/>
          <w:color w:val="auto"/>
        </w:rPr>
        <w:t>our ability to predict and manage the challenges that we face, and</w:t>
      </w:r>
    </w:p>
    <w:p>
      <w:pPr>
        <w:spacing w:after="0" w:line="57" w:lineRule="exact"/>
        <w:rPr>
          <w:rFonts w:ascii="Arial" w:cs="Arial" w:eastAsia="Arial" w:hAnsi="Arial"/>
          <w:sz w:val="18"/>
          <w:szCs w:val="18"/>
          <w:color w:val="BF5B5A"/>
        </w:rPr>
      </w:pPr>
    </w:p>
    <w:p>
      <w:pPr>
        <w:ind w:left="1420" w:hanging="280"/>
        <w:spacing w:after="0"/>
        <w:tabs>
          <w:tab w:leader="none" w:pos="1420" w:val="left"/>
        </w:tabs>
        <w:numPr>
          <w:ilvl w:val="0"/>
          <w:numId w:val="79"/>
        </w:numPr>
        <w:rPr>
          <w:rFonts w:ascii="Arial" w:cs="Arial" w:eastAsia="Arial" w:hAnsi="Arial"/>
          <w:sz w:val="18"/>
          <w:szCs w:val="18"/>
          <w:color w:val="BF5B5A"/>
        </w:rPr>
      </w:pPr>
      <w:r>
        <w:rPr>
          <w:rFonts w:ascii="Arial" w:cs="Arial" w:eastAsia="Arial" w:hAnsi="Arial"/>
          <w:sz w:val="18"/>
          <w:szCs w:val="18"/>
          <w:color w:val="auto"/>
        </w:rPr>
        <w:t>ultimately, our long-term corporate success.</w:t>
      </w:r>
    </w:p>
    <w:p>
      <w:pPr>
        <w:spacing w:after="0" w:line="171" w:lineRule="exact"/>
        <w:rPr>
          <w:sz w:val="20"/>
          <w:szCs w:val="20"/>
          <w:color w:val="auto"/>
        </w:rPr>
      </w:pPr>
    </w:p>
    <w:p>
      <w:pPr>
        <w:ind w:left="780" w:right="300"/>
        <w:spacing w:after="0" w:line="303" w:lineRule="auto"/>
        <w:rPr>
          <w:sz w:val="20"/>
          <w:szCs w:val="20"/>
          <w:color w:val="auto"/>
        </w:rPr>
      </w:pPr>
      <w:r>
        <w:rPr>
          <w:rFonts w:ascii="Arial" w:cs="Arial" w:eastAsia="Arial" w:hAnsi="Arial"/>
          <w:sz w:val="18"/>
          <w:szCs w:val="18"/>
          <w:color w:val="auto"/>
        </w:rPr>
        <w:t>The role of our Board in our risk oversight is consistent with our leadership structure, with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Chief Executive Officer and the other members of senior management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379" w:lineRule="exact"/>
        <w:rPr>
          <w:sz w:val="20"/>
          <w:szCs w:val="20"/>
          <w:color w:val="auto"/>
        </w:rPr>
      </w:pPr>
    </w:p>
    <w:p>
      <w:pPr>
        <w:sectPr>
          <w:pgSz w:w="11900" w:h="16838" w:orient="portrait"/>
          <w:cols w:equalWidth="0" w:num="2">
            <w:col w:w="5080" w:space="54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33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214630</wp:posOffset>
            </wp:positionV>
            <wp:extent cx="528066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80660" cy="188595"/>
                    </a:xfrm>
                    <a:prstGeom prst="rect">
                      <a:avLst/>
                    </a:prstGeom>
                    <a:noFill/>
                  </pic:spPr>
                </pic:pic>
              </a:graphicData>
            </a:graphic>
          </wp:anchor>
        </w:drawing>
      </w:r>
    </w:p>
    <w:p>
      <w:pPr>
        <w:spacing w:after="0" w:line="391"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7"/>
          <w:szCs w:val="17"/>
          <w:b w:val="1"/>
          <w:bCs w:val="1"/>
          <w:color w:val="FFFFFF"/>
        </w:rPr>
        <w:t>​ Board of Directors</w:t>
      </w:r>
      <w:r>
        <w:rPr>
          <w:sz w:val="20"/>
          <w:szCs w:val="20"/>
          <w:color w:val="auto"/>
        </w:rPr>
        <w:tab/>
      </w:r>
      <w:r>
        <w:rPr>
          <w:rFonts w:ascii="Arial" w:cs="Arial" w:eastAsia="Arial" w:hAnsi="Arial"/>
          <w:sz w:val="17"/>
          <w:szCs w:val="17"/>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18415</wp:posOffset>
            </wp:positionV>
            <wp:extent cx="5280660" cy="4457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80660" cy="445770"/>
                    </a:xfrm>
                    <a:prstGeom prst="rect">
                      <a:avLst/>
                    </a:prstGeom>
                    <a:noFill/>
                  </pic:spPr>
                </pic:pic>
              </a:graphicData>
            </a:graphic>
          </wp:anchor>
        </w:drawing>
      </w:r>
    </w:p>
    <w:p>
      <w:pPr>
        <w:spacing w:after="0" w:line="11" w:lineRule="exact"/>
        <w:rPr>
          <w:sz w:val="20"/>
          <w:szCs w:val="20"/>
          <w:color w:val="auto"/>
        </w:rPr>
      </w:pPr>
    </w:p>
    <w:p>
      <w:pPr>
        <w:jc w:val="both"/>
        <w:ind w:left="1320" w:right="500" w:hanging="107"/>
        <w:spacing w:after="0" w:line="308" w:lineRule="auto"/>
        <w:rPr>
          <w:sz w:val="20"/>
          <w:szCs w:val="20"/>
          <w:color w:val="auto"/>
        </w:rPr>
      </w:pPr>
      <w:r>
        <w:rPr>
          <w:rFonts w:ascii="Arial" w:cs="Arial" w:eastAsia="Arial" w:hAnsi="Arial"/>
          <w:sz w:val="16"/>
          <w:szCs w:val="16"/>
          <w:color w:val="auto"/>
        </w:rPr>
        <w:t>​ Our Board is responsible for overseeing our risk management processes, with each of the committees of our ​ Board assuming a different and important role in overseeing the management of the risks we face. Our Board exercises oversight directly and through its committees,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-4445</wp:posOffset>
            </wp:positionV>
            <wp:extent cx="52806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63500</wp:posOffset>
            </wp:positionV>
            <wp:extent cx="5854700" cy="3346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5470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780" w:type="dxa"/>
        <w:tblCellMar>
          <w:top w:w="0" w:type="dxa"/>
          <w:left w:w="0" w:type="dxa"/>
          <w:bottom w:w="0" w:type="dxa"/>
          <w:right w:w="0" w:type="dxa"/>
        </w:tblCellMar>
      </w:tblPr>
      <w:tr>
        <w:trPr>
          <w:trHeight w:val="215"/>
        </w:trPr>
        <w:tc>
          <w:tcPr>
            <w:tcW w:w="1740" w:type="dxa"/>
            <w:vAlign w:val="bottom"/>
          </w:tcPr>
          <w:p>
            <w:pPr>
              <w:spacing w:after="0"/>
              <w:rPr>
                <w:sz w:val="20"/>
                <w:szCs w:val="20"/>
                <w:color w:val="auto"/>
              </w:rPr>
            </w:pPr>
            <w:r>
              <w:rPr>
                <w:rFonts w:ascii="Arial" w:cs="Arial" w:eastAsia="Arial" w:hAnsi="Arial"/>
                <w:sz w:val="16"/>
                <w:szCs w:val="16"/>
                <w:color w:val="auto"/>
              </w:rPr>
              <w:t>​</w:t>
            </w:r>
          </w:p>
        </w:tc>
        <w:tc>
          <w:tcPr>
            <w:tcW w:w="1800" w:type="dxa"/>
            <w:vAlign w:val="bottom"/>
          </w:tcPr>
          <w:p>
            <w:pPr>
              <w:ind w:left="1680"/>
              <w:spacing w:after="0"/>
              <w:rPr>
                <w:sz w:val="20"/>
                <w:szCs w:val="20"/>
                <w:color w:val="auto"/>
              </w:rPr>
            </w:pPr>
            <w:r>
              <w:rPr>
                <w:rFonts w:ascii="Arial" w:cs="Arial" w:eastAsia="Arial" w:hAnsi="Arial"/>
                <w:sz w:val="16"/>
                <w:szCs w:val="16"/>
                <w:color w:val="auto"/>
              </w:rPr>
              <w:t>​</w:t>
            </w:r>
          </w:p>
        </w:tc>
        <w:tc>
          <w:tcPr>
            <w:tcW w:w="2840" w:type="dxa"/>
            <w:vAlign w:val="bottom"/>
          </w:tcPr>
          <w:p>
            <w:pPr>
              <w:ind w:left="100"/>
              <w:spacing w:after="0"/>
              <w:rPr>
                <w:sz w:val="20"/>
                <w:szCs w:val="20"/>
                <w:color w:val="auto"/>
              </w:rPr>
            </w:pPr>
            <w:r>
              <w:rPr>
                <w:rFonts w:ascii="Arial" w:cs="Arial" w:eastAsia="Arial" w:hAnsi="Arial"/>
                <w:sz w:val="16"/>
                <w:szCs w:val="16"/>
                <w:color w:val="auto"/>
              </w:rPr>
              <w:t>​</w:t>
            </w:r>
          </w:p>
        </w:tc>
        <w:tc>
          <w:tcPr>
            <w:tcW w:w="2760" w:type="dxa"/>
            <w:vAlign w:val="bottom"/>
          </w:tcPr>
          <w:p>
            <w:pPr>
              <w:ind w:left="27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-127000</wp:posOffset>
            </wp:positionV>
            <wp:extent cx="316865" cy="3175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6865" cy="31750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-127000</wp:posOffset>
            </wp:positionV>
            <wp:extent cx="3660140" cy="52209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660140" cy="522097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42" w:lineRule="exact"/>
        <w:rPr>
          <w:sz w:val="20"/>
          <w:szCs w:val="20"/>
          <w:color w:val="auto"/>
        </w:rPr>
      </w:pPr>
    </w:p>
    <w:tbl>
      <w:tblPr>
        <w:tblLayout w:type="fixed"/>
        <w:tblInd w:w="780" w:type="dxa"/>
        <w:tblCellMar>
          <w:top w:w="0" w:type="dxa"/>
          <w:left w:w="0" w:type="dxa"/>
          <w:bottom w:w="0" w:type="dxa"/>
          <w:right w:w="0" w:type="dxa"/>
        </w:tblCellMar>
      </w:tblPr>
      <w:tr>
        <w:trPr>
          <w:trHeight w:val="368"/>
        </w:trPr>
        <w:tc>
          <w:tcPr>
            <w:tcW w:w="3400" w:type="dxa"/>
            <w:vAlign w:val="bottom"/>
            <w:shd w:val="clear" w:color="auto" w:fill="BF5B5A"/>
          </w:tcPr>
          <w:p>
            <w:pPr>
              <w:spacing w:after="0"/>
              <w:rPr>
                <w:sz w:val="20"/>
                <w:szCs w:val="20"/>
                <w:color w:val="auto"/>
              </w:rPr>
            </w:pPr>
            <w:r>
              <w:rPr>
                <w:rFonts w:ascii="Arial" w:cs="Arial" w:eastAsia="Arial" w:hAnsi="Arial"/>
                <w:sz w:val="32"/>
                <w:szCs w:val="32"/>
                <w:b w:val="1"/>
                <w:bCs w:val="1"/>
                <w:color w:val="FFFFFF"/>
                <w:vertAlign w:val="superscript"/>
              </w:rPr>
              <w:t>​</w:t>
            </w:r>
            <w:r>
              <w:rPr>
                <w:rFonts w:ascii="Arial" w:cs="Arial" w:eastAsia="Arial" w:hAnsi="Arial"/>
                <w:sz w:val="16"/>
                <w:szCs w:val="16"/>
                <w:b w:val="1"/>
                <w:bCs w:val="1"/>
                <w:color w:val="FFFFFF"/>
              </w:rPr>
              <w:t>Audit Committee</w:t>
            </w:r>
          </w:p>
        </w:tc>
        <w:tc>
          <w:tcPr>
            <w:tcW w:w="60" w:type="dxa"/>
            <w:vAlign w:val="bottom"/>
          </w:tcPr>
          <w:p>
            <w:pPr>
              <w:ind w:left="20"/>
              <w:spacing w:after="0"/>
              <w:rPr>
                <w:sz w:val="20"/>
                <w:szCs w:val="20"/>
                <w:color w:val="auto"/>
              </w:rPr>
            </w:pPr>
            <w:r>
              <w:rPr>
                <w:rFonts w:ascii="Arial" w:cs="Arial" w:eastAsia="Arial" w:hAnsi="Arial"/>
                <w:sz w:val="16"/>
                <w:szCs w:val="16"/>
                <w:b w:val="1"/>
                <w:bCs w:val="1"/>
                <w:color w:val="FFFFFF"/>
              </w:rPr>
              <w:t>​</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​The Audit Committee is responsible for</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Pr>
          <w:p>
            <w:pPr>
              <w:ind w:left="60"/>
              <w:spacing w:after="0"/>
              <w:rPr>
                <w:sz w:val="20"/>
                <w:szCs w:val="20"/>
                <w:color w:val="auto"/>
              </w:rPr>
            </w:pPr>
            <w:r>
              <w:rPr>
                <w:rFonts w:ascii="Arial" w:cs="Arial" w:eastAsia="Arial" w:hAnsi="Arial"/>
                <w:sz w:val="16"/>
                <w:szCs w:val="16"/>
                <w:color w:val="auto"/>
              </w:rPr>
              <w:t>overseeing:</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-272415</wp:posOffset>
            </wp:positionV>
            <wp:extent cx="2168525" cy="18084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68525" cy="1808480"/>
                    </a:xfrm>
                    <a:prstGeom prst="rect">
                      <a:avLst/>
                    </a:prstGeom>
                    <a:noFill/>
                  </pic:spPr>
                </pic:pic>
              </a:graphicData>
            </a:graphic>
          </wp:anchor>
        </w:drawing>
      </w:r>
    </w:p>
    <w:p>
      <w:pPr>
        <w:spacing w:after="0" w:line="116" w:lineRule="exact"/>
        <w:rPr>
          <w:sz w:val="20"/>
          <w:szCs w:val="20"/>
          <w:color w:val="auto"/>
        </w:rPr>
      </w:pPr>
    </w:p>
    <w:p>
      <w:pPr>
        <w:ind w:left="1160" w:right="120" w:hanging="164"/>
        <w:spacing w:after="0" w:line="287" w:lineRule="auto"/>
        <w:tabs>
          <w:tab w:leader="none" w:pos="1160" w:val="left"/>
        </w:tabs>
        <w:numPr>
          <w:ilvl w:val="0"/>
          <w:numId w:val="80"/>
        </w:numPr>
        <w:rPr>
          <w:rFonts w:ascii="Arial" w:cs="Arial" w:eastAsia="Arial" w:hAnsi="Arial"/>
          <w:sz w:val="16"/>
          <w:szCs w:val="16"/>
          <w:color w:val="BF5B5A"/>
        </w:rPr>
      </w:pPr>
      <w:r>
        <w:rPr>
          <w:rFonts w:ascii="Arial" w:cs="Arial" w:eastAsia="Arial" w:hAnsi="Arial"/>
          <w:sz w:val="16"/>
          <w:szCs w:val="16"/>
          <w:color w:val="auto"/>
        </w:rPr>
        <w:t>risks associated with financial matters (particularly financial reporting, accounting practices and policies, disclosure controls and procedures and internal control over financial reporting);</w:t>
      </w:r>
    </w:p>
    <w:p>
      <w:pPr>
        <w:spacing w:after="0" w:line="101" w:lineRule="exact"/>
        <w:rPr>
          <w:rFonts w:ascii="Arial" w:cs="Arial" w:eastAsia="Arial" w:hAnsi="Arial"/>
          <w:sz w:val="16"/>
          <w:szCs w:val="16"/>
          <w:color w:val="BF5B5A"/>
        </w:rPr>
      </w:pPr>
    </w:p>
    <w:p>
      <w:pPr>
        <w:ind w:left="1160" w:right="340" w:hanging="164"/>
        <w:spacing w:after="0" w:line="321" w:lineRule="auto"/>
        <w:tabs>
          <w:tab w:leader="none" w:pos="1160" w:val="left"/>
        </w:tabs>
        <w:numPr>
          <w:ilvl w:val="0"/>
          <w:numId w:val="80"/>
        </w:numPr>
        <w:rPr>
          <w:rFonts w:ascii="Arial" w:cs="Arial" w:eastAsia="Arial" w:hAnsi="Arial"/>
          <w:sz w:val="16"/>
          <w:szCs w:val="16"/>
          <w:color w:val="BF5B5A"/>
        </w:rPr>
      </w:pPr>
      <w:r>
        <w:rPr>
          <w:rFonts w:ascii="Arial" w:cs="Arial" w:eastAsia="Arial" w:hAnsi="Arial"/>
          <w:sz w:val="16"/>
          <w:szCs w:val="16"/>
          <w:color w:val="auto"/>
        </w:rPr>
        <w:t>the Company’s compliance with legal and regulatory requirements; and</w:t>
      </w:r>
    </w:p>
    <w:p>
      <w:pPr>
        <w:spacing w:after="0" w:line="61" w:lineRule="exact"/>
        <w:rPr>
          <w:rFonts w:ascii="Arial" w:cs="Arial" w:eastAsia="Arial" w:hAnsi="Arial"/>
          <w:sz w:val="16"/>
          <w:szCs w:val="16"/>
          <w:color w:val="BF5B5A"/>
        </w:rPr>
      </w:pPr>
    </w:p>
    <w:p>
      <w:pPr>
        <w:ind w:left="1160" w:right="520" w:hanging="164"/>
        <w:spacing w:after="0" w:line="321" w:lineRule="auto"/>
        <w:tabs>
          <w:tab w:leader="none" w:pos="1160" w:val="left"/>
        </w:tabs>
        <w:numPr>
          <w:ilvl w:val="0"/>
          <w:numId w:val="80"/>
        </w:numPr>
        <w:rPr>
          <w:rFonts w:ascii="Arial" w:cs="Arial" w:eastAsia="Arial" w:hAnsi="Arial"/>
          <w:sz w:val="16"/>
          <w:szCs w:val="16"/>
          <w:color w:val="BF5B5A"/>
        </w:rPr>
      </w:pPr>
      <w:r>
        <w:rPr>
          <w:rFonts w:ascii="Arial" w:cs="Arial" w:eastAsia="Arial" w:hAnsi="Arial"/>
          <w:sz w:val="16"/>
          <w:szCs w:val="16"/>
          <w:color w:val="auto"/>
        </w:rPr>
        <w:t>the performance of the Company’s internal audit function.</w:t>
      </w:r>
    </w:p>
    <w:p>
      <w:pPr>
        <w:spacing w:after="0" w:line="15" w:lineRule="exact"/>
        <w:rPr>
          <w:sz w:val="20"/>
          <w:szCs w:val="20"/>
          <w:color w:val="auto"/>
        </w:rPr>
      </w:pPr>
    </w:p>
    <w:tbl>
      <w:tblPr>
        <w:tblLayout w:type="fixed"/>
        <w:tblInd w:w="780" w:type="dxa"/>
        <w:tblCellMar>
          <w:top w:w="0" w:type="dxa"/>
          <w:left w:w="0" w:type="dxa"/>
          <w:bottom w:w="0" w:type="dxa"/>
          <w:right w:w="0" w:type="dxa"/>
        </w:tblCellMar>
      </w:tblPr>
      <w:tr>
        <w:trPr>
          <w:trHeight w:val="228"/>
        </w:trPr>
        <w:tc>
          <w:tcPr>
            <w:tcW w:w="3400" w:type="dxa"/>
            <w:vAlign w:val="bottom"/>
            <w:tcBorders>
              <w:top w:val="single" w:sz="8" w:color="BF5B5A"/>
            </w:tcBorders>
          </w:tcPr>
          <w:p>
            <w:pPr>
              <w:spacing w:after="0"/>
              <w:rPr>
                <w:sz w:val="20"/>
                <w:szCs w:val="20"/>
                <w:color w:val="auto"/>
              </w:rPr>
            </w:pPr>
            <w:r>
              <w:rPr>
                <w:rFonts w:ascii="Arial" w:cs="Arial" w:eastAsia="Arial" w:hAnsi="Arial"/>
                <w:sz w:val="16"/>
                <w:szCs w:val="16"/>
                <w:color w:val="auto"/>
              </w:rPr>
              <w:t>​</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3"/>
        </w:trPr>
        <w:tc>
          <w:tcPr>
            <w:tcW w:w="3400" w:type="dxa"/>
            <w:vAlign w:val="bottom"/>
          </w:tcPr>
          <w:p>
            <w:pPr>
              <w:spacing w:after="0"/>
              <w:rPr>
                <w:sz w:val="24"/>
                <w:szCs w:val="24"/>
                <w:color w:val="auto"/>
              </w:rPr>
            </w:pPr>
          </w:p>
        </w:tc>
        <w:tc>
          <w:tcPr>
            <w:tcW w:w="60" w:type="dxa"/>
            <w:vAlign w:val="bottom"/>
            <w:vMerge w:val="restart"/>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10"/>
        </w:trPr>
        <w:tc>
          <w:tcPr>
            <w:tcW w:w="3400" w:type="dxa"/>
            <w:vAlign w:val="bottom"/>
            <w:shd w:val="clear" w:color="auto" w:fill="BF5B5A"/>
          </w:tcPr>
          <w:p>
            <w:pPr>
              <w:spacing w:after="0" w:line="310" w:lineRule="exact"/>
              <w:rPr>
                <w:sz w:val="20"/>
                <w:szCs w:val="20"/>
                <w:color w:val="auto"/>
              </w:rPr>
            </w:pPr>
            <w:r>
              <w:rPr>
                <w:rFonts w:ascii="Arial" w:cs="Arial" w:eastAsia="Arial" w:hAnsi="Arial"/>
                <w:sz w:val="32"/>
                <w:szCs w:val="32"/>
                <w:b w:val="1"/>
                <w:bCs w:val="1"/>
                <w:color w:val="FFFFFF"/>
                <w:vertAlign w:val="superscript"/>
              </w:rPr>
              <w:t>​</w:t>
            </w:r>
            <w:r>
              <w:rPr>
                <w:rFonts w:ascii="Arial" w:cs="Arial" w:eastAsia="Arial" w:hAnsi="Arial"/>
                <w:sz w:val="16"/>
                <w:szCs w:val="16"/>
                <w:b w:val="1"/>
                <w:bCs w:val="1"/>
                <w:color w:val="FFFFFF"/>
              </w:rPr>
              <w:t>Corporate Governance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and Nominating Committee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shd w:val="clear" w:color="auto" w:fill="BF5B5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0</wp:posOffset>
            </wp:positionV>
            <wp:extent cx="2168525" cy="21259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68525" cy="212598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-719455</wp:posOffset>
            </wp:positionV>
            <wp:extent cx="316865" cy="3168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​The Corporate Governance and Nominating  ​</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Committee oversees:</w:t>
      </w:r>
    </w:p>
    <w:p>
      <w:pPr>
        <w:spacing w:after="0" w:line="194" w:lineRule="exact"/>
        <w:rPr>
          <w:sz w:val="20"/>
          <w:szCs w:val="20"/>
          <w:color w:val="auto"/>
        </w:rPr>
      </w:pPr>
    </w:p>
    <w:p>
      <w:pPr>
        <w:ind w:left="1160" w:right="160" w:hanging="164"/>
        <w:spacing w:after="0" w:line="321" w:lineRule="auto"/>
        <w:tabs>
          <w:tab w:leader="none" w:pos="1160" w:val="left"/>
        </w:tabs>
        <w:numPr>
          <w:ilvl w:val="0"/>
          <w:numId w:val="81"/>
        </w:numPr>
        <w:rPr>
          <w:rFonts w:ascii="Arial" w:cs="Arial" w:eastAsia="Arial" w:hAnsi="Arial"/>
          <w:sz w:val="16"/>
          <w:szCs w:val="16"/>
          <w:color w:val="BF5B5A"/>
        </w:rPr>
      </w:pPr>
      <w:r>
        <w:rPr>
          <w:rFonts w:ascii="Arial" w:cs="Arial" w:eastAsia="Arial" w:hAnsi="Arial"/>
          <w:sz w:val="16"/>
          <w:szCs w:val="16"/>
          <w:color w:val="auto"/>
        </w:rPr>
        <w:t>risks associated with the independence of our Board.</w:t>
      </w:r>
    </w:p>
    <w:p>
      <w:pPr>
        <w:spacing w:after="0" w:line="101" w:lineRule="exact"/>
        <w:rPr>
          <w:rFonts w:ascii="Arial" w:cs="Arial" w:eastAsia="Arial" w:hAnsi="Arial"/>
          <w:sz w:val="16"/>
          <w:szCs w:val="16"/>
          <w:color w:val="BF5B5A"/>
        </w:rPr>
      </w:pPr>
    </w:p>
    <w:p>
      <w:pPr>
        <w:ind w:left="1160" w:right="220" w:hanging="164"/>
        <w:spacing w:after="0" w:line="321" w:lineRule="auto"/>
        <w:tabs>
          <w:tab w:leader="none" w:pos="1160" w:val="left"/>
        </w:tabs>
        <w:numPr>
          <w:ilvl w:val="0"/>
          <w:numId w:val="81"/>
        </w:numPr>
        <w:rPr>
          <w:rFonts w:ascii="Arial" w:cs="Arial" w:eastAsia="Arial" w:hAnsi="Arial"/>
          <w:sz w:val="16"/>
          <w:szCs w:val="16"/>
          <w:color w:val="BF5B5A"/>
        </w:rPr>
      </w:pPr>
      <w:r>
        <w:rPr>
          <w:rFonts w:ascii="Arial" w:cs="Arial" w:eastAsia="Arial" w:hAnsi="Arial"/>
          <w:sz w:val="16"/>
          <w:szCs w:val="16"/>
          <w:color w:val="auto"/>
        </w:rPr>
        <w:t>Board and committee composition and functioning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1059180</wp:posOffset>
            </wp:positionV>
            <wp:extent cx="21685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32"/>
          <w:szCs w:val="32"/>
          <w:b w:val="1"/>
          <w:bCs w:val="1"/>
          <w:color w:val="FFFFFF"/>
          <w:vertAlign w:val="superscript"/>
        </w:rPr>
        <w:t>​</w:t>
      </w:r>
      <w:r>
        <w:rPr>
          <w:rFonts w:ascii="Arial" w:cs="Arial" w:eastAsia="Arial" w:hAnsi="Arial"/>
          <w:sz w:val="16"/>
          <w:szCs w:val="16"/>
          <w:b w:val="1"/>
          <w:bCs w:val="1"/>
          <w:color w:val="FFFFFF"/>
        </w:rPr>
        <w:t xml:space="preserve"> Compensation Committee</w:t>
      </w:r>
      <w:r>
        <w:rPr>
          <w:sz w:val="20"/>
          <w:szCs w:val="20"/>
          <w:color w:val="auto"/>
        </w:rPr>
        <w:tab/>
      </w:r>
      <w:r>
        <w:rPr>
          <w:rFonts w:ascii="Arial" w:cs="Arial" w:eastAsia="Arial" w:hAnsi="Arial"/>
          <w:sz w:val="32"/>
          <w:szCs w:val="32"/>
          <w:b w:val="1"/>
          <w:bCs w:val="1"/>
          <w:color w:val="FFFFFF"/>
          <w:vertAlign w:val="superscript"/>
        </w:rPr>
        <w:t>​</w:t>
      </w:r>
    </w:p>
    <w:p>
      <w:pPr>
        <w:ind w:left="120" w:right="40" w:hanging="107"/>
        <w:spacing w:after="0" w:line="293" w:lineRule="auto"/>
        <w:rPr>
          <w:sz w:val="20"/>
          <w:szCs w:val="20"/>
          <w:color w:val="auto"/>
        </w:rPr>
      </w:pPr>
      <w:r>
        <w:rPr>
          <w:rFonts w:ascii="Arial" w:cs="Arial" w:eastAsia="Arial" w:hAnsi="Arial"/>
          <w:sz w:val="16"/>
          <w:szCs w:val="16"/>
          <w:color w:val="auto"/>
        </w:rPr>
        <w:t>​ The Compensation Committee has primary responsibility for overseeing ​ risks and exposures associated with our compensation policies, plans and practices regarding both executive compensation and the compensation structure generally.</w:t>
      </w:r>
    </w:p>
    <w:p>
      <w:pPr>
        <w:spacing w:after="0" w:line="31"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Our Compensation Committee, in conjunction with our Chief Executive Officer, Chief Human Resources Officer and Chief Risk Officer and other members of our management as appropriate, as well as an independent compensation consulting firm, reviews our incentive compensation arrangements to ensure these arrangements are consistent with applicable laws and regulations, including safety and soundness requirements, and do not encourage imprudent or excessive risk-taking by our employees.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Borders>
              <w:top w:val="single" w:sz="8" w:color="BF5B5A"/>
            </w:tcBorders>
          </w:tcPr>
          <w:p>
            <w:pPr>
              <w:ind w:left="2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BF5B5A"/>
            </w:tcBorders>
          </w:tcPr>
          <w:p>
            <w:pPr>
              <w:ind w:left="1460"/>
              <w:spacing w:after="0"/>
              <w:rPr>
                <w:sz w:val="20"/>
                <w:szCs w:val="20"/>
                <w:color w:val="auto"/>
              </w:rPr>
            </w:pPr>
            <w:r>
              <w:rPr>
                <w:rFonts w:ascii="Arial" w:cs="Arial" w:eastAsia="Arial" w:hAnsi="Arial"/>
                <w:sz w:val="16"/>
                <w:szCs w:val="16"/>
                <w:color w:val="auto"/>
              </w:rPr>
              <w:t>​</w:t>
            </w:r>
          </w:p>
        </w:tc>
      </w:tr>
      <w:tr>
        <w:trPr>
          <w:trHeight w:val="433"/>
        </w:trPr>
        <w:tc>
          <w:tcPr>
            <w:tcW w:w="4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3"/>
        </w:trPr>
        <w:tc>
          <w:tcPr>
            <w:tcW w:w="402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BF5B5A"/>
          </w:tcPr>
          <w:p>
            <w:pPr>
              <w:ind w:left="1460"/>
              <w:spacing w:after="0"/>
              <w:rPr>
                <w:sz w:val="20"/>
                <w:szCs w:val="20"/>
                <w:color w:val="auto"/>
              </w:rPr>
            </w:pPr>
            <w:r>
              <w:rPr>
                <w:rFonts w:ascii="Arial" w:cs="Arial" w:eastAsia="Arial" w:hAnsi="Arial"/>
                <w:sz w:val="16"/>
                <w:szCs w:val="16"/>
                <w:b w:val="1"/>
                <w:bCs w:val="1"/>
                <w:color w:val="FFFFFF"/>
              </w:rPr>
              <w:t>​</w:t>
            </w:r>
          </w:p>
        </w:tc>
      </w:tr>
      <w:tr>
        <w:trPr>
          <w:trHeight w:val="331"/>
        </w:trPr>
        <w:tc>
          <w:tcPr>
            <w:tcW w:w="402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Risk Committee</w:t>
            </w:r>
          </w:p>
        </w:tc>
        <w:tc>
          <w:tcPr>
            <w:tcW w:w="1540" w:type="dxa"/>
            <w:vAlign w:val="bottom"/>
            <w:shd w:val="clear" w:color="auto" w:fill="BF5B5A"/>
          </w:tcPr>
          <w:p>
            <w:pPr>
              <w:spacing w:after="0"/>
              <w:rPr>
                <w:sz w:val="24"/>
                <w:szCs w:val="24"/>
                <w:color w:val="auto"/>
              </w:rPr>
            </w:pPr>
          </w:p>
        </w:tc>
      </w:tr>
      <w:tr>
        <w:trPr>
          <w:trHeight w:val="148"/>
        </w:trPr>
        <w:tc>
          <w:tcPr>
            <w:tcW w:w="40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c>
          <w:tcPr>
            <w:tcW w:w="1540" w:type="dxa"/>
            <w:vAlign w:val="bottom"/>
          </w:tcPr>
          <w:p>
            <w:pPr>
              <w:ind w:left="1460"/>
              <w:spacing w:after="0" w:line="148" w:lineRule="exact"/>
              <w:rPr>
                <w:sz w:val="20"/>
                <w:szCs w:val="20"/>
                <w:color w:val="auto"/>
              </w:rPr>
            </w:pPr>
            <w:r>
              <w:rPr>
                <w:rFonts w:ascii="Arial" w:cs="Arial" w:eastAsia="Arial" w:hAnsi="Arial"/>
                <w:sz w:val="16"/>
                <w:szCs w:val="16"/>
                <w:color w:val="auto"/>
              </w:rPr>
              <w:t>​</w:t>
            </w: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The Risk Committee of our Board:</w:t>
            </w:r>
          </w:p>
        </w:tc>
        <w:tc>
          <w:tcPr>
            <w:tcW w:w="1540" w:type="dxa"/>
            <w:vAlign w:val="bottom"/>
          </w:tcPr>
          <w:p>
            <w:pPr>
              <w:spacing w:after="0"/>
              <w:rPr>
                <w:sz w:val="18"/>
                <w:szCs w:val="18"/>
                <w:color w:val="auto"/>
              </w:rPr>
            </w:pPr>
          </w:p>
        </w:tc>
      </w:tr>
    </w:tbl>
    <w:p>
      <w:pPr>
        <w:spacing w:after="0" w:line="14" w:lineRule="exact"/>
        <w:rPr>
          <w:sz w:val="20"/>
          <w:szCs w:val="20"/>
          <w:color w:val="auto"/>
        </w:rPr>
      </w:pPr>
    </w:p>
    <w:p>
      <w:pPr>
        <w:ind w:left="340" w:right="200" w:hanging="166"/>
        <w:spacing w:after="0" w:line="295" w:lineRule="auto"/>
        <w:tabs>
          <w:tab w:leader="none" w:pos="340" w:val="left"/>
        </w:tabs>
        <w:numPr>
          <w:ilvl w:val="0"/>
          <w:numId w:val="82"/>
        </w:numPr>
        <w:rPr>
          <w:rFonts w:ascii="Arial" w:cs="Arial" w:eastAsia="Arial" w:hAnsi="Arial"/>
          <w:sz w:val="16"/>
          <w:szCs w:val="16"/>
          <w:color w:val="BF5B5A"/>
        </w:rPr>
      </w:pPr>
      <w:r>
        <w:rPr>
          <w:rFonts w:ascii="Arial" w:cs="Arial" w:eastAsia="Arial" w:hAnsi="Arial"/>
          <w:sz w:val="16"/>
          <w:szCs w:val="16"/>
          <w:color w:val="auto"/>
        </w:rPr>
        <w:t>oversees our enterprise-wide risk management framework, which establishes our overall risk appetite and risk management strategy and enables our management to understand, manage and report on the risks we face;</w:t>
      </w:r>
    </w:p>
    <w:p>
      <w:pPr>
        <w:spacing w:after="0" w:line="121" w:lineRule="exact"/>
        <w:rPr>
          <w:rFonts w:ascii="Arial" w:cs="Arial" w:eastAsia="Arial" w:hAnsi="Arial"/>
          <w:sz w:val="16"/>
          <w:szCs w:val="16"/>
          <w:color w:val="BF5B5A"/>
        </w:rPr>
      </w:pPr>
    </w:p>
    <w:p>
      <w:pPr>
        <w:ind w:left="340" w:right="200" w:hanging="166"/>
        <w:spacing w:after="0" w:line="295" w:lineRule="auto"/>
        <w:tabs>
          <w:tab w:leader="none" w:pos="340" w:val="left"/>
        </w:tabs>
        <w:numPr>
          <w:ilvl w:val="0"/>
          <w:numId w:val="82"/>
        </w:numPr>
        <w:rPr>
          <w:rFonts w:ascii="Arial" w:cs="Arial" w:eastAsia="Arial" w:hAnsi="Arial"/>
          <w:sz w:val="16"/>
          <w:szCs w:val="16"/>
          <w:color w:val="BF5B5A"/>
        </w:rPr>
      </w:pPr>
      <w:r>
        <w:rPr>
          <w:rFonts w:ascii="Arial" w:cs="Arial" w:eastAsia="Arial" w:hAnsi="Arial"/>
          <w:sz w:val="16"/>
          <w:szCs w:val="16"/>
          <w:color w:val="auto"/>
        </w:rPr>
        <w:t>reviews and oversees policies and practices established by management to identify, assess, measure and manage key risks we face, including the risk appetite metrics developed by management and approved by our Board; and</w:t>
      </w:r>
    </w:p>
    <w:p>
      <w:pPr>
        <w:spacing w:after="0" w:line="121" w:lineRule="exact"/>
        <w:rPr>
          <w:rFonts w:ascii="Arial" w:cs="Arial" w:eastAsia="Arial" w:hAnsi="Arial"/>
          <w:sz w:val="16"/>
          <w:szCs w:val="16"/>
          <w:color w:val="BF5B5A"/>
        </w:rPr>
      </w:pPr>
    </w:p>
    <w:p>
      <w:pPr>
        <w:ind w:left="340" w:right="340" w:hanging="166"/>
        <w:spacing w:after="0" w:line="295" w:lineRule="auto"/>
        <w:tabs>
          <w:tab w:leader="none" w:pos="340" w:val="left"/>
        </w:tabs>
        <w:numPr>
          <w:ilvl w:val="0"/>
          <w:numId w:val="82"/>
        </w:numPr>
        <w:rPr>
          <w:rFonts w:ascii="Arial" w:cs="Arial" w:eastAsia="Arial" w:hAnsi="Arial"/>
          <w:sz w:val="16"/>
          <w:szCs w:val="16"/>
          <w:color w:val="BF5B5A"/>
        </w:rPr>
      </w:pPr>
      <w:r>
        <w:rPr>
          <w:rFonts w:ascii="Arial" w:cs="Arial" w:eastAsia="Arial" w:hAnsi="Arial"/>
          <w:sz w:val="16"/>
          <w:szCs w:val="16"/>
          <w:color w:val="auto"/>
        </w:rPr>
        <w:t>reviews and receives regular briefings concerning the Company’s information security and technology risks, including discussions of the Company’s information security and cybersecurity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5229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22980"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480695</wp:posOffset>
            </wp:positionV>
            <wp:extent cx="528066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80660" cy="18859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94615</wp:posOffset>
            </wp:positionV>
            <wp:extent cx="171450" cy="265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160"/>
            <w:col w:w="55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20" w:hanging="108"/>
        <w:spacing w:after="0"/>
        <w:tabs>
          <w:tab w:leader="none" w:pos="1320" w:val="left"/>
        </w:tabs>
        <w:numPr>
          <w:ilvl w:val="0"/>
          <w:numId w:val="83"/>
        </w:numPr>
        <w:rPr>
          <w:rFonts w:ascii="Arial" w:cs="Arial" w:eastAsia="Arial" w:hAnsi="Arial"/>
          <w:sz w:val="17"/>
          <w:szCs w:val="17"/>
          <w:b w:val="1"/>
          <w:bCs w:val="1"/>
          <w:color w:val="FFFFFF"/>
        </w:rPr>
      </w:pPr>
      <w:r>
        <w:rPr>
          <w:rFonts w:ascii="Arial" w:cs="Arial" w:eastAsia="Arial" w:hAnsi="Arial"/>
          <w:sz w:val="17"/>
          <w:szCs w:val="17"/>
          <w:b w:val="1"/>
          <w:bCs w:val="1"/>
          <w:color w:val="FFFFFF"/>
        </w:rPr>
        <w:t>Senior Management</w:t>
      </w:r>
    </w:p>
    <w:p>
      <w:pPr>
        <w:spacing w:after="0" w:line="52" w:lineRule="exact"/>
        <w:rPr>
          <w:rFonts w:ascii="Arial" w:cs="Arial" w:eastAsia="Arial" w:hAnsi="Arial"/>
          <w:sz w:val="17"/>
          <w:szCs w:val="17"/>
          <w:b w:val="1"/>
          <w:bCs w:val="1"/>
          <w:color w:val="FFFFFF"/>
        </w:rPr>
      </w:pPr>
    </w:p>
    <w:p>
      <w:pPr>
        <w:ind w:left="1320" w:hanging="108"/>
        <w:spacing w:after="0"/>
        <w:tabs>
          <w:tab w:leader="none" w:pos="1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senior management is responsible for:</w:t>
      </w:r>
    </w:p>
    <w:p>
      <w:pPr>
        <w:spacing w:after="0" w:line="129" w:lineRule="exact"/>
        <w:rPr>
          <w:rFonts w:ascii="Arial" w:cs="Arial" w:eastAsia="Arial" w:hAnsi="Arial"/>
          <w:sz w:val="16"/>
          <w:szCs w:val="16"/>
          <w:color w:val="auto"/>
        </w:rPr>
      </w:pPr>
    </w:p>
    <w:p>
      <w:pPr>
        <w:ind w:left="1640" w:hanging="158"/>
        <w:spacing w:after="0" w:line="301" w:lineRule="auto"/>
        <w:tabs>
          <w:tab w:leader="none" w:pos="1640" w:val="left"/>
        </w:tabs>
        <w:numPr>
          <w:ilvl w:val="1"/>
          <w:numId w:val="83"/>
        </w:numPr>
        <w:rPr>
          <w:rFonts w:ascii="Arial" w:cs="Arial" w:eastAsia="Arial" w:hAnsi="Arial"/>
          <w:sz w:val="16"/>
          <w:szCs w:val="16"/>
          <w:color w:val="BF5B5A"/>
        </w:rPr>
      </w:pPr>
      <w:r>
        <w:rPr>
          <w:rFonts w:ascii="Arial" w:cs="Arial" w:eastAsia="Arial" w:hAnsi="Arial"/>
          <w:sz w:val="16"/>
          <w:szCs w:val="16"/>
          <w:color w:val="auto"/>
        </w:rPr>
        <w:t>implementing and reporting to our Board regarding our risk management processes, including by assessing and managing the risks we face, including strategic, operational, regulatory, investment and execution risks, on a day-to-day basis; and</w:t>
      </w:r>
    </w:p>
    <w:p>
      <w:pPr>
        <w:spacing w:after="0" w:line="63" w:lineRule="exact"/>
        <w:rPr>
          <w:rFonts w:ascii="Arial" w:cs="Arial" w:eastAsia="Arial" w:hAnsi="Arial"/>
          <w:sz w:val="16"/>
          <w:szCs w:val="16"/>
          <w:color w:val="BF5B5A"/>
        </w:rPr>
      </w:pPr>
    </w:p>
    <w:p>
      <w:pPr>
        <w:ind w:left="1640" w:right="160" w:hanging="158"/>
        <w:spacing w:after="0" w:line="301" w:lineRule="auto"/>
        <w:tabs>
          <w:tab w:leader="none" w:pos="1640" w:val="left"/>
        </w:tabs>
        <w:numPr>
          <w:ilvl w:val="1"/>
          <w:numId w:val="83"/>
        </w:numPr>
        <w:rPr>
          <w:rFonts w:ascii="Arial" w:cs="Arial" w:eastAsia="Arial" w:hAnsi="Arial"/>
          <w:sz w:val="16"/>
          <w:szCs w:val="16"/>
          <w:color w:val="BF5B5A"/>
        </w:rPr>
      </w:pPr>
      <w:r>
        <w:rPr>
          <w:rFonts w:ascii="Arial" w:cs="Arial" w:eastAsia="Arial" w:hAnsi="Arial"/>
          <w:sz w:val="16"/>
          <w:szCs w:val="16"/>
          <w:color w:val="auto"/>
        </w:rPr>
        <w:t>creating and recommending to our Board for approval appropriate risk appetite metrics reflecting the aggregate levels and types of risk we are willing to accept in connection with the operation of our business and pursuit of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-1132840</wp:posOffset>
            </wp:positionV>
            <wp:extent cx="5280660" cy="11315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80660"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99" w:lineRule="exact"/>
        <w:rPr>
          <w:sz w:val="20"/>
          <w:szCs w:val="20"/>
          <w:color w:val="auto"/>
        </w:rPr>
      </w:pPr>
    </w:p>
    <w:p>
      <w:pPr>
        <w:sectPr>
          <w:pgSz w:w="11900" w:h="16838" w:orient="portrait"/>
          <w:cols w:equalWidth="0" w:num="2">
            <w:col w:w="9220" w:space="200"/>
            <w:col w:w="540"/>
          </w:cols>
          <w:pgMar w:left="580" w:top="97" w:right="1359" w:bottom="1440" w:gutter="0" w:footer="0" w:header="0"/>
          <w:type w:val="continuous"/>
        </w:sectPr>
      </w:pPr>
    </w:p>
    <w:p>
      <w:pPr>
        <w:spacing w:after="0" w:line="53"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34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7F7F7F"/>
        </w:rPr>
        <w:t>CORPORATE GOVERNANCE AND BOARD MATTERS</w:t>
      </w:r>
    </w:p>
    <w:p>
      <w:pPr>
        <w:sectPr>
          <w:pgSz w:w="11900" w:h="16838" w:orient="portrait"/>
          <w:cols w:equalWidth="0" w:num="1">
            <w:col w:w="10000"/>
          </w:cols>
          <w:pgMar w:left="580" w:top="97" w:right="1319" w:bottom="1440" w:gutter="0" w:footer="0" w:header="0"/>
        </w:sectPr>
      </w:pP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Director Education</w:t>
      </w:r>
    </w:p>
    <w:p>
      <w:pPr>
        <w:spacing w:after="0" w:line="245"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Our Board members participate in periodic training and continuing education programs. Management incorporates director input to develop board training opportunities that cover a broad range of topics to enhance and strengthen the skills, knowledge and competencies of directors, both individually and collectively. Topics covered during 2023 included corporate culture, artificial intelligence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developments in capital markets for bank securities. Programs may feature presentations from internal and external speakers as well as site visits to key locations and regular meetings with management. In addition, directors are encouraged to avail themselves of educational programs offered through recognized independent providers.</w:t>
      </w:r>
    </w:p>
    <w:p>
      <w:pPr>
        <w:spacing w:after="0" w:line="275" w:lineRule="exact"/>
        <w:rPr>
          <w:sz w:val="20"/>
          <w:szCs w:val="20"/>
          <w:color w:val="auto"/>
        </w:rPr>
      </w:pPr>
    </w:p>
    <w:p>
      <w:pPr>
        <w:sectPr>
          <w:pgSz w:w="11900" w:h="16838" w:orient="portrait"/>
          <w:cols w:equalWidth="0" w:num="2">
            <w:col w:w="5040" w:space="580"/>
            <w:col w:w="4380"/>
          </w:cols>
          <w:pgMar w:left="580" w:top="97" w:right="1319" w:bottom="1440" w:gutter="0" w:footer="0" w:header="0"/>
          <w:type w:val="continuous"/>
        </w:sectPr>
      </w:pPr>
    </w:p>
    <w:p>
      <w:pPr>
        <w:spacing w:after="0" w:line="38"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Corporate Governance Guidelines and Code of Conduct and Ethics</w:t>
      </w:r>
    </w:p>
    <w:p>
      <w:pPr>
        <w:sectPr>
          <w:pgSz w:w="11900" w:h="16838" w:orient="portrait"/>
          <w:cols w:equalWidth="0" w:num="1">
            <w:col w:w="10000"/>
          </w:cols>
          <w:pgMar w:left="580" w:top="97" w:right="1319" w:bottom="1440" w:gutter="0" w:footer="0" w:header="0"/>
          <w:type w:val="continuous"/>
        </w:sectPr>
      </w:pPr>
    </w:p>
    <w:p>
      <w:pPr>
        <w:spacing w:after="0" w:line="256"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 xml:space="preserve">Our Board has adopted corporate governance guidelines, which are accessible through our corporate website at </w:t>
      </w:r>
      <w:r>
        <w:rPr>
          <w:rFonts w:ascii="Arial" w:cs="Arial" w:eastAsia="Arial" w:hAnsi="Arial"/>
          <w:sz w:val="18"/>
          <w:szCs w:val="18"/>
          <w:color w:val="BF5B5A"/>
        </w:rPr>
        <w:t>www.fhb.com</w:t>
      </w:r>
      <w:r>
        <w:rPr>
          <w:rFonts w:ascii="Arial" w:cs="Arial" w:eastAsia="Arial" w:hAnsi="Arial"/>
          <w:sz w:val="18"/>
          <w:szCs w:val="18"/>
          <w:color w:val="auto"/>
        </w:rPr>
        <w:t xml:space="preserve"> under the Investor Relations section, which set forth a framework within which our Board, assisted by Board committees, will direct the Company’s affairs. These guidelines address, among other things:</w:t>
      </w:r>
    </w:p>
    <w:p>
      <w:pPr>
        <w:spacing w:after="0" w:line="80" w:lineRule="exact"/>
        <w:rPr>
          <w:sz w:val="20"/>
          <w:szCs w:val="20"/>
          <w:color w:val="auto"/>
        </w:rPr>
      </w:pPr>
    </w:p>
    <w:p>
      <w:pPr>
        <w:ind w:left="1420" w:hanging="280"/>
        <w:spacing w:after="0"/>
        <w:tabs>
          <w:tab w:leader="none" w:pos="1420" w:val="left"/>
        </w:tabs>
        <w:numPr>
          <w:ilvl w:val="0"/>
          <w:numId w:val="84"/>
        </w:numPr>
        <w:rPr>
          <w:rFonts w:ascii="Arial" w:cs="Arial" w:eastAsia="Arial" w:hAnsi="Arial"/>
          <w:sz w:val="18"/>
          <w:szCs w:val="18"/>
          <w:color w:val="BF5B5A"/>
        </w:rPr>
      </w:pPr>
      <w:r>
        <w:rPr>
          <w:rFonts w:ascii="Arial" w:cs="Arial" w:eastAsia="Arial" w:hAnsi="Arial"/>
          <w:sz w:val="18"/>
          <w:szCs w:val="18"/>
          <w:color w:val="auto"/>
        </w:rPr>
        <w:t>the composition and functions of our Board,</w:t>
      </w:r>
    </w:p>
    <w:p>
      <w:pPr>
        <w:spacing w:after="0" w:line="117" w:lineRule="exact"/>
        <w:rPr>
          <w:rFonts w:ascii="Arial" w:cs="Arial" w:eastAsia="Arial" w:hAnsi="Arial"/>
          <w:sz w:val="18"/>
          <w:szCs w:val="18"/>
          <w:color w:val="BF5B5A"/>
        </w:rPr>
      </w:pPr>
    </w:p>
    <w:p>
      <w:pPr>
        <w:ind w:left="1420" w:hanging="280"/>
        <w:spacing w:after="0"/>
        <w:tabs>
          <w:tab w:leader="none" w:pos="1420" w:val="left"/>
        </w:tabs>
        <w:numPr>
          <w:ilvl w:val="0"/>
          <w:numId w:val="84"/>
        </w:numPr>
        <w:rPr>
          <w:rFonts w:ascii="Arial" w:cs="Arial" w:eastAsia="Arial" w:hAnsi="Arial"/>
          <w:sz w:val="18"/>
          <w:szCs w:val="18"/>
          <w:color w:val="BF5B5A"/>
        </w:rPr>
      </w:pPr>
      <w:r>
        <w:rPr>
          <w:rFonts w:ascii="Arial" w:cs="Arial" w:eastAsia="Arial" w:hAnsi="Arial"/>
          <w:sz w:val="18"/>
          <w:szCs w:val="18"/>
          <w:color w:val="auto"/>
        </w:rPr>
        <w:t>director independence,</w:t>
      </w:r>
    </w:p>
    <w:p>
      <w:pPr>
        <w:spacing w:after="0" w:line="117" w:lineRule="exact"/>
        <w:rPr>
          <w:rFonts w:ascii="Arial" w:cs="Arial" w:eastAsia="Arial" w:hAnsi="Arial"/>
          <w:sz w:val="18"/>
          <w:szCs w:val="18"/>
          <w:color w:val="BF5B5A"/>
        </w:rPr>
      </w:pPr>
    </w:p>
    <w:p>
      <w:pPr>
        <w:ind w:left="1420" w:hanging="280"/>
        <w:spacing w:after="0"/>
        <w:tabs>
          <w:tab w:leader="none" w:pos="1420" w:val="left"/>
        </w:tabs>
        <w:numPr>
          <w:ilvl w:val="0"/>
          <w:numId w:val="84"/>
        </w:numPr>
        <w:rPr>
          <w:rFonts w:ascii="Arial" w:cs="Arial" w:eastAsia="Arial" w:hAnsi="Arial"/>
          <w:sz w:val="18"/>
          <w:szCs w:val="18"/>
          <w:color w:val="BF5B5A"/>
        </w:rPr>
      </w:pPr>
      <w:r>
        <w:rPr>
          <w:rFonts w:ascii="Arial" w:cs="Arial" w:eastAsia="Arial" w:hAnsi="Arial"/>
          <w:sz w:val="18"/>
          <w:szCs w:val="18"/>
          <w:color w:val="auto"/>
        </w:rPr>
        <w:t>compensation of directors,</w:t>
      </w:r>
    </w:p>
    <w:p>
      <w:pPr>
        <w:spacing w:after="0" w:line="117" w:lineRule="exact"/>
        <w:rPr>
          <w:rFonts w:ascii="Arial" w:cs="Arial" w:eastAsia="Arial" w:hAnsi="Arial"/>
          <w:sz w:val="18"/>
          <w:szCs w:val="18"/>
          <w:color w:val="BF5B5A"/>
        </w:rPr>
      </w:pPr>
    </w:p>
    <w:p>
      <w:pPr>
        <w:ind w:left="1420" w:hanging="280"/>
        <w:spacing w:after="0"/>
        <w:tabs>
          <w:tab w:leader="none" w:pos="1420" w:val="left"/>
        </w:tabs>
        <w:numPr>
          <w:ilvl w:val="0"/>
          <w:numId w:val="84"/>
        </w:numPr>
        <w:rPr>
          <w:rFonts w:ascii="Arial" w:cs="Arial" w:eastAsia="Arial" w:hAnsi="Arial"/>
          <w:sz w:val="18"/>
          <w:szCs w:val="18"/>
          <w:color w:val="BF5B5A"/>
        </w:rPr>
      </w:pPr>
      <w:r>
        <w:rPr>
          <w:rFonts w:ascii="Arial" w:cs="Arial" w:eastAsia="Arial" w:hAnsi="Arial"/>
          <w:sz w:val="18"/>
          <w:szCs w:val="18"/>
          <w:color w:val="auto"/>
        </w:rPr>
        <w:t>management succession and review, and</w:t>
      </w:r>
    </w:p>
    <w:p>
      <w:pPr>
        <w:spacing w:after="0" w:line="117" w:lineRule="exact"/>
        <w:rPr>
          <w:rFonts w:ascii="Arial" w:cs="Arial" w:eastAsia="Arial" w:hAnsi="Arial"/>
          <w:sz w:val="18"/>
          <w:szCs w:val="18"/>
          <w:color w:val="BF5B5A"/>
        </w:rPr>
      </w:pPr>
    </w:p>
    <w:p>
      <w:pPr>
        <w:ind w:left="1420" w:right="200" w:hanging="280"/>
        <w:spacing w:after="0" w:line="318" w:lineRule="auto"/>
        <w:tabs>
          <w:tab w:leader="none" w:pos="1420" w:val="left"/>
        </w:tabs>
        <w:numPr>
          <w:ilvl w:val="0"/>
          <w:numId w:val="84"/>
        </w:numPr>
        <w:rPr>
          <w:rFonts w:ascii="Arial" w:cs="Arial" w:eastAsia="Arial" w:hAnsi="Arial"/>
          <w:sz w:val="18"/>
          <w:szCs w:val="18"/>
          <w:color w:val="BF5B5A"/>
        </w:rPr>
      </w:pPr>
      <w:r>
        <w:rPr>
          <w:rFonts w:ascii="Arial" w:cs="Arial" w:eastAsia="Arial" w:hAnsi="Arial"/>
          <w:sz w:val="18"/>
          <w:szCs w:val="18"/>
          <w:color w:val="auto"/>
        </w:rPr>
        <w:t>Board committees and selection of new directors, including detailed procedures to</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left="620" w:right="380"/>
        <w:spacing w:after="0" w:line="307" w:lineRule="auto"/>
        <w:rPr>
          <w:sz w:val="20"/>
          <w:szCs w:val="20"/>
          <w:color w:val="auto"/>
        </w:rPr>
      </w:pPr>
      <w:r>
        <w:rPr>
          <w:rFonts w:ascii="Arial" w:cs="Arial" w:eastAsia="Arial" w:hAnsi="Arial"/>
          <w:sz w:val="18"/>
          <w:szCs w:val="18"/>
          <w:color w:val="auto"/>
        </w:rPr>
        <w:t>be followed in the event that one or more directors do not receive a majority of the votes cast “for” his or her election at the Annual Meeting.</w:t>
      </w:r>
      <w:r>
        <w:rPr>
          <w:rFonts w:ascii="Times New Roman" w:cs="Times New Roman" w:eastAsia="Times New Roman" w:hAnsi="Times New Roman"/>
          <w:sz w:val="25"/>
          <w:szCs w:val="25"/>
          <w:color w:val="auto"/>
        </w:rPr>
        <w:t>​</w:t>
      </w:r>
    </w:p>
    <w:p>
      <w:pPr>
        <w:spacing w:after="0" w:line="106"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color w:val="auto"/>
        </w:rPr>
        <w:t xml:space="preserve">Our Board has adopted a code of conduct and ethics applicable to our directors, officers and employees. A copy of that code is available on our corporate website at </w:t>
      </w:r>
      <w:r>
        <w:rPr>
          <w:rFonts w:ascii="Arial" w:cs="Arial" w:eastAsia="Arial" w:hAnsi="Arial"/>
          <w:sz w:val="18"/>
          <w:szCs w:val="18"/>
          <w:color w:val="BF5B5A"/>
        </w:rPr>
        <w:t>www.fhb.com</w:t>
      </w:r>
      <w:r>
        <w:rPr>
          <w:rFonts w:ascii="Arial" w:cs="Arial" w:eastAsia="Arial" w:hAnsi="Arial"/>
          <w:sz w:val="18"/>
          <w:szCs w:val="18"/>
          <w:color w:val="auto"/>
        </w:rPr>
        <w:t xml:space="preserve"> under the Investor Relations section. We expect that any amendments to the code, or any waivers of its requirements, will be disclosed on our corporate website at </w:t>
      </w:r>
      <w:r>
        <w:rPr>
          <w:rFonts w:ascii="Arial" w:cs="Arial" w:eastAsia="Arial" w:hAnsi="Arial"/>
          <w:sz w:val="18"/>
          <w:szCs w:val="18"/>
          <w:color w:val="BF5B5A"/>
        </w:rPr>
        <w:t>www.fhb.com</w:t>
      </w:r>
      <w:r>
        <w:rPr>
          <w:rFonts w:ascii="Arial" w:cs="Arial" w:eastAsia="Arial" w:hAnsi="Arial"/>
          <w:sz w:val="18"/>
          <w:szCs w:val="18"/>
          <w:color w:val="auto"/>
        </w:rPr>
        <w:t xml:space="preserve"> as required by applicable law or listing requirements.</w:t>
      </w:r>
    </w:p>
    <w:p>
      <w:pPr>
        <w:spacing w:after="0" w:line="202" w:lineRule="exact"/>
        <w:rPr>
          <w:sz w:val="20"/>
          <w:szCs w:val="20"/>
          <w:color w:val="auto"/>
        </w:rPr>
      </w:pPr>
    </w:p>
    <w:p>
      <w:pPr>
        <w:sectPr>
          <w:pgSz w:w="11900" w:h="16838" w:orient="portrait"/>
          <w:cols w:equalWidth="0" w:num="2">
            <w:col w:w="5060" w:space="560"/>
            <w:col w:w="4380"/>
          </w:cols>
          <w:pgMar w:left="580" w:top="97" w:right="1319" w:bottom="1440" w:gutter="0" w:footer="0" w:header="0"/>
          <w:type w:val="continuous"/>
        </w:sectPr>
      </w:pPr>
    </w:p>
    <w:p>
      <w:pPr>
        <w:spacing w:after="0" w:line="15"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Stockholder Communications with the Board of Directors</w:t>
      </w:r>
    </w:p>
    <w:p>
      <w:pPr>
        <w:sectPr>
          <w:pgSz w:w="11900" w:h="16838" w:orient="portrait"/>
          <w:cols w:equalWidth="0" w:num="1">
            <w:col w:w="10000"/>
          </w:cols>
          <w:pgMar w:left="580" w:top="97" w:right="1319" w:bottom="1440" w:gutter="0" w:footer="0" w:header="0"/>
          <w:type w:val="continuous"/>
        </w:sectPr>
      </w:pPr>
    </w:p>
    <w:p>
      <w:pPr>
        <w:spacing w:after="0" w:line="256"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Stockholders and any interested parties may communicate with the Board by sending correspondence addressed to the Board or one or more specific directors at the address below. Communications may be addressed to the Lead Independent Director or any specified director. Communications which are addressed to the Board,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 individual director or group of directors will be processed by the Secretary. Communications received that discuss business or other matters relevant to the activities of our Board, as determined by the Secretary, will be distributed to the addressees either in summary form or by delivering a copy of the communication.</w:t>
      </w:r>
    </w:p>
    <w:p>
      <w:pPr>
        <w:spacing w:after="0" w:line="200" w:lineRule="exact"/>
        <w:rPr>
          <w:sz w:val="20"/>
          <w:szCs w:val="20"/>
          <w:color w:val="auto"/>
        </w:rPr>
      </w:pPr>
    </w:p>
    <w:p>
      <w:pPr>
        <w:sectPr>
          <w:pgSz w:w="11900" w:h="16838" w:orient="portrait"/>
          <w:cols w:equalWidth="0" w:num="2">
            <w:col w:w="5040" w:space="580"/>
            <w:col w:w="4380"/>
          </w:cols>
          <w:pgMar w:left="580" w:top="97" w:right="1319" w:bottom="1440" w:gutter="0" w:footer="0" w:header="0"/>
          <w:type w:val="continuous"/>
        </w:sectPr>
      </w:pPr>
    </w:p>
    <w:p>
      <w:pPr>
        <w:spacing w:after="0" w:line="30" w:lineRule="exact"/>
        <w:rPr>
          <w:sz w:val="20"/>
          <w:szCs w:val="20"/>
          <w:color w:val="auto"/>
        </w:rPr>
      </w:pPr>
    </w:p>
    <w:p>
      <w:pPr>
        <w:ind w:left="880"/>
        <w:spacing w:after="0"/>
        <w:tabs>
          <w:tab w:leader="none" w:pos="1460" w:val="left"/>
          <w:tab w:leader="none" w:pos="9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-103505</wp:posOffset>
            </wp:positionV>
            <wp:extent cx="58293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662940</wp:posOffset>
            </wp:positionH>
            <wp:positionV relativeFrom="paragraph">
              <wp:posOffset>-43180</wp:posOffset>
            </wp:positionV>
            <wp:extent cx="205740"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6"/>
          <w:szCs w:val="16"/>
          <w:color w:val="auto"/>
        </w:rPr>
        <w:t>First Hawaiian, Inc.</w:t>
      </w:r>
    </w:p>
    <w:p>
      <w:pPr>
        <w:spacing w:after="0" w:line="1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c/o the Secretary</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999 Bishop Street</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Honolulu, Hawaii 96813</w:t>
      </w:r>
    </w:p>
    <w:p>
      <w:pPr>
        <w:sectPr>
          <w:pgSz w:w="11900" w:h="16838" w:orient="portrait"/>
          <w:cols w:equalWidth="0" w:num="1">
            <w:col w:w="10000"/>
          </w:cols>
          <w:pgMar w:left="580" w:top="9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35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7F7F7F"/>
        </w:rPr>
        <w:t>CORPORATE GOVERNANCE AND BOARD MATTERS</w:t>
      </w:r>
    </w:p>
    <w:p>
      <w:pPr>
        <w:sectPr>
          <w:pgSz w:w="11900" w:h="16838" w:orient="portrait"/>
          <w:cols w:equalWidth="0" w:num="1">
            <w:col w:w="9960"/>
          </w:cols>
          <w:pgMar w:left="580" w:top="97" w:right="1359" w:bottom="1440" w:gutter="0" w:footer="0" w:header="0"/>
        </w:sectPr>
      </w:pP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DIRECTOR COMPENSATION</w:t>
      </w:r>
    </w:p>
    <w:p>
      <w:pPr>
        <w:spacing w:after="0" w:line="258" w:lineRule="exact"/>
        <w:rPr>
          <w:sz w:val="20"/>
          <w:szCs w:val="20"/>
          <w:color w:val="auto"/>
        </w:rPr>
      </w:pPr>
    </w:p>
    <w:p>
      <w:pPr>
        <w:ind w:left="780"/>
        <w:spacing w:after="0" w:line="279" w:lineRule="auto"/>
        <w:rPr>
          <w:sz w:val="20"/>
          <w:szCs w:val="20"/>
          <w:color w:val="auto"/>
        </w:rPr>
      </w:pPr>
      <w:r>
        <w:rPr>
          <w:rFonts w:ascii="Arial" w:cs="Arial" w:eastAsia="Arial" w:hAnsi="Arial"/>
          <w:sz w:val="18"/>
          <w:szCs w:val="18"/>
          <w:color w:val="auto"/>
        </w:rPr>
        <w:t>The following table lists the individuals who received compensation in 2023 for their service as directors of First Hawaiian. Any FHI director who also serves on the board of directors of the Bank does not receive any director compensation for service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the board of directors of the Bank except as specifically noted below. Any director who is an officer of the Company does not receive any director compensation.</w:t>
      </w:r>
    </w:p>
    <w:p>
      <w:pPr>
        <w:spacing w:after="0" w:line="388"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197"/>
        </w:trPr>
        <w:tc>
          <w:tcPr>
            <w:tcW w:w="2860" w:type="dxa"/>
            <w:vAlign w:val="bottom"/>
            <w:shd w:val="clear" w:color="auto" w:fill="BF5B5A"/>
          </w:tcPr>
          <w:p>
            <w:pPr>
              <w:spacing w:after="0"/>
              <w:rPr>
                <w:sz w:val="17"/>
                <w:szCs w:val="17"/>
                <w:color w:val="auto"/>
              </w:rPr>
            </w:pPr>
          </w:p>
        </w:tc>
        <w:tc>
          <w:tcPr>
            <w:tcW w:w="1180" w:type="dxa"/>
            <w:vAlign w:val="bottom"/>
            <w:shd w:val="clear" w:color="auto" w:fill="BF5B5A"/>
          </w:tcPr>
          <w:p>
            <w:pPr>
              <w:spacing w:after="0"/>
              <w:rPr>
                <w:sz w:val="17"/>
                <w:szCs w:val="17"/>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Fees Earned or</w:t>
            </w:r>
          </w:p>
        </w:tc>
        <w:tc>
          <w:tcPr>
            <w:tcW w:w="260" w:type="dxa"/>
            <w:vAlign w:val="bottom"/>
            <w:shd w:val="clear" w:color="auto" w:fill="BF5B5A"/>
          </w:tcPr>
          <w:p>
            <w:pPr>
              <w:spacing w:after="0"/>
              <w:rPr>
                <w:sz w:val="17"/>
                <w:szCs w:val="17"/>
                <w:color w:val="auto"/>
              </w:rPr>
            </w:pPr>
          </w:p>
        </w:tc>
        <w:tc>
          <w:tcPr>
            <w:tcW w:w="1200" w:type="dxa"/>
            <w:vAlign w:val="bottom"/>
            <w:gridSpan w:val="2"/>
            <w:vMerge w:val="restart"/>
            <w:shd w:val="clear" w:color="auto" w:fill="BF5B5A"/>
          </w:tcPr>
          <w:p>
            <w:pPr>
              <w:jc w:val="right"/>
              <w:spacing w:after="0"/>
              <w:rPr>
                <w:sz w:val="20"/>
                <w:szCs w:val="20"/>
                <w:color w:val="auto"/>
              </w:rPr>
            </w:pPr>
            <w:r>
              <w:rPr>
                <w:rFonts w:ascii="Arial" w:cs="Arial" w:eastAsia="Arial" w:hAnsi="Arial"/>
                <w:sz w:val="16"/>
                <w:szCs w:val="16"/>
                <w:b w:val="1"/>
                <w:bCs w:val="1"/>
                <w:color w:val="FFFFFF"/>
                <w:w w:val="93"/>
              </w:rPr>
              <w:t>Stock Awards</w:t>
            </w:r>
            <w:r>
              <w:rPr>
                <w:rFonts w:ascii="Arial" w:cs="Arial" w:eastAsia="Arial" w:hAnsi="Arial"/>
                <w:sz w:val="19"/>
                <w:szCs w:val="19"/>
                <w:b w:val="1"/>
                <w:bCs w:val="1"/>
                <w:color w:val="FFFFFF"/>
                <w:w w:val="93"/>
                <w:vertAlign w:val="superscript"/>
              </w:rPr>
              <w:t>(2)</w:t>
            </w:r>
          </w:p>
        </w:tc>
        <w:tc>
          <w:tcPr>
            <w:tcW w:w="260" w:type="dxa"/>
            <w:vAlign w:val="bottom"/>
            <w:shd w:val="clear" w:color="auto" w:fill="BF5B5A"/>
          </w:tcPr>
          <w:p>
            <w:pPr>
              <w:spacing w:after="0"/>
              <w:rPr>
                <w:sz w:val="17"/>
                <w:szCs w:val="17"/>
                <w:color w:val="auto"/>
              </w:rPr>
            </w:pPr>
          </w:p>
        </w:tc>
        <w:tc>
          <w:tcPr>
            <w:tcW w:w="128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rPr>
              <w:t>All Other</w:t>
            </w:r>
          </w:p>
        </w:tc>
        <w:tc>
          <w:tcPr>
            <w:tcW w:w="980" w:type="dxa"/>
            <w:vAlign w:val="bottom"/>
            <w:shd w:val="clear" w:color="auto" w:fill="BF5B5A"/>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vMerge w:val="restart"/>
            <w:shd w:val="clear" w:color="auto" w:fill="BF5B5A"/>
          </w:tcPr>
          <w:p>
            <w:pPr>
              <w:ind w:left="40"/>
              <w:spacing w:after="0"/>
              <w:rPr>
                <w:sz w:val="20"/>
                <w:szCs w:val="20"/>
                <w:color w:val="auto"/>
              </w:rPr>
            </w:pPr>
            <w:r>
              <w:rPr>
                <w:rFonts w:ascii="Arial" w:cs="Arial" w:eastAsia="Arial" w:hAnsi="Arial"/>
                <w:sz w:val="16"/>
                <w:szCs w:val="16"/>
                <w:b w:val="1"/>
                <w:bCs w:val="1"/>
                <w:color w:val="FFFFFF"/>
              </w:rPr>
              <w:t>​Name</w:t>
            </w:r>
          </w:p>
        </w:tc>
        <w:tc>
          <w:tcPr>
            <w:tcW w:w="1180" w:type="dxa"/>
            <w:vAlign w:val="bottom"/>
            <w:shd w:val="clear" w:color="auto" w:fill="BF5B5A"/>
          </w:tcPr>
          <w:p>
            <w:pPr>
              <w:spacing w:after="0"/>
              <w:rPr>
                <w:sz w:val="16"/>
                <w:szCs w:val="16"/>
                <w:color w:val="auto"/>
              </w:rPr>
            </w:pPr>
          </w:p>
        </w:tc>
        <w:tc>
          <w:tcPr>
            <w:tcW w:w="1160" w:type="dxa"/>
            <w:vAlign w:val="bottom"/>
            <w:shd w:val="clear" w:color="auto" w:fill="BF5B5A"/>
          </w:tcPr>
          <w:p>
            <w:pPr>
              <w:jc w:val="center"/>
              <w:spacing w:after="0" w:line="193" w:lineRule="exact"/>
              <w:rPr>
                <w:sz w:val="20"/>
                <w:szCs w:val="20"/>
                <w:color w:val="auto"/>
              </w:rPr>
            </w:pPr>
            <w:r>
              <w:rPr>
                <w:rFonts w:ascii="Arial" w:cs="Arial" w:eastAsia="Arial" w:hAnsi="Arial"/>
                <w:sz w:val="16"/>
                <w:szCs w:val="16"/>
                <w:b w:val="1"/>
                <w:bCs w:val="1"/>
                <w:color w:val="FFFFFF"/>
                <w:w w:val="95"/>
              </w:rPr>
              <w:t>Paid in Cash</w:t>
            </w:r>
            <w:r>
              <w:rPr>
                <w:rFonts w:ascii="Arial" w:cs="Arial" w:eastAsia="Arial" w:hAnsi="Arial"/>
                <w:sz w:val="19"/>
                <w:szCs w:val="19"/>
                <w:b w:val="1"/>
                <w:bCs w:val="1"/>
                <w:color w:val="FFFFFF"/>
                <w:w w:val="95"/>
                <w:vertAlign w:val="superscript"/>
              </w:rPr>
              <w:t>(1)</w:t>
            </w:r>
          </w:p>
        </w:tc>
        <w:tc>
          <w:tcPr>
            <w:tcW w:w="260" w:type="dxa"/>
            <w:vAlign w:val="bottom"/>
            <w:shd w:val="clear" w:color="auto" w:fill="BF5B5A"/>
          </w:tcPr>
          <w:p>
            <w:pPr>
              <w:spacing w:after="0"/>
              <w:rPr>
                <w:sz w:val="16"/>
                <w:szCs w:val="16"/>
                <w:color w:val="auto"/>
              </w:rPr>
            </w:pPr>
          </w:p>
        </w:tc>
        <w:tc>
          <w:tcPr>
            <w:tcW w:w="1200" w:type="dxa"/>
            <w:vAlign w:val="bottom"/>
            <w:gridSpan w:val="2"/>
            <w:vMerge w:val="continue"/>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1280" w:type="dxa"/>
            <w:vAlign w:val="bottom"/>
            <w:shd w:val="clear" w:color="auto" w:fill="BF5B5A"/>
          </w:tcPr>
          <w:p>
            <w:pPr>
              <w:jc w:val="center"/>
              <w:spacing w:after="0" w:line="193" w:lineRule="exact"/>
              <w:rPr>
                <w:sz w:val="20"/>
                <w:szCs w:val="20"/>
                <w:color w:val="auto"/>
              </w:rPr>
            </w:pPr>
            <w:r>
              <w:rPr>
                <w:rFonts w:ascii="Arial" w:cs="Arial" w:eastAsia="Arial" w:hAnsi="Arial"/>
                <w:sz w:val="16"/>
                <w:szCs w:val="16"/>
                <w:b w:val="1"/>
                <w:bCs w:val="1"/>
                <w:color w:val="FFFFFF"/>
                <w:w w:val="94"/>
              </w:rPr>
              <w:t>Compensation</w:t>
            </w:r>
            <w:r>
              <w:rPr>
                <w:rFonts w:ascii="Arial" w:cs="Arial" w:eastAsia="Arial" w:hAnsi="Arial"/>
                <w:sz w:val="19"/>
                <w:szCs w:val="19"/>
                <w:b w:val="1"/>
                <w:bCs w:val="1"/>
                <w:color w:val="FFFFFF"/>
                <w:w w:val="94"/>
                <w:vertAlign w:val="superscript"/>
              </w:rPr>
              <w:t>(3)</w:t>
            </w:r>
          </w:p>
        </w:tc>
        <w:tc>
          <w:tcPr>
            <w:tcW w:w="980" w:type="dxa"/>
            <w:vAlign w:val="bottom"/>
            <w:shd w:val="clear" w:color="auto" w:fill="BF5B5A"/>
          </w:tcPr>
          <w:p>
            <w:pPr>
              <w:jc w:val="right"/>
              <w:ind w:right="164"/>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7"/>
        </w:trPr>
        <w:tc>
          <w:tcPr>
            <w:tcW w:w="2860" w:type="dxa"/>
            <w:vAlign w:val="bottom"/>
            <w:vMerge w:val="continue"/>
            <w:shd w:val="clear" w:color="auto" w:fill="BF5B5A"/>
          </w:tcPr>
          <w:p>
            <w:pPr>
              <w:spacing w:after="0"/>
              <w:rPr>
                <w:sz w:val="18"/>
                <w:szCs w:val="18"/>
                <w:color w:val="auto"/>
              </w:rPr>
            </w:pPr>
          </w:p>
        </w:tc>
        <w:tc>
          <w:tcPr>
            <w:tcW w:w="1180" w:type="dxa"/>
            <w:vAlign w:val="bottom"/>
            <w:shd w:val="clear" w:color="auto" w:fill="BF5B5A"/>
          </w:tcPr>
          <w:p>
            <w:pPr>
              <w:ind w:left="1020"/>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1"/>
              </w:rPr>
              <w:t>($)</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460" w:type="dxa"/>
            <w:vAlign w:val="bottom"/>
            <w:shd w:val="clear" w:color="auto" w:fill="BF5B5A"/>
          </w:tcPr>
          <w:p>
            <w:pPr>
              <w:spacing w:after="0"/>
              <w:rPr>
                <w:sz w:val="18"/>
                <w:szCs w:val="18"/>
                <w:color w:val="auto"/>
              </w:rPr>
            </w:pPr>
          </w:p>
        </w:tc>
        <w:tc>
          <w:tcPr>
            <w:tcW w:w="740" w:type="dxa"/>
            <w:vAlign w:val="bottom"/>
            <w:shd w:val="clear" w:color="auto" w:fill="BF5B5A"/>
          </w:tcPr>
          <w:p>
            <w:pPr>
              <w:jc w:val="right"/>
              <w:ind w:right="419"/>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280" w:type="dxa"/>
            <w:vAlign w:val="bottom"/>
            <w:shd w:val="clear" w:color="auto" w:fill="BF5B5A"/>
          </w:tcPr>
          <w:p>
            <w:pPr>
              <w:jc w:val="right"/>
              <w:ind w:right="444"/>
              <w:spacing w:after="0"/>
              <w:rPr>
                <w:sz w:val="20"/>
                <w:szCs w:val="20"/>
                <w:color w:val="auto"/>
              </w:rPr>
            </w:pPr>
            <w:r>
              <w:rPr>
                <w:rFonts w:ascii="Arial" w:cs="Arial" w:eastAsia="Arial" w:hAnsi="Arial"/>
                <w:sz w:val="16"/>
                <w:szCs w:val="16"/>
                <w:b w:val="1"/>
                <w:bCs w:val="1"/>
                <w:color w:val="FFFFFF"/>
              </w:rPr>
              <w:t>($)</w:t>
            </w:r>
          </w:p>
        </w:tc>
        <w:tc>
          <w:tcPr>
            <w:tcW w:w="98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   ($)   ​</w:t>
            </w:r>
          </w:p>
        </w:tc>
        <w:tc>
          <w:tcPr>
            <w:tcW w:w="0" w:type="dxa"/>
            <w:vAlign w:val="bottom"/>
          </w:tcPr>
          <w:p>
            <w:pPr>
              <w:spacing w:after="0"/>
              <w:rPr>
                <w:sz w:val="1"/>
                <w:szCs w:val="1"/>
                <w:color w:val="auto"/>
              </w:rPr>
            </w:pPr>
          </w:p>
        </w:tc>
      </w:tr>
      <w:tr>
        <w:trPr>
          <w:trHeight w:val="257"/>
        </w:trPr>
        <w:tc>
          <w:tcPr>
            <w:tcW w:w="286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 Allen Doane</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37,333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7F7F7F"/>
            </w:tcBorders>
          </w:tcPr>
          <w:p>
            <w:pPr>
              <w:ind w:left="36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7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​50,347</w:t>
            </w:r>
          </w:p>
        </w:tc>
        <w:tc>
          <w:tcPr>
            <w:tcW w:w="980" w:type="dxa"/>
            <w:vAlign w:val="bottom"/>
            <w:tcBorders>
              <w:bottom w:val="single" w:sz="8" w:color="7F7F7F"/>
            </w:tcBorders>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 87,680</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Michael K. Fujimoto</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90,000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​161,337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Faye W. Kurren</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90,000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​167,337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S. Moffatt</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98,000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​169,337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Mark M. Mugiishi</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75,000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​146,337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Kelly A. Thompson</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85,000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​156,337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Allen B. Uyeda</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134,000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​205,337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Vanessa L. Washington</w:t>
            </w:r>
          </w:p>
        </w:tc>
        <w:tc>
          <w:tcPr>
            <w:tcW w:w="1180" w:type="dxa"/>
            <w:vAlign w:val="bottom"/>
            <w:tcBorders>
              <w:bottom w:val="single" w:sz="8" w:color="7F7F7F"/>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103,000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7F7F7F"/>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​174,337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86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 Scott Wo</w:t>
            </w:r>
          </w:p>
        </w:tc>
        <w:tc>
          <w:tcPr>
            <w:tcW w:w="1180" w:type="dxa"/>
            <w:vAlign w:val="bottom"/>
            <w:tcBorders>
              <w:bottom w:val="single" w:sz="8" w:color="BF5B5A"/>
            </w:tcBorders>
          </w:tcPr>
          <w:p>
            <w:pPr>
              <w:ind w:left="10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114,667</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BF5B5A"/>
            </w:tcBorders>
            <w:gridSpan w:val="2"/>
          </w:tcPr>
          <w:p>
            <w:pPr>
              <w:jc w:val="right"/>
              <w:ind w:right="25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​69,990</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1,347</w:t>
            </w:r>
          </w:p>
        </w:tc>
        <w:tc>
          <w:tcPr>
            <w:tcW w:w="980" w:type="dxa"/>
            <w:vAlign w:val="bottom"/>
            <w:tcBorders>
              <w:bottom w:val="single" w:sz="8" w:color="BF5B5A"/>
            </w:tcBorders>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​186,004</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ind w:left="1140" w:hanging="360"/>
        <w:spacing w:after="0" w:line="294" w:lineRule="auto"/>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in this column represent annual cash retainers, committee chair and committee membership fees. For Mr. Doane, the amount shown reflects fees paid for service as a director of the Company prior to his retirement as a director and from the Audit Committee and the Corporate Governance and Nominating Committee effective at the 2023 annual meeting of stockholders.</w:t>
      </w:r>
    </w:p>
    <w:p>
      <w:pPr>
        <w:spacing w:after="0" w:line="42" w:lineRule="exact"/>
        <w:rPr>
          <w:rFonts w:ascii="Arial" w:cs="Arial" w:eastAsia="Arial" w:hAnsi="Arial"/>
          <w:sz w:val="16"/>
          <w:szCs w:val="16"/>
          <w:color w:val="auto"/>
        </w:rPr>
      </w:pPr>
    </w:p>
    <w:p>
      <w:pPr>
        <w:ind w:left="1140" w:hanging="360"/>
        <w:spacing w:after="0"/>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in this column represent the grant date fair value, as determined in accordance with FASB ASC</w:t>
      </w:r>
    </w:p>
    <w:p>
      <w:pPr>
        <w:spacing w:after="0" w:line="32" w:lineRule="exact"/>
        <w:rPr>
          <w:rFonts w:ascii="Arial" w:cs="Arial" w:eastAsia="Arial" w:hAnsi="Arial"/>
          <w:sz w:val="16"/>
          <w:szCs w:val="16"/>
          <w:color w:val="auto"/>
        </w:rPr>
      </w:pPr>
    </w:p>
    <w:p>
      <w:pPr>
        <w:ind w:left="1140"/>
        <w:spacing w:after="0" w:line="295" w:lineRule="auto"/>
        <w:rPr>
          <w:rFonts w:ascii="Arial" w:cs="Arial" w:eastAsia="Arial" w:hAnsi="Arial"/>
          <w:sz w:val="16"/>
          <w:szCs w:val="16"/>
          <w:color w:val="auto"/>
        </w:rPr>
      </w:pPr>
      <w:r>
        <w:rPr>
          <w:rFonts w:ascii="Arial" w:cs="Arial" w:eastAsia="Arial" w:hAnsi="Arial"/>
          <w:sz w:val="16"/>
          <w:szCs w:val="16"/>
          <w:color w:val="auto"/>
        </w:rPr>
        <w:t>Topic 718, of awards of restricted stock units granted in 2023 pursuant to the First Hawaiian, Inc. Amended &amp; Restated 2016 Non-Employee Director Plan. Awards generally vest and settle on the earlier of one year after grant or the date of the next annual meeting of stockholders. Aggregate restricted stock unit awards outstanding as of December 31, 2023 are 3,713 for each of Directors Fujimoto, Kurren, Moffatt, Mugiishi, Thompson, Uyeda, Washington and Wo.</w:t>
      </w:r>
    </w:p>
    <w:p>
      <w:pPr>
        <w:spacing w:after="0" w:line="26" w:lineRule="exact"/>
        <w:rPr>
          <w:rFonts w:ascii="Arial" w:cs="Arial" w:eastAsia="Arial" w:hAnsi="Arial"/>
          <w:sz w:val="16"/>
          <w:szCs w:val="16"/>
          <w:color w:val="auto"/>
        </w:rPr>
      </w:pPr>
    </w:p>
    <w:p>
      <w:pPr>
        <w:ind w:left="1140" w:hanging="360"/>
        <w:spacing w:after="0" w:line="291" w:lineRule="auto"/>
        <w:tabs>
          <w:tab w:leader="none" w:pos="11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each of Directors Doane, Fujimoto, Kurren, Moffatt, Mugiishi, Thompson, Uyeda, Washington and Wo, “All Other Compensation” reflects a noncash gift valued at $1,347 provided to First Hawaiian Bank directors. For Mr. Doane “All Other Compensation” also includes $49,000 for service as a director of the Bank, including fees for attendance at Bank committee meetings. For Ms. Kurren, “All Other Compensation” includes $6,000 in fees for attendance at Bank director committee meetings.</w:t>
      </w:r>
    </w:p>
    <w:p>
      <w:pPr>
        <w:sectPr>
          <w:pgSz w:w="11900" w:h="16838" w:orient="portrait"/>
          <w:cols w:equalWidth="0" w:num="1">
            <w:col w:w="9960"/>
          </w:cols>
          <w:pgMar w:left="580" w:top="97" w:right="1359" w:bottom="1440" w:gutter="0" w:footer="0" w:header="0"/>
          <w:type w:val="continuous"/>
        </w:sectPr>
      </w:pPr>
    </w:p>
    <w:p>
      <w:pPr>
        <w:spacing w:after="0" w:line="162"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color w:val="auto"/>
        </w:rPr>
        <w:t>In making decisions concerning compensation for non-employee directors, the Compensation Committee considers the director compensation levels and practices of peer companies and whether compensation recommendations align with the interests of our stockholders. The Compensation Committee seeks to align total non-employee director compensation with the approximate median of peer group total director compensation. In 2023, Pay Governance, the compensation consultant to the Compensation Committee analyzed the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competitive position of our director compensation program against the same peer group used for executive compensation purposes and examined how each element of our director compensation program compared to those for members of the peer group. Following its review of this analysis, the Committee determined not to make any changes to the director compensation program, which is set forth below. The Compensation Committee intends to review its director compensation practices at least every third year.</w:t>
      </w:r>
    </w:p>
    <w:p>
      <w:pPr>
        <w:spacing w:after="0" w:line="200" w:lineRule="exact"/>
        <w:rPr>
          <w:sz w:val="20"/>
          <w:szCs w:val="20"/>
          <w:color w:val="auto"/>
        </w:rPr>
      </w:pPr>
    </w:p>
    <w:p>
      <w:pPr>
        <w:sectPr>
          <w:pgSz w:w="11900" w:h="16838" w:orient="portrait"/>
          <w:cols w:equalWidth="0" w:num="2">
            <w:col w:w="5080" w:space="54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36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7F7F7F"/>
        </w:rPr>
        <w:t>CORPORATE GOVERNANCE AND BOARD MATTERS</w:t>
      </w:r>
    </w:p>
    <w:p>
      <w:pPr>
        <w:spacing w:after="0" w:line="34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provide the following compensation for non-employee members of FHI’s Board:</w:t>
      </w:r>
    </w:p>
    <w:p>
      <w:pPr>
        <w:spacing w:after="0" w:line="230"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180" w:type="dxa"/>
            <w:vAlign w:val="bottom"/>
            <w:shd w:val="clear" w:color="auto" w:fill="BF5B5A"/>
          </w:tcPr>
          <w:p>
            <w:pPr>
              <w:spacing w:after="0"/>
              <w:rPr>
                <w:sz w:val="16"/>
                <w:szCs w:val="16"/>
                <w:color w:val="auto"/>
              </w:rPr>
            </w:pPr>
          </w:p>
        </w:tc>
        <w:tc>
          <w:tcPr>
            <w:tcW w:w="4200" w:type="dxa"/>
            <w:vAlign w:val="bottom"/>
            <w:shd w:val="clear" w:color="auto" w:fill="BF5B5A"/>
          </w:tcPr>
          <w:p>
            <w:pPr>
              <w:spacing w:after="0"/>
              <w:rPr>
                <w:sz w:val="16"/>
                <w:szCs w:val="16"/>
                <w:color w:val="auto"/>
              </w:rPr>
            </w:pPr>
          </w:p>
        </w:tc>
        <w:tc>
          <w:tcPr>
            <w:tcW w:w="200" w:type="dxa"/>
            <w:vAlign w:val="bottom"/>
            <w:shd w:val="clear" w:color="auto" w:fill="BF5B5A"/>
          </w:tcPr>
          <w:p>
            <w:pPr>
              <w:spacing w:after="0"/>
              <w:rPr>
                <w:sz w:val="16"/>
                <w:szCs w:val="16"/>
                <w:color w:val="auto"/>
              </w:rPr>
            </w:pPr>
          </w:p>
        </w:tc>
        <w:tc>
          <w:tcPr>
            <w:tcW w:w="140" w:type="dxa"/>
            <w:vAlign w:val="bottom"/>
            <w:shd w:val="clear" w:color="auto" w:fill="BF5B5A"/>
          </w:tcPr>
          <w:p>
            <w:pPr>
              <w:spacing w:after="0"/>
              <w:rPr>
                <w:sz w:val="16"/>
                <w:szCs w:val="16"/>
                <w:color w:val="auto"/>
              </w:rPr>
            </w:pPr>
          </w:p>
        </w:tc>
        <w:tc>
          <w:tcPr>
            <w:tcW w:w="820" w:type="dxa"/>
            <w:vAlign w:val="bottom"/>
            <w:shd w:val="clear" w:color="auto" w:fill="BF5B5A"/>
          </w:tcPr>
          <w:p>
            <w:pPr>
              <w:spacing w:after="0"/>
              <w:rPr>
                <w:sz w:val="16"/>
                <w:szCs w:val="16"/>
                <w:color w:val="auto"/>
              </w:rPr>
            </w:pPr>
          </w:p>
        </w:tc>
        <w:tc>
          <w:tcPr>
            <w:tcW w:w="20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160" w:type="dxa"/>
            <w:vAlign w:val="bottom"/>
            <w:shd w:val="clear" w:color="auto" w:fill="BF5B5A"/>
          </w:tcPr>
          <w:p>
            <w:pPr>
              <w:spacing w:after="0"/>
              <w:rPr>
                <w:sz w:val="16"/>
                <w:szCs w:val="16"/>
                <w:color w:val="auto"/>
              </w:rPr>
            </w:pPr>
          </w:p>
        </w:tc>
        <w:tc>
          <w:tcPr>
            <w:tcW w:w="116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Annual Equity</w:t>
            </w:r>
          </w:p>
        </w:tc>
        <w:tc>
          <w:tcPr>
            <w:tcW w:w="260" w:type="dxa"/>
            <w:vAlign w:val="bottom"/>
            <w:shd w:val="clear" w:color="auto" w:fill="BF5B5A"/>
          </w:tcPr>
          <w:p>
            <w:pPr>
              <w:spacing w:after="0"/>
              <w:rPr>
                <w:sz w:val="16"/>
                <w:szCs w:val="16"/>
                <w:color w:val="auto"/>
              </w:rPr>
            </w:pPr>
          </w:p>
        </w:tc>
        <w:tc>
          <w:tcPr>
            <w:tcW w:w="180" w:type="dxa"/>
            <w:vAlign w:val="bottom"/>
            <w:shd w:val="clear" w:color="auto" w:fill="BF5B5A"/>
          </w:tcPr>
          <w:p>
            <w:pPr>
              <w:spacing w:after="0"/>
              <w:rPr>
                <w:sz w:val="16"/>
                <w:szCs w:val="16"/>
                <w:color w:val="auto"/>
              </w:rPr>
            </w:pPr>
          </w:p>
        </w:tc>
        <w:tc>
          <w:tcPr>
            <w:tcW w:w="920" w:type="dxa"/>
            <w:vAlign w:val="bottom"/>
            <w:shd w:val="clear" w:color="auto" w:fill="BF5B5A"/>
          </w:tcPr>
          <w:p>
            <w:pPr>
              <w:spacing w:after="0"/>
              <w:rPr>
                <w:sz w:val="16"/>
                <w:szCs w:val="16"/>
                <w:color w:val="auto"/>
              </w:rPr>
            </w:pPr>
          </w:p>
        </w:tc>
        <w:tc>
          <w:tcPr>
            <w:tcW w:w="38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BF5B5A"/>
          </w:tcPr>
          <w:p>
            <w:pPr>
              <w:spacing w:after="0"/>
              <w:rPr>
                <w:sz w:val="16"/>
                <w:szCs w:val="16"/>
                <w:color w:val="auto"/>
              </w:rPr>
            </w:pPr>
          </w:p>
        </w:tc>
        <w:tc>
          <w:tcPr>
            <w:tcW w:w="4200" w:type="dxa"/>
            <w:vAlign w:val="bottom"/>
            <w:shd w:val="clear" w:color="auto" w:fill="BF5B5A"/>
          </w:tcPr>
          <w:p>
            <w:pPr>
              <w:spacing w:after="0"/>
              <w:rPr>
                <w:sz w:val="16"/>
                <w:szCs w:val="16"/>
                <w:color w:val="auto"/>
              </w:rPr>
            </w:pPr>
          </w:p>
        </w:tc>
        <w:tc>
          <w:tcPr>
            <w:tcW w:w="200" w:type="dxa"/>
            <w:vAlign w:val="bottom"/>
            <w:shd w:val="clear" w:color="auto" w:fill="BF5B5A"/>
          </w:tcPr>
          <w:p>
            <w:pPr>
              <w:spacing w:after="0"/>
              <w:rPr>
                <w:sz w:val="16"/>
                <w:szCs w:val="16"/>
                <w:color w:val="auto"/>
              </w:rPr>
            </w:pPr>
          </w:p>
        </w:tc>
        <w:tc>
          <w:tcPr>
            <w:tcW w:w="140" w:type="dxa"/>
            <w:vAlign w:val="bottom"/>
            <w:shd w:val="clear" w:color="auto" w:fill="BF5B5A"/>
          </w:tcPr>
          <w:p>
            <w:pPr>
              <w:spacing w:after="0"/>
              <w:rPr>
                <w:sz w:val="16"/>
                <w:szCs w:val="16"/>
                <w:color w:val="auto"/>
              </w:rPr>
            </w:pPr>
          </w:p>
        </w:tc>
        <w:tc>
          <w:tcPr>
            <w:tcW w:w="102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w w:val="98"/>
              </w:rPr>
              <w:t>Annual Cash</w:t>
            </w:r>
          </w:p>
        </w:tc>
        <w:tc>
          <w:tcPr>
            <w:tcW w:w="260" w:type="dxa"/>
            <w:vAlign w:val="bottom"/>
            <w:shd w:val="clear" w:color="auto" w:fill="BF5B5A"/>
          </w:tcPr>
          <w:p>
            <w:pPr>
              <w:spacing w:after="0"/>
              <w:rPr>
                <w:sz w:val="16"/>
                <w:szCs w:val="16"/>
                <w:color w:val="auto"/>
              </w:rPr>
            </w:pPr>
          </w:p>
        </w:tc>
        <w:tc>
          <w:tcPr>
            <w:tcW w:w="160" w:type="dxa"/>
            <w:vAlign w:val="bottom"/>
            <w:shd w:val="clear" w:color="auto" w:fill="BF5B5A"/>
          </w:tcPr>
          <w:p>
            <w:pPr>
              <w:spacing w:after="0"/>
              <w:rPr>
                <w:sz w:val="16"/>
                <w:szCs w:val="16"/>
                <w:color w:val="auto"/>
              </w:rPr>
            </w:pPr>
          </w:p>
        </w:tc>
        <w:tc>
          <w:tcPr>
            <w:tcW w:w="116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260" w:type="dxa"/>
            <w:vAlign w:val="bottom"/>
            <w:shd w:val="clear" w:color="auto" w:fill="BF5B5A"/>
          </w:tcPr>
          <w:p>
            <w:pPr>
              <w:spacing w:after="0"/>
              <w:rPr>
                <w:sz w:val="16"/>
                <w:szCs w:val="16"/>
                <w:color w:val="auto"/>
              </w:rPr>
            </w:pPr>
          </w:p>
        </w:tc>
        <w:tc>
          <w:tcPr>
            <w:tcW w:w="180" w:type="dxa"/>
            <w:vAlign w:val="bottom"/>
            <w:shd w:val="clear" w:color="auto" w:fill="BF5B5A"/>
          </w:tcPr>
          <w:p>
            <w:pPr>
              <w:spacing w:after="0"/>
              <w:rPr>
                <w:sz w:val="16"/>
                <w:szCs w:val="16"/>
                <w:color w:val="auto"/>
              </w:rPr>
            </w:pPr>
          </w:p>
        </w:tc>
        <w:tc>
          <w:tcPr>
            <w:tcW w:w="1300" w:type="dxa"/>
            <w:vAlign w:val="bottom"/>
            <w:gridSpan w:val="2"/>
            <w:vMerge w:val="restart"/>
            <w:shd w:val="clear" w:color="auto" w:fill="BF5B5A"/>
          </w:tcPr>
          <w:p>
            <w:pPr>
              <w:ind w:left="60"/>
              <w:spacing w:after="0"/>
              <w:rPr>
                <w:sz w:val="20"/>
                <w:szCs w:val="20"/>
                <w:color w:val="auto"/>
              </w:rPr>
            </w:pPr>
            <w:r>
              <w:rPr>
                <w:rFonts w:ascii="Arial" w:cs="Arial" w:eastAsia="Arial" w:hAnsi="Arial"/>
                <w:sz w:val="16"/>
                <w:szCs w:val="16"/>
                <w:b w:val="1"/>
                <w:bCs w:val="1"/>
                <w:color w:val="FFFFFF"/>
              </w:rPr>
              <w:t>Attendance Fee</w:t>
            </w:r>
          </w:p>
        </w:tc>
        <w:tc>
          <w:tcPr>
            <w:tcW w:w="12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shd w:val="clear" w:color="auto" w:fill="BF5B5A"/>
          </w:tcPr>
          <w:p>
            <w:pPr>
              <w:spacing w:after="0"/>
              <w:rPr>
                <w:sz w:val="15"/>
                <w:szCs w:val="15"/>
                <w:color w:val="auto"/>
              </w:rPr>
            </w:pPr>
          </w:p>
        </w:tc>
        <w:tc>
          <w:tcPr>
            <w:tcW w:w="4200" w:type="dxa"/>
            <w:vAlign w:val="bottom"/>
            <w:shd w:val="clear" w:color="auto" w:fill="BF5B5A"/>
          </w:tcPr>
          <w:p>
            <w:pPr>
              <w:spacing w:after="0"/>
              <w:rPr>
                <w:sz w:val="15"/>
                <w:szCs w:val="15"/>
                <w:color w:val="auto"/>
              </w:rPr>
            </w:pPr>
          </w:p>
        </w:tc>
        <w:tc>
          <w:tcPr>
            <w:tcW w:w="200" w:type="dxa"/>
            <w:vAlign w:val="bottom"/>
            <w:shd w:val="clear" w:color="auto" w:fill="BF5B5A"/>
          </w:tcPr>
          <w:p>
            <w:pPr>
              <w:spacing w:after="0"/>
              <w:rPr>
                <w:sz w:val="15"/>
                <w:szCs w:val="15"/>
                <w:color w:val="auto"/>
              </w:rPr>
            </w:pPr>
          </w:p>
        </w:tc>
        <w:tc>
          <w:tcPr>
            <w:tcW w:w="140" w:type="dxa"/>
            <w:vAlign w:val="bottom"/>
            <w:shd w:val="clear" w:color="auto" w:fill="BF5B5A"/>
          </w:tcPr>
          <w:p>
            <w:pPr>
              <w:spacing w:after="0"/>
              <w:rPr>
                <w:sz w:val="15"/>
                <w:szCs w:val="15"/>
                <w:color w:val="auto"/>
              </w:rPr>
            </w:pPr>
          </w:p>
        </w:tc>
        <w:tc>
          <w:tcPr>
            <w:tcW w:w="1020" w:type="dxa"/>
            <w:vAlign w:val="bottom"/>
            <w:gridSpan w:val="2"/>
            <w:shd w:val="clear" w:color="auto" w:fill="BF5B5A"/>
          </w:tcPr>
          <w:p>
            <w:pPr>
              <w:ind w:left="200"/>
              <w:spacing w:after="0" w:line="175" w:lineRule="exact"/>
              <w:rPr>
                <w:sz w:val="20"/>
                <w:szCs w:val="20"/>
                <w:color w:val="auto"/>
              </w:rPr>
            </w:pPr>
            <w:r>
              <w:rPr>
                <w:rFonts w:ascii="Arial" w:cs="Arial" w:eastAsia="Arial" w:hAnsi="Arial"/>
                <w:sz w:val="16"/>
                <w:szCs w:val="16"/>
                <w:b w:val="1"/>
                <w:bCs w:val="1"/>
                <w:color w:val="FFFFFF"/>
              </w:rPr>
              <w:t>Retainer</w:t>
            </w:r>
          </w:p>
        </w:tc>
        <w:tc>
          <w:tcPr>
            <w:tcW w:w="260" w:type="dxa"/>
            <w:vAlign w:val="bottom"/>
            <w:shd w:val="clear" w:color="auto" w:fill="BF5B5A"/>
          </w:tcPr>
          <w:p>
            <w:pPr>
              <w:spacing w:after="0"/>
              <w:rPr>
                <w:sz w:val="15"/>
                <w:szCs w:val="15"/>
                <w:color w:val="auto"/>
              </w:rPr>
            </w:pPr>
          </w:p>
        </w:tc>
        <w:tc>
          <w:tcPr>
            <w:tcW w:w="160" w:type="dxa"/>
            <w:vAlign w:val="bottom"/>
            <w:shd w:val="clear" w:color="auto" w:fill="BF5B5A"/>
          </w:tcPr>
          <w:p>
            <w:pPr>
              <w:spacing w:after="0"/>
              <w:rPr>
                <w:sz w:val="15"/>
                <w:szCs w:val="15"/>
                <w:color w:val="auto"/>
              </w:rPr>
            </w:pPr>
          </w:p>
        </w:tc>
        <w:tc>
          <w:tcPr>
            <w:tcW w:w="116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7"/>
              </w:rPr>
              <w:t>Grant Value</w:t>
            </w:r>
          </w:p>
        </w:tc>
        <w:tc>
          <w:tcPr>
            <w:tcW w:w="260" w:type="dxa"/>
            <w:vAlign w:val="bottom"/>
            <w:shd w:val="clear" w:color="auto" w:fill="BF5B5A"/>
          </w:tcPr>
          <w:p>
            <w:pPr>
              <w:spacing w:after="0"/>
              <w:rPr>
                <w:sz w:val="15"/>
                <w:szCs w:val="15"/>
                <w:color w:val="auto"/>
              </w:rPr>
            </w:pPr>
          </w:p>
        </w:tc>
        <w:tc>
          <w:tcPr>
            <w:tcW w:w="180" w:type="dxa"/>
            <w:vAlign w:val="bottom"/>
            <w:shd w:val="clear" w:color="auto" w:fill="BF5B5A"/>
          </w:tcPr>
          <w:p>
            <w:pPr>
              <w:spacing w:after="0"/>
              <w:rPr>
                <w:sz w:val="15"/>
                <w:szCs w:val="15"/>
                <w:color w:val="auto"/>
              </w:rPr>
            </w:pPr>
          </w:p>
        </w:tc>
        <w:tc>
          <w:tcPr>
            <w:tcW w:w="1300" w:type="dxa"/>
            <w:vAlign w:val="bottom"/>
            <w:gridSpan w:val="2"/>
            <w:vMerge w:val="continue"/>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8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rPr>
              <w:t>​Non-Employee Director Service</w:t>
            </w:r>
          </w:p>
        </w:tc>
        <w:tc>
          <w:tcPr>
            <w:tcW w:w="20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820" w:type="dxa"/>
            <w:vAlign w:val="bottom"/>
            <w:shd w:val="clear" w:color="auto" w:fill="BF5B5A"/>
          </w:tcPr>
          <w:p>
            <w:pPr>
              <w:ind w:left="44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BF5B5A"/>
          </w:tcPr>
          <w:p>
            <w:pPr>
              <w:spacing w:after="0"/>
              <w:rPr>
                <w:sz w:val="18"/>
                <w:szCs w:val="18"/>
                <w:color w:val="auto"/>
              </w:rPr>
            </w:pP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16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BF5B5A"/>
          </w:tcPr>
          <w:p>
            <w:pPr>
              <w:ind w:left="520"/>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BF5B5A"/>
          </w:tcPr>
          <w:p>
            <w:pPr>
              <w:spacing w:after="0"/>
              <w:rPr>
                <w:sz w:val="18"/>
                <w:szCs w:val="18"/>
                <w:color w:val="auto"/>
              </w:rPr>
            </w:pP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18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920" w:type="dxa"/>
            <w:vAlign w:val="bottom"/>
            <w:shd w:val="clear" w:color="auto" w:fill="BF5B5A"/>
          </w:tcPr>
          <w:p>
            <w:pPr>
              <w:ind w:left="580"/>
              <w:spacing w:after="0"/>
              <w:rPr>
                <w:sz w:val="20"/>
                <w:szCs w:val="20"/>
                <w:color w:val="auto"/>
              </w:rPr>
            </w:pPr>
            <w:r>
              <w:rPr>
                <w:rFonts w:ascii="Arial" w:cs="Arial" w:eastAsia="Arial" w:hAnsi="Arial"/>
                <w:sz w:val="16"/>
                <w:szCs w:val="16"/>
                <w:b w:val="1"/>
                <w:bCs w:val="1"/>
                <w:color w:val="FFFFFF"/>
              </w:rPr>
              <w:t>($)</w:t>
            </w:r>
          </w:p>
        </w:tc>
        <w:tc>
          <w:tcPr>
            <w:tcW w:w="380" w:type="dxa"/>
            <w:vAlign w:val="bottom"/>
            <w:shd w:val="clear" w:color="auto" w:fill="BF5B5A"/>
          </w:tcPr>
          <w:p>
            <w:pPr>
              <w:spacing w:after="0"/>
              <w:rPr>
                <w:sz w:val="18"/>
                <w:szCs w:val="18"/>
                <w:color w:val="auto"/>
              </w:rPr>
            </w:pPr>
          </w:p>
        </w:tc>
        <w:tc>
          <w:tcPr>
            <w:tcW w:w="12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4380" w:type="dxa"/>
            <w:vAlign w:val="bottom"/>
            <w:tcBorders>
              <w:bottom w:val="single" w:sz="8" w:color="7F7F7F"/>
            </w:tcBorders>
            <w:gridSpan w:val="2"/>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Board member</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$65,000</w:t>
            </w:r>
          </w:p>
        </w:tc>
        <w:tc>
          <w:tcPr>
            <w:tcW w:w="200" w:type="dxa"/>
            <w:vAlign w:val="bottom"/>
            <w:tcBorders>
              <w:bottom w:val="single" w:sz="8" w:color="7F7F7F"/>
            </w:tcBorders>
          </w:tcPr>
          <w:p>
            <w:pPr>
              <w:spacing w:after="0"/>
              <w:rPr>
                <w:sz w:val="22"/>
                <w:szCs w:val="22"/>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$70,000</w:t>
            </w:r>
          </w:p>
        </w:tc>
        <w:tc>
          <w:tcPr>
            <w:tcW w:w="260" w:type="dxa"/>
            <w:vAlign w:val="bottom"/>
            <w:tcBorders>
              <w:bottom w:val="single" w:sz="8" w:color="7F7F7F"/>
            </w:tcBorders>
          </w:tcPr>
          <w:p>
            <w:pPr>
              <w:spacing w:after="0"/>
              <w:rPr>
                <w:sz w:val="22"/>
                <w:szCs w:val="22"/>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4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2"/>
                <w:szCs w:val="22"/>
                <w:color w:val="auto"/>
              </w:rPr>
            </w:pP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7F7F7F"/>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Supplemental Cash Retainers:</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Chair of the Audit Committee</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​24,000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Member of the Audit Committee</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Chair of the Compensation and Risk Committees</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​20,000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Member of the Compensation and Risk Committees</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6"/>
                <w:szCs w:val="16"/>
                <w:color w:val="auto"/>
              </w:rPr>
              <w:t>Chair of the Corporate Governance and Nominating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Committee</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rPr>
                <w:sz w:val="20"/>
                <w:szCs w:val="20"/>
                <w:color w:val="auto"/>
              </w:rPr>
            </w:pPr>
            <w:r>
              <w:rPr>
                <w:rFonts w:ascii="Arial" w:cs="Arial" w:eastAsia="Arial" w:hAnsi="Arial"/>
                <w:sz w:val="16"/>
                <w:szCs w:val="16"/>
                <w:color w:val="auto"/>
              </w:rPr>
              <w:t>​ ​16,000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6"/>
                <w:szCs w:val="16"/>
                <w:color w:val="auto"/>
              </w:rPr>
              <w:t>Member of the Corporate Governance and Nominating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Committee</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rPr>
                <w:sz w:val="20"/>
                <w:szCs w:val="20"/>
                <w:color w:val="auto"/>
              </w:rPr>
            </w:pPr>
            <w:r>
              <w:rPr>
                <w:rFonts w:ascii="Arial" w:cs="Arial" w:eastAsia="Arial" w:hAnsi="Arial"/>
                <w:sz w:val="16"/>
                <w:szCs w:val="16"/>
                <w:color w:val="auto"/>
              </w:rPr>
              <w:t>​ ​ 8,000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Lead Independent Director</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1"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​35,000</w:t>
            </w:r>
          </w:p>
        </w:tc>
        <w:tc>
          <w:tcPr>
            <w:tcW w:w="200" w:type="dxa"/>
            <w:vAlign w:val="bottom"/>
            <w:tcBorders>
              <w:bottom w:val="single" w:sz="8" w:color="7F7F7F"/>
            </w:tcBorders>
          </w:tcPr>
          <w:p>
            <w:pPr>
              <w:spacing w:after="0"/>
              <w:rPr>
                <w:sz w:val="21"/>
                <w:szCs w:val="21"/>
                <w:color w:val="auto"/>
              </w:rPr>
            </w:pP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1"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Additional attendance fee:</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tcPr>
          <w:p>
            <w:pPr>
              <w:ind w:left="2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6"/>
                <w:szCs w:val="16"/>
                <w:color w:val="auto"/>
              </w:rPr>
              <w:t>Attendance at any meeting of any other committee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6"/>
                <w:szCs w:val="16"/>
                <w:color w:val="auto"/>
              </w:rPr>
              <w:t>that may be constituted from time to time, including 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80" w:type="dxa"/>
            <w:vAlign w:val="bottom"/>
            <w:tcBorders>
              <w:bottom w:val="single" w:sz="8" w:color="BF5B5A"/>
            </w:tcBorders>
          </w:tcPr>
          <w:p>
            <w:pPr>
              <w:ind w:left="40"/>
              <w:spacing w:after="0"/>
              <w:rPr>
                <w:sz w:val="20"/>
                <w:szCs w:val="20"/>
                <w:color w:val="auto"/>
              </w:rPr>
            </w:pPr>
            <w:r>
              <w:rPr>
                <w:rFonts w:ascii="Arial" w:cs="Arial" w:eastAsia="Arial" w:hAnsi="Arial"/>
                <w:sz w:val="16"/>
                <w:szCs w:val="16"/>
                <w:color w:val="auto"/>
              </w:rPr>
              <w:t>​</w:t>
            </w:r>
          </w:p>
        </w:tc>
        <w:tc>
          <w:tcPr>
            <w:tcW w:w="420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committee of the Bank’s board of directors</w:t>
            </w:r>
          </w:p>
        </w:tc>
        <w:tc>
          <w:tcPr>
            <w:tcW w:w="20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F5B5A"/>
            </w:tcBorders>
          </w:tcPr>
          <w:p>
            <w:pPr>
              <w:ind w:left="240"/>
              <w:spacing w:after="0" w:line="28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200" w:type="dxa"/>
            <w:vAlign w:val="bottom"/>
            <w:tcBorders>
              <w:bottom w:val="single" w:sz="8" w:color="BF5B5A"/>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F5B5A"/>
            </w:tcBorders>
          </w:tcPr>
          <w:p>
            <w:pPr>
              <w:ind w:left="300"/>
              <w:spacing w:after="0" w:line="28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260" w:type="dxa"/>
            <w:vAlign w:val="bottom"/>
            <w:tcBorders>
              <w:bottom w:val="single" w:sz="8" w:color="BF5B5A"/>
            </w:tcBorders>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F5B5A"/>
            </w:tcBorders>
          </w:tcPr>
          <w:p>
            <w:pPr>
              <w:ind w:left="500"/>
              <w:spacing w:after="0"/>
              <w:rPr>
                <w:sz w:val="20"/>
                <w:szCs w:val="20"/>
                <w:color w:val="auto"/>
              </w:rPr>
            </w:pPr>
            <w:r>
              <w:rPr>
                <w:rFonts w:ascii="Arial" w:cs="Arial" w:eastAsia="Arial" w:hAnsi="Arial"/>
                <w:sz w:val="16"/>
                <w:szCs w:val="16"/>
                <w:color w:val="auto"/>
                <w:w w:val="99"/>
              </w:rPr>
              <w:t>​1,500</w:t>
            </w:r>
          </w:p>
        </w:tc>
        <w:tc>
          <w:tcPr>
            <w:tcW w:w="380" w:type="dxa"/>
            <w:vAlign w:val="bottom"/>
            <w:tcBorders>
              <w:bottom w:val="single" w:sz="8" w:color="BF5B5A"/>
            </w:tcBorders>
          </w:tcPr>
          <w:p>
            <w:pPr>
              <w:spacing w:after="0"/>
              <w:rPr>
                <w:sz w:val="24"/>
                <w:szCs w:val="24"/>
                <w:color w:val="auto"/>
              </w:rPr>
            </w:pPr>
          </w:p>
        </w:tc>
        <w:tc>
          <w:tcPr>
            <w:tcW w:w="12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119" w:lineRule="exact"/>
        <w:rPr>
          <w:sz w:val="20"/>
          <w:szCs w:val="20"/>
          <w:color w:val="auto"/>
        </w:rPr>
      </w:pPr>
    </w:p>
    <w:p>
      <w:pPr>
        <w:jc w:val="both"/>
        <w:ind w:left="780" w:right="20"/>
        <w:spacing w:after="0" w:line="300" w:lineRule="auto"/>
        <w:rPr>
          <w:sz w:val="20"/>
          <w:szCs w:val="20"/>
          <w:color w:val="auto"/>
        </w:rPr>
      </w:pPr>
      <w:r>
        <w:rPr>
          <w:rFonts w:ascii="Arial" w:cs="Arial" w:eastAsia="Arial" w:hAnsi="Arial"/>
          <w:sz w:val="18"/>
          <w:szCs w:val="18"/>
          <w:color w:val="auto"/>
        </w:rPr>
        <w:t>We also reimburse all directors for reasonable out-of-pocket expenses incurred in connection with the performance of their duties as directors.</w:t>
      </w:r>
    </w:p>
    <w:p>
      <w:pPr>
        <w:spacing w:after="0" w:line="101" w:lineRule="exact"/>
        <w:rPr>
          <w:sz w:val="20"/>
          <w:szCs w:val="20"/>
          <w:color w:val="auto"/>
        </w:rPr>
      </w:pPr>
    </w:p>
    <w:p>
      <w:pPr>
        <w:ind w:left="780"/>
        <w:spacing w:after="0" w:line="287" w:lineRule="auto"/>
        <w:rPr>
          <w:sz w:val="20"/>
          <w:szCs w:val="20"/>
          <w:color w:val="auto"/>
        </w:rPr>
      </w:pPr>
      <w:r>
        <w:rPr>
          <w:rFonts w:ascii="Arial" w:cs="Arial" w:eastAsia="Arial" w:hAnsi="Arial"/>
          <w:sz w:val="18"/>
          <w:szCs w:val="18"/>
          <w:color w:val="auto"/>
        </w:rPr>
        <w:t>Our Board adopted the First Hawaiian, Inc. 2016 Non-Employee Director Plan in 2016 and amended and restated such plan effective April 21, 2021. Equity awards granted to date under this plan have been in the form of restricted stock units that vest and settle in shares of our common stock within a period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of time after the grant date, subject to continued service (or upon an earlier change in control). Awards were granted in 2023 to reflect service as a director for each director’s term as director commencing upon election at the 2023 annual meeting of stockholders and expiring at the Annual Meeting. For 2023, we granted 3,713 shares of our common stock underlying restricted stock units to each of Directors Fujimoto, Kurren, Moffatt, Mugiishi, Thompson, Uyeda, Washington and Wo.</w:t>
      </w:r>
    </w:p>
    <w:p>
      <w:pPr>
        <w:spacing w:after="0" w:line="438" w:lineRule="exact"/>
        <w:rPr>
          <w:sz w:val="20"/>
          <w:szCs w:val="20"/>
          <w:color w:val="auto"/>
        </w:rPr>
      </w:pPr>
    </w:p>
    <w:p>
      <w:pPr>
        <w:sectPr>
          <w:pgSz w:w="11900" w:h="16838" w:orient="portrait"/>
          <w:cols w:equalWidth="0" w:num="2">
            <w:col w:w="4980" w:space="640"/>
            <w:col w:w="4340"/>
          </w:cols>
          <w:pgMar w:left="580" w:top="97" w:right="1359" w:bottom="1440" w:gutter="0" w:footer="0" w:header="0"/>
          <w:type w:val="continuous"/>
        </w:sectPr>
      </w:pPr>
    </w:p>
    <w:p>
      <w:pPr>
        <w:spacing w:after="0" w:line="19"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Stock Ownership Guidelines for Non-Employee Directors</w:t>
      </w:r>
    </w:p>
    <w:p>
      <w:pPr>
        <w:spacing w:after="0" w:line="177"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To ensure alignment of interests of our non-employee directors with those of our stockholders, we adopted stock ownership guidelines. All non-employee directors are currently in compliance or within their window for compliance with these guidelines. For purposes of satisfying this ownership requirement, Common Stock that is deemed beneficially owned includes shares for which the non-employee director has or shares voting power (which includes the power to vote or direct the voting) and/or investment power (which includes the power to dispose or direct the disposition of such shares). Common Stock will not be deemed beneficially owned for purposes of the stock ownership guidelines if it (i) is subject to a lien, claim or other encumbrance, including for a margin loan or other pledging of stock as collateral for a loan; (ii) becomes subject to recapture; or (iii) is held in escrow or similar arrangement. Unvested restricted stock unit awards are deemed to be beneficially owned under the guidelines. The guidelines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109220</wp:posOffset>
            </wp:positionV>
            <wp:extent cx="582930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29300" cy="17145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30" w:lineRule="exact"/>
        <w:rPr>
          <w:sz w:val="20"/>
          <w:szCs w:val="20"/>
          <w:color w:val="auto"/>
        </w:rPr>
      </w:pPr>
    </w:p>
    <w:p>
      <w:pPr>
        <w:ind w:left="880" w:hanging="100"/>
        <w:spacing w:after="0"/>
        <w:tabs>
          <w:tab w:leader="none" w:pos="880" w:val="left"/>
        </w:tabs>
        <w:numPr>
          <w:ilvl w:val="0"/>
          <w:numId w:val="86"/>
        </w:numPr>
        <w:rPr>
          <w:rFonts w:ascii="Arial" w:cs="Arial" w:eastAsia="Arial" w:hAnsi="Arial"/>
          <w:sz w:val="17"/>
          <w:szCs w:val="17"/>
          <w:b w:val="1"/>
          <w:bCs w:val="1"/>
          <w:color w:val="FFFFFF"/>
        </w:rPr>
      </w:pPr>
      <w:r>
        <w:rPr>
          <w:rFonts w:ascii="Arial" w:cs="Arial" w:eastAsia="Arial" w:hAnsi="Arial"/>
          <w:sz w:val="17"/>
          <w:szCs w:val="17"/>
          <w:b w:val="1"/>
          <w:bCs w:val="1"/>
          <w:color w:val="FFFFFF"/>
        </w:rPr>
        <w:t>Position</w:t>
      </w:r>
    </w:p>
    <w:p>
      <w:pPr>
        <w:spacing w:after="0" w:line="39" w:lineRule="exact"/>
        <w:rPr>
          <w:rFonts w:ascii="Arial" w:cs="Arial" w:eastAsia="Arial" w:hAnsi="Arial"/>
          <w:sz w:val="17"/>
          <w:szCs w:val="17"/>
          <w:b w:val="1"/>
          <w:bCs w:val="1"/>
          <w:color w:val="FFFFFF"/>
        </w:rPr>
      </w:pPr>
    </w:p>
    <w:p>
      <w:pPr>
        <w:ind w:left="880" w:hanging="100"/>
        <w:spacing w:after="0" w:line="180" w:lineRule="auto"/>
        <w:tabs>
          <w:tab w:leader="none" w:pos="880" w:val="left"/>
        </w:tabs>
        <w:numPr>
          <w:ilvl w:val="0"/>
          <w:numId w:val="86"/>
        </w:numPr>
        <w:rPr>
          <w:rFonts w:ascii="Arial" w:cs="Arial" w:eastAsia="Arial" w:hAnsi="Arial"/>
          <w:sz w:val="30"/>
          <w:szCs w:val="30"/>
          <w:color w:val="auto"/>
          <w:vertAlign w:val="superscript"/>
        </w:rPr>
      </w:pPr>
      <w:r>
        <w:rPr>
          <w:rFonts w:ascii="Arial" w:cs="Arial" w:eastAsia="Arial" w:hAnsi="Arial"/>
          <w:sz w:val="16"/>
          <w:szCs w:val="16"/>
          <w:color w:val="auto"/>
        </w:rPr>
        <w:t>Non-employee directors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40" w:type="dxa"/>
            <w:vAlign w:val="bottom"/>
            <w:gridSpan w:val="2"/>
          </w:tcPr>
          <w:p>
            <w:pPr>
              <w:spacing w:after="0"/>
              <w:rPr>
                <w:sz w:val="20"/>
                <w:szCs w:val="20"/>
                <w:color w:val="auto"/>
              </w:rPr>
            </w:pPr>
            <w:r>
              <w:rPr>
                <w:rFonts w:ascii="Arial" w:cs="Arial" w:eastAsia="Arial" w:hAnsi="Arial"/>
                <w:sz w:val="17"/>
                <w:szCs w:val="17"/>
                <w:b w:val="1"/>
                <w:bCs w:val="1"/>
                <w:color w:val="FFFFFF"/>
              </w:rPr>
              <w:t>​ ​ Stock Ownership Requirement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FFFFFF"/>
              </w:rPr>
              <w:t>​ ​</w:t>
            </w:r>
          </w:p>
        </w:tc>
        <w:tc>
          <w:tcPr>
            <w:tcW w:w="1740" w:type="dxa"/>
            <w:vAlign w:val="bottom"/>
          </w:tcPr>
          <w:p>
            <w:pPr>
              <w:ind w:left="40"/>
              <w:spacing w:after="0"/>
              <w:rPr>
                <w:sz w:val="20"/>
                <w:szCs w:val="20"/>
                <w:color w:val="auto"/>
              </w:rPr>
            </w:pPr>
            <w:r>
              <w:rPr>
                <w:rFonts w:ascii="Arial" w:cs="Arial" w:eastAsia="Arial" w:hAnsi="Arial"/>
                <w:sz w:val="17"/>
                <w:szCs w:val="17"/>
                <w:b w:val="1"/>
                <w:bCs w:val="1"/>
                <w:color w:val="FFFFFF"/>
              </w:rPr>
              <w:t>Compliance Period</w:t>
            </w:r>
          </w:p>
        </w:tc>
      </w:tr>
      <w:tr>
        <w:trPr>
          <w:trHeight w:val="367"/>
        </w:trPr>
        <w:tc>
          <w:tcPr>
            <w:tcW w:w="760" w:type="dxa"/>
            <w:vAlign w:val="bottom"/>
          </w:tcPr>
          <w:p>
            <w:pPr>
              <w:spacing w:after="0"/>
              <w:rPr>
                <w:sz w:val="20"/>
                <w:szCs w:val="20"/>
                <w:color w:val="auto"/>
              </w:rPr>
            </w:pPr>
            <w:r>
              <w:rPr>
                <w:rFonts w:ascii="Arial" w:cs="Arial" w:eastAsia="Arial" w:hAnsi="Arial"/>
                <w:sz w:val="17"/>
                <w:szCs w:val="17"/>
                <w:color w:val="auto"/>
              </w:rPr>
              <w:t>​ ​</w:t>
            </w:r>
          </w:p>
        </w:tc>
        <w:tc>
          <w:tcPr>
            <w:tcW w:w="2960" w:type="dxa"/>
            <w:vAlign w:val="bottom"/>
            <w:gridSpan w:val="2"/>
          </w:tcPr>
          <w:p>
            <w:pPr>
              <w:jc w:val="right"/>
              <w:spacing w:after="0" w:line="367"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b w:val="1"/>
                <w:bCs w:val="1"/>
                <w:color w:val="auto"/>
              </w:rPr>
              <w:t xml:space="preserve"> 5x </w:t>
            </w:r>
            <w:r>
              <w:rPr>
                <w:rFonts w:ascii="Arial" w:cs="Arial" w:eastAsia="Arial" w:hAnsi="Arial"/>
                <w:sz w:val="18"/>
                <w:szCs w:val="18"/>
                <w:color w:val="auto"/>
              </w:rPr>
              <w:t>annual cash retainer</w:t>
            </w:r>
            <w:r>
              <w:rPr>
                <w:rFonts w:ascii="Arial" w:cs="Arial" w:eastAsia="Arial" w:hAnsi="Arial"/>
                <w:sz w:val="18"/>
                <w:szCs w:val="18"/>
                <w:b w:val="1"/>
                <w:bCs w:val="1"/>
                <w:color w:val="auto"/>
              </w:rPr>
              <w:t xml:space="preserve"> </w:t>
            </w:r>
            <w:r>
              <w:rPr>
                <w:rFonts w:ascii="Arial" w:cs="Arial" w:eastAsia="Arial" w:hAnsi="Arial"/>
                <w:sz w:val="34"/>
                <w:szCs w:val="34"/>
                <w:color w:val="auto"/>
                <w:vertAlign w:val="superscript"/>
              </w:rPr>
              <w:t>​ ​</w:t>
            </w:r>
          </w:p>
        </w:tc>
        <w:tc>
          <w:tcPr>
            <w:tcW w:w="1740" w:type="dxa"/>
            <w:vAlign w:val="bottom"/>
          </w:tcPr>
          <w:p>
            <w:pPr>
              <w:ind w:left="40"/>
              <w:spacing w:after="0"/>
              <w:rPr>
                <w:sz w:val="20"/>
                <w:szCs w:val="20"/>
                <w:color w:val="auto"/>
              </w:rPr>
            </w:pPr>
            <w:r>
              <w:rPr>
                <w:rFonts w:ascii="Arial" w:cs="Arial" w:eastAsia="Arial" w:hAnsi="Arial"/>
                <w:sz w:val="17"/>
                <w:szCs w:val="17"/>
                <w:color w:val="auto"/>
              </w:rPr>
              <w:t>The later of 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-115570</wp:posOffset>
            </wp:positionV>
            <wp:extent cx="514350" cy="768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 cy="7683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7"/>
          <w:szCs w:val="17"/>
          <w:color w:val="auto"/>
        </w:rPr>
        <w:t>from joining the</w:t>
      </w:r>
    </w:p>
    <w:p>
      <w:pPr>
        <w:spacing w:after="0" w:line="1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Board or October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69850</wp:posOffset>
            </wp:positionV>
            <wp:extent cx="58293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64" w:lineRule="exact"/>
        <w:rPr>
          <w:sz w:val="20"/>
          <w:szCs w:val="20"/>
          <w:color w:val="auto"/>
        </w:rPr>
      </w:pPr>
    </w:p>
    <w:p>
      <w:pPr>
        <w:sectPr>
          <w:pgSz w:w="11900" w:h="16838" w:orient="portrait"/>
          <w:cols w:equalWidth="0" w:num="3">
            <w:col w:w="3200" w:space="720"/>
            <w:col w:w="5900" w:space="20"/>
            <w:col w:w="120"/>
          </w:cols>
          <w:pgMar w:left="580" w:top="97" w:right="1359" w:bottom="1440" w:gutter="0" w:footer="0" w:header="0"/>
          <w:type w:val="continuous"/>
        </w:sectPr>
      </w:pPr>
    </w:p>
    <w:p>
      <w:pPr>
        <w:spacing w:after="0" w:line="261"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37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643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628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EXECUTIVE</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COMPENSATION</w:t>
      </w:r>
    </w:p>
    <w:p>
      <w:pPr>
        <w:spacing w:after="0" w:line="200" w:lineRule="exact"/>
        <w:rPr>
          <w:sz w:val="20"/>
          <w:szCs w:val="20"/>
          <w:color w:val="auto"/>
        </w:rPr>
      </w:pPr>
    </w:p>
    <w:p>
      <w:pPr>
        <w:spacing w:after="0" w:line="386" w:lineRule="exact"/>
        <w:rPr>
          <w:sz w:val="20"/>
          <w:szCs w:val="20"/>
          <w:color w:val="auto"/>
        </w:rPr>
      </w:pPr>
    </w:p>
    <w:p>
      <w:pPr>
        <w:ind w:left="780" w:right="600"/>
        <w:spacing w:after="0" w:line="309" w:lineRule="auto"/>
        <w:rPr>
          <w:sz w:val="20"/>
          <w:szCs w:val="20"/>
          <w:color w:val="auto"/>
        </w:rPr>
      </w:pPr>
      <w:r>
        <w:rPr>
          <w:rFonts w:ascii="Arial" w:cs="Arial" w:eastAsia="Arial" w:hAnsi="Arial"/>
          <w:sz w:val="25"/>
          <w:szCs w:val="25"/>
          <w:b w:val="1"/>
          <w:bCs w:val="1"/>
          <w:color w:val="BF5B5A"/>
        </w:rPr>
        <w:t>PROPOSAL 2</w:t>
      </w:r>
      <w:r>
        <w:rPr>
          <w:rFonts w:ascii="Arial" w:cs="Arial" w:eastAsia="Arial" w:hAnsi="Arial"/>
          <w:sz w:val="25"/>
          <w:szCs w:val="25"/>
          <w:b w:val="1"/>
          <w:bCs w:val="1"/>
          <w:color w:val="000000"/>
        </w:rPr>
        <w:t>—ADVISORY VOTE ON THE COMPENSATION OF OUR NAMED</w:t>
      </w:r>
      <w:r>
        <w:rPr>
          <w:rFonts w:ascii="Arial" w:cs="Arial" w:eastAsia="Arial" w:hAnsi="Arial"/>
          <w:sz w:val="25"/>
          <w:szCs w:val="25"/>
          <w:b w:val="1"/>
          <w:bCs w:val="1"/>
          <w:color w:val="BF5B5A"/>
        </w:rPr>
        <w:t xml:space="preserve"> </w:t>
      </w:r>
      <w:r>
        <w:rPr>
          <w:rFonts w:ascii="Arial" w:cs="Arial" w:eastAsia="Arial" w:hAnsi="Arial"/>
          <w:sz w:val="25"/>
          <w:szCs w:val="25"/>
          <w:b w:val="1"/>
          <w:bCs w:val="1"/>
          <w:color w:val="000000"/>
        </w:rPr>
        <w:t>EXECUTIVE OFFICERS</w:t>
      </w:r>
    </w:p>
    <w:p>
      <w:pPr>
        <w:sectPr>
          <w:pgSz w:w="11900" w:h="16838" w:orient="portrait"/>
          <w:cols w:equalWidth="0" w:num="1">
            <w:col w:w="10000"/>
          </w:cols>
          <w:pgMar w:left="580" w:top="97" w:right="1319" w:bottom="1440" w:gutter="0" w:footer="0" w:header="0"/>
        </w:sectPr>
      </w:pPr>
    </w:p>
    <w:p>
      <w:pPr>
        <w:spacing w:after="0" w:line="156" w:lineRule="exact"/>
        <w:rPr>
          <w:sz w:val="20"/>
          <w:szCs w:val="20"/>
          <w:color w:val="auto"/>
        </w:rPr>
      </w:pPr>
    </w:p>
    <w:p>
      <w:pPr>
        <w:ind w:left="880" w:hanging="86"/>
        <w:spacing w:after="0" w:line="221" w:lineRule="auto"/>
        <w:tabs>
          <w:tab w:leader="none" w:pos="880" w:val="left"/>
        </w:tabs>
        <w:numPr>
          <w:ilvl w:val="0"/>
          <w:numId w:val="87"/>
        </w:numPr>
        <w:rPr>
          <w:rFonts w:ascii="Arial" w:cs="Arial" w:eastAsia="Arial" w:hAnsi="Arial"/>
          <w:sz w:val="32"/>
          <w:szCs w:val="32"/>
          <w:color w:val="auto"/>
          <w:vertAlign w:val="superscript"/>
        </w:rPr>
      </w:pPr>
      <w:r>
        <w:rPr>
          <w:rFonts w:ascii="Arial" w:cs="Arial" w:eastAsia="Arial" w:hAnsi="Arial"/>
          <w:sz w:val="16"/>
          <w:szCs w:val="16"/>
          <w:b w:val="1"/>
          <w:bCs w:val="1"/>
          <w:color w:val="auto"/>
        </w:rPr>
        <w:t>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676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Proposal</w:t>
      </w:r>
      <w:r>
        <w:rPr>
          <w:sz w:val="20"/>
          <w:szCs w:val="20"/>
          <w:color w:val="auto"/>
        </w:rPr>
        <w:tab/>
      </w:r>
      <w:r>
        <w:rPr>
          <w:rFonts w:ascii="Arial" w:cs="Arial" w:eastAsia="Arial" w:hAnsi="Arial"/>
          <w:sz w:val="36"/>
          <w:szCs w:val="36"/>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-259080</wp:posOffset>
            </wp:positionV>
            <wp:extent cx="5829300" cy="12344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29300" cy="1234440"/>
                    </a:xfrm>
                    <a:prstGeom prst="rect">
                      <a:avLst/>
                    </a:prstGeom>
                    <a:noFill/>
                  </pic:spPr>
                </pic:pic>
              </a:graphicData>
            </a:graphic>
          </wp:anchor>
        </w:drawing>
      </w:r>
    </w:p>
    <w:p>
      <w:pPr>
        <w:spacing w:after="0" w:line="16" w:lineRule="exact"/>
        <w:rPr>
          <w:sz w:val="20"/>
          <w:szCs w:val="20"/>
          <w:color w:val="auto"/>
        </w:rPr>
      </w:pPr>
    </w:p>
    <w:p>
      <w:pPr>
        <w:ind w:left="560" w:right="500" w:hanging="356"/>
        <w:spacing w:after="0" w:line="255" w:lineRule="auto"/>
        <w:tabs>
          <w:tab w:leader="none" w:pos="560" w:val="left"/>
        </w:tabs>
        <w:numPr>
          <w:ilvl w:val="0"/>
          <w:numId w:val="88"/>
        </w:numPr>
        <w:rPr>
          <w:rFonts w:ascii="Arial" w:cs="Arial" w:eastAsia="Arial" w:hAnsi="Arial"/>
          <w:sz w:val="18"/>
          <w:szCs w:val="18"/>
          <w:color w:val="BF5B5A"/>
        </w:rPr>
      </w:pPr>
      <w:r>
        <w:rPr>
          <w:rFonts w:ascii="Arial" w:cs="Arial" w:eastAsia="Arial" w:hAnsi="Arial"/>
          <w:sz w:val="18"/>
          <w:szCs w:val="18"/>
          <w:color w:val="auto"/>
        </w:rPr>
        <w:t>We are asking stockholders to approve the compensation of the named executive officers, as discussed in this proxy statement pursuant to the compensation disclosure rules of the Securities and Exchange Commission.</w:t>
      </w:r>
    </w:p>
    <w:p>
      <w:pPr>
        <w:spacing w:after="0" w:line="49" w:lineRule="exact"/>
        <w:rPr>
          <w:sz w:val="20"/>
          <w:szCs w:val="20"/>
          <w:color w:val="auto"/>
        </w:rPr>
      </w:pPr>
    </w:p>
    <w:p>
      <w:pPr>
        <w:ind w:left="200" w:right="360"/>
        <w:spacing w:after="0" w:line="294" w:lineRule="auto"/>
        <w:rPr>
          <w:sz w:val="20"/>
          <w:szCs w:val="20"/>
          <w:color w:val="auto"/>
        </w:rPr>
      </w:pPr>
      <w:r>
        <w:rPr>
          <w:rFonts w:ascii="Arial" w:cs="Arial" w:eastAsia="Arial" w:hAnsi="Arial"/>
          <w:sz w:val="18"/>
          <w:szCs w:val="18"/>
          <w:b w:val="1"/>
          <w:bCs w:val="1"/>
          <w:i w:val="1"/>
          <w:iCs w:val="1"/>
          <w:color w:val="auto"/>
        </w:rPr>
        <w:t>The Board of Directors unanimously recommends that you vote “FOR” the approval of the compensation paid to our named executive officers.</w:t>
      </w:r>
    </w:p>
    <w:p>
      <w:pPr>
        <w:spacing w:after="0" w:line="200" w:lineRule="exact"/>
        <w:rPr>
          <w:sz w:val="20"/>
          <w:szCs w:val="20"/>
          <w:color w:val="auto"/>
        </w:rPr>
      </w:pPr>
    </w:p>
    <w:p>
      <w:pPr>
        <w:sectPr>
          <w:pgSz w:w="11900" w:h="16838" w:orient="portrait"/>
          <w:cols w:equalWidth="0" w:num="2">
            <w:col w:w="2960" w:space="100"/>
            <w:col w:w="6940"/>
          </w:cols>
          <w:pgMar w:left="580" w:top="97" w:right="1319" w:bottom="1440" w:gutter="0" w:footer="0" w:header="0"/>
          <w:type w:val="continuous"/>
        </w:sectPr>
      </w:pPr>
    </w:p>
    <w:p>
      <w:pPr>
        <w:spacing w:after="0" w:line="182" w:lineRule="exact"/>
        <w:rPr>
          <w:sz w:val="20"/>
          <w:szCs w:val="20"/>
          <w:color w:val="auto"/>
        </w:rPr>
      </w:pPr>
    </w:p>
    <w:p>
      <w:pPr>
        <w:ind w:left="780"/>
        <w:spacing w:after="0" w:line="274" w:lineRule="auto"/>
        <w:rPr>
          <w:sz w:val="20"/>
          <w:szCs w:val="20"/>
          <w:color w:val="auto"/>
        </w:rPr>
      </w:pPr>
      <w:r>
        <w:rPr>
          <w:rFonts w:ascii="Arial" w:cs="Arial" w:eastAsia="Arial" w:hAnsi="Arial"/>
          <w:sz w:val="18"/>
          <w:szCs w:val="18"/>
          <w:color w:val="auto"/>
        </w:rPr>
        <w:t>Pursuant to Section 14A of the Exchange Act, we are providing our stockholders with the opportunity to vote on an advisory basis on the compensation of our named executive officers as disclosed in this Proxy Statement. This proposal, commonly known as a “say-on-pay” proposal, gives our stockholders the opportunity to endorse or not endorse our executive pay program and policies. The Compensation Committee, which is responsible for designing and administering our executive compensation program, values the opinions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expressed by stockholders and will consider, among other things, the outcome of the vote when making future compensation decisions for our executive officers.</w:t>
      </w:r>
    </w:p>
    <w:p>
      <w:pPr>
        <w:spacing w:after="0" w:line="106"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included in this Proxy Statement,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provides a mix of salary, incentives and benefits and is designed to support the Company’s long-term success by achieving the following objectives:</w:t>
      </w:r>
    </w:p>
    <w:p>
      <w:pPr>
        <w:spacing w:after="0" w:line="146" w:lineRule="exact"/>
        <w:rPr>
          <w:sz w:val="20"/>
          <w:szCs w:val="20"/>
          <w:color w:val="auto"/>
        </w:rPr>
      </w:pPr>
    </w:p>
    <w:p>
      <w:pPr>
        <w:sectPr>
          <w:pgSz w:w="11900" w:h="16838" w:orient="portrait"/>
          <w:cols w:equalWidth="0" w:num="2">
            <w:col w:w="5080" w:space="540"/>
            <w:col w:w="4380"/>
          </w:cols>
          <w:pgMar w:left="580" w:top="97" w:right="1319" w:bottom="1440" w:gutter="0" w:footer="0" w:header="0"/>
          <w:type w:val="continuous"/>
        </w:sectPr>
      </w:pPr>
    </w:p>
    <w:p>
      <w:pPr>
        <w:ind w:left="1500" w:hanging="720"/>
        <w:spacing w:after="0"/>
        <w:tabs>
          <w:tab w:leader="none" w:pos="1500" w:val="left"/>
        </w:tabs>
        <w:numPr>
          <w:ilvl w:val="0"/>
          <w:numId w:val="89"/>
        </w:numPr>
        <w:rPr>
          <w:rFonts w:ascii="Arial" w:cs="Arial" w:eastAsia="Arial" w:hAnsi="Arial"/>
          <w:sz w:val="32"/>
          <w:szCs w:val="32"/>
          <w:color w:val="auto"/>
          <w:vertAlign w:val="superscript"/>
        </w:rPr>
      </w:pPr>
      <w:r>
        <w:rPr>
          <w:rFonts w:ascii="Arial" w:cs="Arial" w:eastAsia="Arial" w:hAnsi="Arial"/>
          <w:sz w:val="32"/>
          <w:szCs w:val="32"/>
          <w:color w:val="000000"/>
          <w:vertAlign w:val="superscript"/>
        </w:rPr>
        <w:t>​​</w:t>
      </w:r>
      <w:r>
        <w:rPr>
          <w:rFonts w:ascii="Arial" w:cs="Arial" w:eastAsia="Arial" w:hAnsi="Arial"/>
          <w:sz w:val="25"/>
          <w:szCs w:val="25"/>
          <w:b w:val="1"/>
          <w:bCs w:val="1"/>
          <w:color w:val="BF5B5A"/>
        </w:rPr>
        <w:t xml:space="preserve">1. </w:t>
      </w:r>
      <w:r>
        <w:rPr>
          <w:rFonts w:ascii="Arial" w:cs="Arial" w:eastAsia="Arial" w:hAnsi="Arial"/>
          <w:sz w:val="32"/>
          <w:szCs w:val="32"/>
          <w:color w:val="000000"/>
          <w:vertAlign w:val="superscript"/>
        </w:rPr>
        <w:t>​​</w:t>
      </w:r>
      <w:r>
        <w:rPr>
          <w:rFonts w:ascii="Arial" w:cs="Arial" w:eastAsia="Arial" w:hAnsi="Arial"/>
          <w:sz w:val="34"/>
          <w:szCs w:val="34"/>
          <w:b w:val="1"/>
          <w:bCs w:val="1"/>
          <w:color w:val="000000"/>
          <w:vertAlign w:val="subscript"/>
        </w:rPr>
        <w:t>PERFORMANCE</w:t>
      </w:r>
      <w:r>
        <w:rPr>
          <w:rFonts w:ascii="Arial" w:cs="Arial" w:eastAsia="Arial" w:hAnsi="Arial"/>
          <w:sz w:val="25"/>
          <w:szCs w:val="25"/>
          <w:b w:val="1"/>
          <w:bCs w:val="1"/>
          <w:color w:val="BF5B5A"/>
        </w:rPr>
        <w:t xml:space="preserve"> </w:t>
      </w:r>
      <w:r>
        <w:rPr>
          <w:rFonts w:ascii="Arial" w:cs="Arial" w:eastAsia="Arial" w:hAnsi="Arial"/>
          <w:sz w:val="32"/>
          <w:szCs w:val="32"/>
          <w:color w:val="000000"/>
          <w:vertAlign w:val="superscript"/>
        </w:rPr>
        <w:t>​ ​</w:t>
      </w:r>
      <w:r>
        <w:rPr>
          <w:rFonts w:ascii="Arial" w:cs="Arial" w:eastAsia="Arial" w:hAnsi="Arial"/>
          <w:sz w:val="25"/>
          <w:szCs w:val="25"/>
          <w:b w:val="1"/>
          <w:bCs w:val="1"/>
          <w:color w:val="BF5B5A"/>
        </w:rPr>
        <w:t xml:space="preserve"> </w:t>
      </w:r>
      <w:r>
        <w:rPr>
          <w:rFonts w:ascii="Arial" w:cs="Arial" w:eastAsia="Arial" w:hAnsi="Arial"/>
          <w:sz w:val="16"/>
          <w:szCs w:val="16"/>
          <w:color w:val="000000"/>
        </w:rPr>
        <w:t>Establishes appropriate, yet challenging, performance goals for our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-189230</wp:posOffset>
            </wp:positionV>
            <wp:extent cx="58293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-111760</wp:posOffset>
            </wp:positionV>
            <wp:extent cx="300355" cy="2825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00355" cy="282575"/>
                    </a:xfrm>
                    <a:prstGeom prst="rect">
                      <a:avLst/>
                    </a:prstGeom>
                    <a:noFill/>
                  </pic:spPr>
                </pic:pic>
              </a:graphicData>
            </a:graphic>
          </wp:anchor>
        </w:drawing>
      </w:r>
    </w:p>
    <w:tbl>
      <w:tblPr>
        <w:tblLayout w:type="fixed"/>
        <w:tblInd w:w="780" w:type="dxa"/>
        <w:tblCellMar>
          <w:top w:w="0" w:type="dxa"/>
          <w:left w:w="0" w:type="dxa"/>
          <w:bottom w:w="0" w:type="dxa"/>
          <w:right w:w="0" w:type="dxa"/>
        </w:tblCellMar>
      </w:tblPr>
      <w:tr>
        <w:trPr>
          <w:trHeight w:val="200"/>
        </w:trPr>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FOCUS</w:t>
            </w:r>
          </w:p>
        </w:tc>
        <w:tc>
          <w:tcPr>
            <w:tcW w:w="6660" w:type="dxa"/>
            <w:vAlign w:val="bottom"/>
          </w:tcPr>
          <w:p>
            <w:pPr>
              <w:ind w:left="280"/>
              <w:spacing w:after="0"/>
              <w:rPr>
                <w:sz w:val="20"/>
                <w:szCs w:val="20"/>
                <w:color w:val="auto"/>
              </w:rPr>
            </w:pPr>
            <w:r>
              <w:rPr>
                <w:rFonts w:ascii="Arial" w:cs="Arial" w:eastAsia="Arial" w:hAnsi="Arial"/>
                <w:sz w:val="16"/>
                <w:szCs w:val="16"/>
                <w:color w:val="auto"/>
              </w:rPr>
              <w:t>including use of relative metrics, and implements plans that motivate leadership to</w:t>
            </w:r>
          </w:p>
        </w:tc>
        <w:tc>
          <w:tcPr>
            <w:tcW w:w="0" w:type="dxa"/>
            <w:vAlign w:val="bottom"/>
          </w:tcPr>
          <w:p>
            <w:pPr>
              <w:spacing w:after="0"/>
              <w:rPr>
                <w:sz w:val="1"/>
                <w:szCs w:val="1"/>
                <w:color w:val="auto"/>
              </w:rPr>
            </w:pPr>
          </w:p>
        </w:tc>
      </w:tr>
      <w:tr>
        <w:trPr>
          <w:trHeight w:val="92"/>
        </w:trPr>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660" w:type="dxa"/>
            <w:vAlign w:val="bottom"/>
            <w:vMerge w:val="restart"/>
          </w:tcPr>
          <w:p>
            <w:pPr>
              <w:ind w:left="280"/>
              <w:spacing w:after="0"/>
              <w:rPr>
                <w:sz w:val="20"/>
                <w:szCs w:val="20"/>
                <w:color w:val="auto"/>
              </w:rPr>
            </w:pPr>
            <w:r>
              <w:rPr>
                <w:rFonts w:ascii="Arial" w:cs="Arial" w:eastAsia="Arial" w:hAnsi="Arial"/>
                <w:sz w:val="16"/>
                <w:szCs w:val="16"/>
                <w:color w:val="auto"/>
              </w:rPr>
              <w:t>achieve consistent, long-term performance</w:t>
            </w: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0"/>
        </w:trPr>
        <w:tc>
          <w:tcPr>
            <w:tcW w:w="380" w:type="dxa"/>
            <w:vAlign w:val="bottom"/>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ind w:left="340"/>
              <w:spacing w:after="0" w:line="39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46"/>
                <w:szCs w:val="46"/>
                <w:b w:val="1"/>
                <w:bCs w:val="1"/>
                <w:color w:val="BF5B5A"/>
                <w:vertAlign w:val="subscript"/>
              </w:rPr>
              <w:t>2.</w:t>
            </w:r>
          </w:p>
        </w:tc>
        <w:tc>
          <w:tcPr>
            <w:tcW w:w="1400" w:type="dxa"/>
            <w:vAlign w:val="bottom"/>
          </w:tcPr>
          <w:p>
            <w:pPr>
              <w:ind w:left="20"/>
              <w:spacing w:after="0"/>
              <w:rPr>
                <w:sz w:val="20"/>
                <w:szCs w:val="20"/>
                <w:color w:val="auto"/>
              </w:rPr>
            </w:pPr>
            <w:r>
              <w:rPr>
                <w:rFonts w:ascii="Arial" w:cs="Arial" w:eastAsia="Arial" w:hAnsi="Arial"/>
                <w:sz w:val="34"/>
                <w:szCs w:val="34"/>
                <w:b w:val="1"/>
                <w:bCs w:val="1"/>
                <w:color w:val="auto"/>
                <w:vertAlign w:val="superscript"/>
              </w:rPr>
              <w:t>​​</w:t>
            </w:r>
            <w:r>
              <w:rPr>
                <w:rFonts w:ascii="Arial" w:cs="Arial" w:eastAsia="Arial" w:hAnsi="Arial"/>
                <w:sz w:val="17"/>
                <w:szCs w:val="17"/>
                <w:b w:val="1"/>
                <w:bCs w:val="1"/>
                <w:color w:val="auto"/>
              </w:rPr>
              <w:t>RISK</w:t>
            </w:r>
          </w:p>
        </w:tc>
        <w:tc>
          <w:tcPr>
            <w:tcW w:w="6660" w:type="dxa"/>
            <w:vAlign w:val="bottom"/>
          </w:tcPr>
          <w:p>
            <w:pPr>
              <w:ind w:left="60"/>
              <w:spacing w:after="0"/>
              <w:rPr>
                <w:sz w:val="20"/>
                <w:szCs w:val="20"/>
                <w:color w:val="auto"/>
              </w:rPr>
            </w:pPr>
            <w:r>
              <w:rPr>
                <w:rFonts w:ascii="Arial" w:cs="Arial" w:eastAsia="Arial" w:hAnsi="Arial"/>
                <w:sz w:val="34"/>
                <w:szCs w:val="34"/>
                <w:b w:val="1"/>
                <w:bCs w:val="1"/>
                <w:color w:val="auto"/>
                <w:vertAlign w:val="superscript"/>
              </w:rPr>
              <w:t>​ ​</w:t>
            </w:r>
            <w:r>
              <w:rPr>
                <w:rFonts w:ascii="Arial" w:cs="Arial" w:eastAsia="Arial" w:hAnsi="Arial"/>
                <w:sz w:val="16"/>
                <w:szCs w:val="16"/>
                <w:color w:val="auto"/>
              </w:rPr>
              <w:t xml:space="preserve"> Encourages sustainable performance over time and discourages excessive risk-taking</w:t>
            </w: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Arial" w:cs="Arial" w:eastAsia="Arial" w:hAnsi="Arial"/>
                <w:sz w:val="17"/>
                <w:szCs w:val="17"/>
                <w:b w:val="1"/>
                <w:bCs w:val="1"/>
                <w:color w:val="auto"/>
              </w:rPr>
              <w:t>MANAGEMENT</w:t>
            </w:r>
          </w:p>
        </w:tc>
        <w:tc>
          <w:tcPr>
            <w:tcW w:w="6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line="358" w:lineRule="exact"/>
              <w:rPr>
                <w:sz w:val="20"/>
                <w:szCs w:val="20"/>
                <w:color w:val="auto"/>
              </w:rPr>
            </w:pPr>
            <w:r>
              <w:rPr>
                <w:rFonts w:ascii="Arial" w:cs="Arial" w:eastAsia="Arial" w:hAnsi="Arial"/>
                <w:sz w:val="15"/>
                <w:szCs w:val="15"/>
                <w:color w:val="auto"/>
              </w:rPr>
              <w:t>​​</w:t>
            </w:r>
            <w:r>
              <w:rPr>
                <w:rFonts w:ascii="Arial" w:cs="Arial" w:eastAsia="Arial" w:hAnsi="Arial"/>
                <w:sz w:val="41"/>
                <w:szCs w:val="41"/>
                <w:b w:val="1"/>
                <w:bCs w:val="1"/>
                <w:color w:val="BF5B5A"/>
                <w:vertAlign w:val="subscript"/>
              </w:rPr>
              <w:t>3.</w:t>
            </w:r>
          </w:p>
        </w:tc>
        <w:tc>
          <w:tcPr>
            <w:tcW w:w="1400" w:type="dxa"/>
            <w:vAlign w:val="bottom"/>
          </w:tcPr>
          <w:p>
            <w:pPr>
              <w:ind w:left="20"/>
              <w:spacing w:after="0" w:line="359"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BALANCE</w:t>
            </w:r>
          </w:p>
        </w:tc>
        <w:tc>
          <w:tcPr>
            <w:tcW w:w="6660" w:type="dxa"/>
            <w:vAlign w:val="bottom"/>
          </w:tcPr>
          <w:p>
            <w:pPr>
              <w:ind w:left="60"/>
              <w:spacing w:after="0" w:line="359"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Utilizes incentive plan components that are quantitative and linked to stockholder</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60" w:type="dxa"/>
            <w:vAlign w:val="bottom"/>
          </w:tcPr>
          <w:p>
            <w:pPr>
              <w:ind w:left="280"/>
              <w:spacing w:after="0"/>
              <w:rPr>
                <w:sz w:val="20"/>
                <w:szCs w:val="20"/>
                <w:color w:val="auto"/>
              </w:rPr>
            </w:pPr>
            <w:r>
              <w:rPr>
                <w:rFonts w:ascii="Arial" w:cs="Arial" w:eastAsia="Arial" w:hAnsi="Arial"/>
                <w:sz w:val="16"/>
                <w:szCs w:val="16"/>
                <w:color w:val="auto"/>
              </w:rPr>
              <w:t>return and financial results and are balanced by key individual performance objectives</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6"/>
                <w:szCs w:val="16"/>
                <w:color w:val="auto"/>
              </w:rPr>
              <w:t>qualitatively evaluated by our Compensation Committee</w:t>
            </w:r>
          </w:p>
        </w:tc>
        <w:tc>
          <w:tcPr>
            <w:tcW w:w="0" w:type="dxa"/>
            <w:vAlign w:val="bottom"/>
          </w:tcPr>
          <w:p>
            <w:pPr>
              <w:spacing w:after="0"/>
              <w:rPr>
                <w:sz w:val="1"/>
                <w:szCs w:val="1"/>
                <w:color w:val="auto"/>
              </w:rPr>
            </w:pPr>
          </w:p>
        </w:tc>
      </w:tr>
      <w:tr>
        <w:trPr>
          <w:trHeight w:val="313"/>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line="313" w:lineRule="exact"/>
              <w:rPr>
                <w:sz w:val="20"/>
                <w:szCs w:val="20"/>
                <w:color w:val="auto"/>
              </w:rPr>
            </w:pPr>
            <w:r>
              <w:rPr>
                <w:rFonts w:ascii="Arial" w:cs="Arial" w:eastAsia="Arial" w:hAnsi="Arial"/>
                <w:sz w:val="14"/>
                <w:szCs w:val="14"/>
                <w:color w:val="auto"/>
              </w:rPr>
              <w:t>​​</w:t>
            </w:r>
            <w:r>
              <w:rPr>
                <w:rFonts w:ascii="Arial" w:cs="Arial" w:eastAsia="Arial" w:hAnsi="Arial"/>
                <w:sz w:val="36"/>
                <w:szCs w:val="36"/>
                <w:b w:val="1"/>
                <w:bCs w:val="1"/>
                <w:color w:val="BF5B5A"/>
                <w:vertAlign w:val="subscript"/>
              </w:rPr>
              <w:t>4.</w:t>
            </w:r>
          </w:p>
        </w:tc>
        <w:tc>
          <w:tcPr>
            <w:tcW w:w="1400" w:type="dxa"/>
            <w:vAlign w:val="bottom"/>
          </w:tcPr>
          <w:p>
            <w:pPr>
              <w:ind w:left="20"/>
              <w:spacing w:after="0" w:line="312"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COMPETITIVE</w:t>
            </w:r>
          </w:p>
        </w:tc>
        <w:tc>
          <w:tcPr>
            <w:tcW w:w="6660" w:type="dxa"/>
            <w:vAlign w:val="bottom"/>
          </w:tcPr>
          <w:p>
            <w:pPr>
              <w:ind w:left="60"/>
              <w:spacing w:after="0" w:line="312"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Provides a competitive pay program that is forward-looking and that will attract and</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6"/>
                <w:szCs w:val="16"/>
                <w:color w:val="auto"/>
              </w:rPr>
              <w:t>retain high-quality executives who can produce outstanding results for the Company</w:t>
            </w:r>
          </w:p>
        </w:tc>
        <w:tc>
          <w:tcPr>
            <w:tcW w:w="0" w:type="dxa"/>
            <w:vAlign w:val="bottom"/>
          </w:tcPr>
          <w:p>
            <w:pPr>
              <w:spacing w:after="0"/>
              <w:rPr>
                <w:sz w:val="1"/>
                <w:szCs w:val="1"/>
                <w:color w:val="auto"/>
              </w:rPr>
            </w:pPr>
          </w:p>
        </w:tc>
      </w:tr>
      <w:tr>
        <w:trPr>
          <w:trHeight w:val="501"/>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line="501" w:lineRule="exact"/>
              <w:rPr>
                <w:sz w:val="20"/>
                <w:szCs w:val="20"/>
                <w:color w:val="auto"/>
              </w:rPr>
            </w:pPr>
            <w:r>
              <w:rPr>
                <w:rFonts w:ascii="Arial" w:cs="Arial" w:eastAsia="Arial" w:hAnsi="Arial"/>
                <w:sz w:val="16"/>
                <w:szCs w:val="16"/>
                <w:color w:val="auto"/>
              </w:rPr>
              <w:t>​​</w:t>
            </w:r>
            <w:r>
              <w:rPr>
                <w:rFonts w:ascii="Arial" w:cs="Arial" w:eastAsia="Arial" w:hAnsi="Arial"/>
                <w:sz w:val="50"/>
                <w:szCs w:val="50"/>
                <w:b w:val="1"/>
                <w:bCs w:val="1"/>
                <w:color w:val="BF5B5A"/>
                <w:vertAlign w:val="subscript"/>
              </w:rPr>
              <w:t>5.</w:t>
            </w:r>
          </w:p>
        </w:tc>
        <w:tc>
          <w:tcPr>
            <w:tcW w:w="1400" w:type="dxa"/>
            <w:vAlign w:val="bottom"/>
          </w:tcPr>
          <w:p>
            <w:pPr>
              <w:ind w:left="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STEWARDSHIP</w:t>
            </w:r>
          </w:p>
        </w:tc>
        <w:tc>
          <w:tcPr>
            <w:tcW w:w="6660" w:type="dxa"/>
            <w:vAlign w:val="bottom"/>
          </w:tcPr>
          <w:p>
            <w:pPr>
              <w:ind w:left="6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Focuses on the performance of the Company as a whole, as well as individual goals,</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6"/>
                <w:szCs w:val="16"/>
                <w:color w:val="auto"/>
              </w:rPr>
              <w:t>while promoting our culture and rewarding adherence to our risk framework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52070</wp:posOffset>
            </wp:positionV>
            <wp:extent cx="58293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-332740</wp:posOffset>
            </wp:positionV>
            <wp:extent cx="58293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-787400</wp:posOffset>
            </wp:positionV>
            <wp:extent cx="58293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-1250315</wp:posOffset>
            </wp:positionV>
            <wp:extent cx="58293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-1678940</wp:posOffset>
            </wp:positionV>
            <wp:extent cx="58293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-1627505</wp:posOffset>
            </wp:positionV>
            <wp:extent cx="316865" cy="3346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6865" cy="33464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-1189990</wp:posOffset>
            </wp:positionV>
            <wp:extent cx="386080" cy="2825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6080" cy="28257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-727075</wp:posOffset>
            </wp:positionV>
            <wp:extent cx="351155" cy="3517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51155" cy="3517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-273050</wp:posOffset>
            </wp:positionV>
            <wp:extent cx="316865" cy="2825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1686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41" w:lineRule="exact"/>
        <w:rPr>
          <w:sz w:val="20"/>
          <w:szCs w:val="20"/>
          <w:color w:val="auto"/>
        </w:rPr>
      </w:pPr>
    </w:p>
    <w:p>
      <w:pPr>
        <w:sectPr>
          <w:pgSz w:w="11900" w:h="16838" w:orient="portrait"/>
          <w:cols w:equalWidth="0" w:num="2">
            <w:col w:w="9880" w:space="60"/>
            <w:col w:w="60"/>
          </w:cols>
          <w:pgMar w:left="580" w:top="97" w:right="1319" w:bottom="1440" w:gutter="0" w:footer="0" w:header="0"/>
          <w:type w:val="continuous"/>
        </w:sectPr>
      </w:pPr>
    </w:p>
    <w:p>
      <w:pPr>
        <w:spacing w:after="0" w:line="215" w:lineRule="exact"/>
        <w:rPr>
          <w:sz w:val="20"/>
          <w:szCs w:val="20"/>
          <w:color w:val="auto"/>
        </w:rPr>
      </w:pPr>
    </w:p>
    <w:p>
      <w:pPr>
        <w:ind w:left="780"/>
        <w:spacing w:after="0" w:line="289" w:lineRule="auto"/>
        <w:rPr>
          <w:sz w:val="20"/>
          <w:szCs w:val="20"/>
          <w:color w:val="auto"/>
        </w:rPr>
      </w:pPr>
      <w:r>
        <w:rPr>
          <w:rFonts w:ascii="Arial" w:cs="Arial" w:eastAsia="Arial" w:hAnsi="Arial"/>
          <w:sz w:val="18"/>
          <w:szCs w:val="18"/>
          <w:color w:val="auto"/>
        </w:rPr>
        <w:t>We urge stockholders to read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and the related narrative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tabular compensation disclosure included in this Proxy Statement.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provides detailed information regarding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and policies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and procedures, as well as the compensation of our named executive officers.</w:t>
      </w:r>
    </w:p>
    <w:p>
      <w:pPr>
        <w:spacing w:after="0" w:line="99"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Our Board believes that our current executive compensation program appropriately links compensation realized by our executive officers to our performance and properly aligns the interests of our executives with those of our stockholders.</w:t>
      </w:r>
    </w:p>
    <w:p>
      <w:pPr>
        <w:spacing w:after="0" w:line="200" w:lineRule="exact"/>
        <w:rPr>
          <w:sz w:val="20"/>
          <w:szCs w:val="20"/>
          <w:color w:val="auto"/>
        </w:rPr>
      </w:pPr>
    </w:p>
    <w:p>
      <w:pPr>
        <w:sectPr>
          <w:pgSz w:w="11900" w:h="16838" w:orient="portrait"/>
          <w:cols w:equalWidth="0" w:num="2">
            <w:col w:w="5120" w:space="500"/>
            <w:col w:w="4380"/>
          </w:cols>
          <w:pgMar w:left="580" w:top="97" w:right="1319" w:bottom="1440" w:gutter="0" w:footer="0" w:header="0"/>
          <w:type w:val="continuous"/>
        </w:sectPr>
      </w:pPr>
    </w:p>
    <w:p>
      <w:pPr>
        <w:spacing w:after="0" w:line="3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38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EXECUTIVE COMPENSATION</w:t>
      </w:r>
    </w:p>
    <w:p>
      <w:pPr>
        <w:sectPr>
          <w:pgSz w:w="11900" w:h="16838" w:orient="portrait"/>
          <w:cols w:equalWidth="0" w:num="1">
            <w:col w:w="9960"/>
          </w:cols>
          <w:pgMar w:left="580" w:top="97" w:right="1359" w:bottom="1440" w:gutter="0" w:footer="0" w:header="0"/>
        </w:sectPr>
      </w:pP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Required Vote</w:t>
      </w:r>
    </w:p>
    <w:p>
      <w:pPr>
        <w:spacing w:after="0" w:line="137" w:lineRule="exact"/>
        <w:rPr>
          <w:sz w:val="20"/>
          <w:szCs w:val="20"/>
          <w:color w:val="auto"/>
        </w:rPr>
      </w:pPr>
    </w:p>
    <w:p>
      <w:pPr>
        <w:ind w:left="780" w:right="140"/>
        <w:spacing w:after="0" w:line="264" w:lineRule="auto"/>
        <w:rPr>
          <w:sz w:val="20"/>
          <w:szCs w:val="20"/>
          <w:color w:val="auto"/>
        </w:rPr>
      </w:pPr>
      <w:r>
        <w:rPr>
          <w:rFonts w:ascii="Arial" w:cs="Arial" w:eastAsia="Arial" w:hAnsi="Arial"/>
          <w:sz w:val="18"/>
          <w:szCs w:val="18"/>
          <w:color w:val="auto"/>
        </w:rPr>
        <w:t>Adoption of an advisory resolution approving the compensation of the named executive officers as disclosed in this Proxy Statement requires the affirmative vote of a majority of the shares of common stock represented at the Annual Meeting, in person or by proxy, and entitled to vote thereon. Abstentions will have the effect of voting against this proposal. Broker non-votes will have no effect on the outcome of this proposal.</w:t>
      </w:r>
    </w:p>
    <w:p>
      <w:pPr>
        <w:spacing w:after="0" w:line="111" w:lineRule="exact"/>
        <w:rPr>
          <w:sz w:val="20"/>
          <w:szCs w:val="20"/>
          <w:color w:val="auto"/>
        </w:rPr>
      </w:pPr>
    </w:p>
    <w:p>
      <w:pPr>
        <w:ind w:left="780" w:right="440"/>
        <w:spacing w:after="0" w:line="303" w:lineRule="auto"/>
        <w:rPr>
          <w:sz w:val="20"/>
          <w:szCs w:val="20"/>
          <w:color w:val="auto"/>
        </w:rPr>
      </w:pPr>
      <w:r>
        <w:rPr>
          <w:rFonts w:ascii="Arial" w:cs="Arial" w:eastAsia="Arial" w:hAnsi="Arial"/>
          <w:sz w:val="18"/>
          <w:szCs w:val="18"/>
          <w:color w:val="auto"/>
        </w:rPr>
        <w:t>Our Board recommends that stockholders vote in favor of the following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“Resolved, that our stockholders approve, on an advisory basis, the compensation of our Company’s named executive officers, as disclosed pursuant to the compensation disclosure rules of the U.S. Securities and Exchange Commission, including the Compensation Discussion and Analysis, the compensation tables and the accompanying narrative discussion disclosed in this proxy statement.”</w:t>
      </w:r>
    </w:p>
    <w:p>
      <w:pPr>
        <w:spacing w:after="0" w:line="295" w:lineRule="exact"/>
        <w:rPr>
          <w:sz w:val="20"/>
          <w:szCs w:val="20"/>
          <w:color w:val="auto"/>
        </w:rPr>
      </w:pPr>
    </w:p>
    <w:p>
      <w:pPr>
        <w:sectPr>
          <w:pgSz w:w="11900" w:h="16838" w:orient="portrait"/>
          <w:cols w:equalWidth="0" w:num="2">
            <w:col w:w="5260" w:space="720"/>
            <w:col w:w="3980"/>
          </w:cols>
          <w:pgMar w:left="580" w:top="97" w:right="1359" w:bottom="1440" w:gutter="0" w:footer="0" w:header="0"/>
          <w:type w:val="continuous"/>
        </w:sectPr>
      </w:pPr>
    </w:p>
    <w:tbl>
      <w:tblPr>
        <w:tblLayout w:type="fixed"/>
        <w:tblInd w:w="790" w:type="dxa"/>
        <w:tblCellMar>
          <w:top w:w="0" w:type="dxa"/>
          <w:left w:w="0" w:type="dxa"/>
          <w:bottom w:w="0" w:type="dxa"/>
          <w:right w:w="0" w:type="dxa"/>
        </w:tblCellMar>
      </w:tblPr>
      <w:tr>
        <w:trPr>
          <w:trHeight w:val="176"/>
        </w:trPr>
        <w:tc>
          <w:tcPr>
            <w:tcW w:w="480" w:type="dxa"/>
            <w:vAlign w:val="bottom"/>
            <w:tcBorders>
              <w:top w:val="single" w:sz="8" w:color="BF5B5A"/>
              <w:left w:val="single" w:sz="8" w:color="BF5B5A"/>
            </w:tcBorders>
          </w:tcPr>
          <w:p>
            <w:pPr>
              <w:ind w:left="20"/>
              <w:spacing w:after="0" w:line="176" w:lineRule="exact"/>
              <w:rPr>
                <w:sz w:val="20"/>
                <w:szCs w:val="20"/>
                <w:color w:val="auto"/>
              </w:rPr>
            </w:pPr>
            <w:r>
              <w:rPr>
                <w:rFonts w:ascii="Arial" w:cs="Arial" w:eastAsia="Arial" w:hAnsi="Arial"/>
                <w:sz w:val="18"/>
                <w:szCs w:val="18"/>
                <w:b w:val="1"/>
                <w:bCs w:val="1"/>
                <w:color w:val="auto"/>
              </w:rPr>
              <w:t>​</w:t>
            </w:r>
          </w:p>
        </w:tc>
        <w:tc>
          <w:tcPr>
            <w:tcW w:w="8560" w:type="dxa"/>
            <w:vAlign w:val="bottom"/>
            <w:tcBorders>
              <w:top w:val="single" w:sz="8" w:color="BF5B5A"/>
            </w:tcBorders>
          </w:tcPr>
          <w:p>
            <w:pPr>
              <w:ind w:left="400"/>
              <w:spacing w:after="0" w:line="176"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BF5B5A"/>
              <w:right w:val="single" w:sz="8" w:color="BF5B5A"/>
            </w:tcBorders>
          </w:tcPr>
          <w:p>
            <w:pPr>
              <w:ind w:left="80"/>
              <w:spacing w:after="0" w:line="176" w:lineRule="exact"/>
              <w:rPr>
                <w:sz w:val="20"/>
                <w:szCs w:val="20"/>
                <w:color w:val="auto"/>
              </w:rPr>
            </w:pPr>
            <w:r>
              <w:rPr>
                <w:rFonts w:ascii="Arial" w:cs="Arial" w:eastAsia="Arial" w:hAnsi="Arial"/>
                <w:sz w:val="18"/>
                <w:szCs w:val="18"/>
                <w:b w:val="1"/>
                <w:bCs w:val="1"/>
                <w:color w:val="auto"/>
              </w:rPr>
              <w:t>​</w:t>
            </w:r>
          </w:p>
        </w:tc>
      </w:tr>
      <w:tr>
        <w:trPr>
          <w:trHeight w:val="197"/>
        </w:trPr>
        <w:tc>
          <w:tcPr>
            <w:tcW w:w="480" w:type="dxa"/>
            <w:vAlign w:val="bottom"/>
            <w:tcBorders>
              <w:left w:val="single" w:sz="8" w:color="BF5B5A"/>
            </w:tcBorders>
          </w:tcPr>
          <w:p>
            <w:pPr>
              <w:spacing w:after="0"/>
              <w:rPr>
                <w:sz w:val="17"/>
                <w:szCs w:val="17"/>
                <w:color w:val="auto"/>
              </w:rPr>
            </w:pPr>
          </w:p>
        </w:tc>
        <w:tc>
          <w:tcPr>
            <w:tcW w:w="8560" w:type="dxa"/>
            <w:vAlign w:val="bottom"/>
          </w:tcPr>
          <w:p>
            <w:pPr>
              <w:ind w:left="400"/>
              <w:spacing w:after="0" w:line="197" w:lineRule="exact"/>
              <w:rPr>
                <w:sz w:val="20"/>
                <w:szCs w:val="20"/>
                <w:color w:val="auto"/>
              </w:rPr>
            </w:pPr>
            <w:r>
              <w:rPr>
                <w:rFonts w:ascii="Arial" w:cs="Arial" w:eastAsia="Arial" w:hAnsi="Arial"/>
                <w:sz w:val="18"/>
                <w:szCs w:val="18"/>
                <w:b w:val="1"/>
                <w:bCs w:val="1"/>
                <w:color w:val="auto"/>
                <w:w w:val="97"/>
              </w:rPr>
              <w:t xml:space="preserve">Our Board recommends a vote </w:t>
            </w:r>
            <w:r>
              <w:rPr>
                <w:rFonts w:ascii="Arial" w:cs="Arial" w:eastAsia="Arial" w:hAnsi="Arial"/>
                <w:sz w:val="19"/>
                <w:szCs w:val="19"/>
                <w:b w:val="1"/>
                <w:bCs w:val="1"/>
                <w:color w:val="BF5B5A"/>
                <w:w w:val="97"/>
              </w:rPr>
              <w:t>FOR</w:t>
            </w:r>
            <w:r>
              <w:rPr>
                <w:rFonts w:ascii="Arial" w:cs="Arial" w:eastAsia="Arial" w:hAnsi="Arial"/>
                <w:sz w:val="18"/>
                <w:szCs w:val="18"/>
                <w:b w:val="1"/>
                <w:bCs w:val="1"/>
                <w:color w:val="auto"/>
                <w:w w:val="97"/>
              </w:rPr>
              <w:t xml:space="preserve"> our executive compensation (an advisory, non-binding “say-</w:t>
            </w:r>
          </w:p>
        </w:tc>
        <w:tc>
          <w:tcPr>
            <w:tcW w:w="140" w:type="dxa"/>
            <w:vAlign w:val="bottom"/>
            <w:tcBorders>
              <w:right w:val="single" w:sz="8" w:color="BF5B5A"/>
            </w:tcBorders>
          </w:tcPr>
          <w:p>
            <w:pPr>
              <w:spacing w:after="0"/>
              <w:rPr>
                <w:sz w:val="17"/>
                <w:szCs w:val="17"/>
                <w:color w:val="auto"/>
              </w:rPr>
            </w:pPr>
          </w:p>
        </w:tc>
      </w:tr>
      <w:tr>
        <w:trPr>
          <w:trHeight w:val="247"/>
        </w:trPr>
        <w:tc>
          <w:tcPr>
            <w:tcW w:w="480" w:type="dxa"/>
            <w:vAlign w:val="bottom"/>
            <w:tcBorders>
              <w:left w:val="single" w:sz="8" w:color="BF5B5A"/>
            </w:tcBorders>
          </w:tcPr>
          <w:p>
            <w:pPr>
              <w:spacing w:after="0"/>
              <w:rPr>
                <w:sz w:val="21"/>
                <w:szCs w:val="21"/>
                <w:color w:val="auto"/>
              </w:rPr>
            </w:pPr>
          </w:p>
        </w:tc>
        <w:tc>
          <w:tcPr>
            <w:tcW w:w="8560" w:type="dxa"/>
            <w:vAlign w:val="bottom"/>
          </w:tcPr>
          <w:p>
            <w:pPr>
              <w:ind w:left="400"/>
              <w:spacing w:after="0"/>
              <w:rPr>
                <w:sz w:val="20"/>
                <w:szCs w:val="20"/>
                <w:color w:val="auto"/>
              </w:rPr>
            </w:pPr>
            <w:r>
              <w:rPr>
                <w:rFonts w:ascii="Arial" w:cs="Arial" w:eastAsia="Arial" w:hAnsi="Arial"/>
                <w:sz w:val="18"/>
                <w:szCs w:val="18"/>
                <w:b w:val="1"/>
                <w:bCs w:val="1"/>
                <w:color w:val="auto"/>
              </w:rPr>
              <w:t>on-pay” resolution).</w:t>
            </w:r>
          </w:p>
        </w:tc>
        <w:tc>
          <w:tcPr>
            <w:tcW w:w="140" w:type="dxa"/>
            <w:vAlign w:val="bottom"/>
            <w:tcBorders>
              <w:right w:val="single" w:sz="8" w:color="BF5B5A"/>
            </w:tcBorders>
          </w:tcPr>
          <w:p>
            <w:pPr>
              <w:spacing w:after="0"/>
              <w:rPr>
                <w:sz w:val="21"/>
                <w:szCs w:val="21"/>
                <w:color w:val="auto"/>
              </w:rPr>
            </w:pPr>
          </w:p>
        </w:tc>
      </w:tr>
      <w:tr>
        <w:trPr>
          <w:trHeight w:val="96"/>
        </w:trPr>
        <w:tc>
          <w:tcPr>
            <w:tcW w:w="480" w:type="dxa"/>
            <w:vAlign w:val="bottom"/>
            <w:tcBorders>
              <w:left w:val="single" w:sz="8" w:color="BF5B5A"/>
              <w:bottom w:val="single" w:sz="8" w:color="BF5B5A"/>
            </w:tcBorders>
          </w:tcPr>
          <w:p>
            <w:pPr>
              <w:spacing w:after="0"/>
              <w:rPr>
                <w:sz w:val="8"/>
                <w:szCs w:val="8"/>
                <w:color w:val="auto"/>
              </w:rPr>
            </w:pPr>
          </w:p>
        </w:tc>
        <w:tc>
          <w:tcPr>
            <w:tcW w:w="8560" w:type="dxa"/>
            <w:vAlign w:val="bottom"/>
            <w:tcBorders>
              <w:bottom w:val="single" w:sz="8" w:color="BF5B5A"/>
            </w:tcBorders>
          </w:tcPr>
          <w:p>
            <w:pPr>
              <w:spacing w:after="0"/>
              <w:rPr>
                <w:sz w:val="8"/>
                <w:szCs w:val="8"/>
                <w:color w:val="auto"/>
              </w:rPr>
            </w:pPr>
          </w:p>
        </w:tc>
        <w:tc>
          <w:tcPr>
            <w:tcW w:w="140" w:type="dxa"/>
            <w:vAlign w:val="bottom"/>
            <w:tcBorders>
              <w:bottom w:val="single" w:sz="8" w:color="BF5B5A"/>
              <w:right w:val="single" w:sz="8" w:color="BF5B5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-368300</wp:posOffset>
            </wp:positionV>
            <wp:extent cx="248285" cy="2489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39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77" w:lineRule="exact"/>
        <w:rPr>
          <w:sz w:val="20"/>
          <w:szCs w:val="20"/>
          <w:color w:val="auto"/>
        </w:rPr>
      </w:pPr>
    </w:p>
    <w:p>
      <w:pPr>
        <w:ind w:left="780" w:right="200"/>
        <w:spacing w:after="0" w:line="283" w:lineRule="auto"/>
        <w:rPr>
          <w:sz w:val="20"/>
          <w:szCs w:val="20"/>
          <w:color w:val="auto"/>
        </w:rPr>
      </w:pPr>
      <w:r>
        <w:rPr>
          <w:rFonts w:ascii="Arial" w:cs="Arial" w:eastAsia="Arial" w:hAnsi="Arial"/>
          <w:sz w:val="18"/>
          <w:szCs w:val="18"/>
          <w:color w:val="auto"/>
        </w:rPr>
        <w:t>The Compensation Discussion and Analysis (“CD&amp;A”) describes the 2023 compensation program for our Named Executive Officers (“NEOs”). The CD&amp;A provides an overview of our NEO pay programs and policies, the robust oversight provided by our Compensation Committee and the process by which the Committee, management, and the Company’s independent advisors collaborate to support the Committee goals.</w:t>
      </w:r>
    </w:p>
    <w:p>
      <w:pPr>
        <w:spacing w:after="0" w:line="27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NAMED EXECUTIVE OFFICERS</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2023 NEOs were:</w:t>
      </w:r>
    </w:p>
    <w:p>
      <w:pPr>
        <w:spacing w:after="0" w:line="230"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960" w:type="dxa"/>
            <w:vAlign w:val="bottom"/>
            <w:shd w:val="clear" w:color="auto" w:fill="BF5B5A"/>
          </w:tcPr>
          <w:p>
            <w:pPr>
              <w:ind w:left="20"/>
              <w:spacing w:after="0"/>
              <w:rPr>
                <w:sz w:val="20"/>
                <w:szCs w:val="20"/>
                <w:color w:val="auto"/>
              </w:rPr>
            </w:pPr>
            <w:r>
              <w:rPr>
                <w:rFonts w:ascii="Arial" w:cs="Arial" w:eastAsia="Arial" w:hAnsi="Arial"/>
                <w:sz w:val="14"/>
                <w:szCs w:val="14"/>
                <w:b w:val="1"/>
                <w:bCs w:val="1"/>
                <w:color w:val="FFFFFF"/>
              </w:rPr>
              <w:t>ROBERT S.</w:t>
            </w:r>
          </w:p>
        </w:tc>
        <w:tc>
          <w:tcPr>
            <w:tcW w:w="220" w:type="dxa"/>
            <w:vAlign w:val="bottom"/>
            <w:shd w:val="clear" w:color="auto" w:fill="FEFEFE"/>
          </w:tcPr>
          <w:p>
            <w:pPr>
              <w:spacing w:after="0"/>
              <w:rPr>
                <w:sz w:val="20"/>
                <w:szCs w:val="20"/>
                <w:color w:val="auto"/>
              </w:rPr>
            </w:pPr>
          </w:p>
        </w:tc>
        <w:tc>
          <w:tcPr>
            <w:tcW w:w="1020" w:type="dxa"/>
            <w:vAlign w:val="bottom"/>
            <w:gridSpan w:val="2"/>
            <w:shd w:val="clear" w:color="auto" w:fill="BF5B5A"/>
          </w:tcPr>
          <w:p>
            <w:pPr>
              <w:ind w:left="120"/>
              <w:spacing w:after="0"/>
              <w:rPr>
                <w:sz w:val="20"/>
                <w:szCs w:val="20"/>
                <w:color w:val="auto"/>
              </w:rPr>
            </w:pPr>
            <w:r>
              <w:rPr>
                <w:rFonts w:ascii="Arial" w:cs="Arial" w:eastAsia="Arial" w:hAnsi="Arial"/>
                <w:sz w:val="14"/>
                <w:szCs w:val="14"/>
                <w:b w:val="1"/>
                <w:bCs w:val="1"/>
                <w:color w:val="FFFFFF"/>
              </w:rPr>
              <w:t>JAMES M.</w:t>
            </w:r>
          </w:p>
        </w:tc>
        <w:tc>
          <w:tcPr>
            <w:tcW w:w="220" w:type="dxa"/>
            <w:vAlign w:val="bottom"/>
            <w:shd w:val="clear" w:color="auto" w:fill="FEFEFE"/>
          </w:tcPr>
          <w:p>
            <w:pPr>
              <w:spacing w:after="0"/>
              <w:rPr>
                <w:sz w:val="20"/>
                <w:szCs w:val="20"/>
                <w:color w:val="auto"/>
              </w:rPr>
            </w:pPr>
          </w:p>
        </w:tc>
        <w:tc>
          <w:tcPr>
            <w:tcW w:w="1400" w:type="dxa"/>
            <w:vAlign w:val="bottom"/>
            <w:shd w:val="clear" w:color="auto" w:fill="BF5B5A"/>
          </w:tcPr>
          <w:p>
            <w:pPr>
              <w:ind w:left="100"/>
              <w:spacing w:after="0"/>
              <w:rPr>
                <w:sz w:val="20"/>
                <w:szCs w:val="20"/>
                <w:color w:val="auto"/>
              </w:rPr>
            </w:pPr>
            <w:r>
              <w:rPr>
                <w:rFonts w:ascii="Arial" w:cs="Arial" w:eastAsia="Arial" w:hAnsi="Arial"/>
                <w:sz w:val="14"/>
                <w:szCs w:val="14"/>
                <w:b w:val="1"/>
                <w:bCs w:val="1"/>
                <w:color w:val="FFFFFF"/>
              </w:rPr>
              <w:t>CHRISTOPHER L.</w:t>
            </w:r>
          </w:p>
        </w:tc>
        <w:tc>
          <w:tcPr>
            <w:tcW w:w="220" w:type="dxa"/>
            <w:vAlign w:val="bottom"/>
            <w:shd w:val="clear" w:color="auto" w:fill="FEFEFE"/>
          </w:tcPr>
          <w:p>
            <w:pPr>
              <w:spacing w:after="0"/>
              <w:rPr>
                <w:sz w:val="20"/>
                <w:szCs w:val="20"/>
                <w:color w:val="auto"/>
              </w:rPr>
            </w:pPr>
          </w:p>
        </w:tc>
        <w:tc>
          <w:tcPr>
            <w:tcW w:w="1140" w:type="dxa"/>
            <w:vAlign w:val="bottom"/>
            <w:shd w:val="clear" w:color="auto" w:fill="BF5B5A"/>
          </w:tcPr>
          <w:p>
            <w:pPr>
              <w:ind w:left="120"/>
              <w:spacing w:after="0"/>
              <w:rPr>
                <w:sz w:val="20"/>
                <w:szCs w:val="20"/>
                <w:color w:val="auto"/>
              </w:rPr>
            </w:pPr>
            <w:r>
              <w:rPr>
                <w:rFonts w:ascii="Arial" w:cs="Arial" w:eastAsia="Arial" w:hAnsi="Arial"/>
                <w:sz w:val="14"/>
                <w:szCs w:val="14"/>
                <w:b w:val="1"/>
                <w:bCs w:val="1"/>
                <w:color w:val="FFFFFF"/>
              </w:rPr>
              <w:t>ALAN H.</w:t>
            </w:r>
          </w:p>
        </w:tc>
        <w:tc>
          <w:tcPr>
            <w:tcW w:w="220" w:type="dxa"/>
            <w:vAlign w:val="bottom"/>
            <w:shd w:val="clear" w:color="auto" w:fill="FEFEFE"/>
          </w:tcPr>
          <w:p>
            <w:pPr>
              <w:spacing w:after="0"/>
              <w:rPr>
                <w:sz w:val="20"/>
                <w:szCs w:val="20"/>
                <w:color w:val="auto"/>
              </w:rPr>
            </w:pPr>
          </w:p>
        </w:tc>
        <w:tc>
          <w:tcPr>
            <w:tcW w:w="1080" w:type="dxa"/>
            <w:vAlign w:val="bottom"/>
            <w:shd w:val="clear" w:color="auto" w:fill="BF5B5A"/>
          </w:tcPr>
          <w:p>
            <w:pPr>
              <w:ind w:left="100"/>
              <w:spacing w:after="0"/>
              <w:rPr>
                <w:sz w:val="20"/>
                <w:szCs w:val="20"/>
                <w:color w:val="auto"/>
              </w:rPr>
            </w:pPr>
            <w:r>
              <w:rPr>
                <w:rFonts w:ascii="Arial" w:cs="Arial" w:eastAsia="Arial" w:hAnsi="Arial"/>
                <w:sz w:val="14"/>
                <w:szCs w:val="14"/>
                <w:b w:val="1"/>
                <w:bCs w:val="1"/>
                <w:color w:val="FFFFFF"/>
              </w:rPr>
              <w:t>NEILL A.</w:t>
            </w:r>
          </w:p>
        </w:tc>
        <w:tc>
          <w:tcPr>
            <w:tcW w:w="220" w:type="dxa"/>
            <w:vAlign w:val="bottom"/>
            <w:shd w:val="clear" w:color="auto" w:fill="FEFEFE"/>
          </w:tcPr>
          <w:p>
            <w:pPr>
              <w:spacing w:after="0"/>
              <w:rPr>
                <w:sz w:val="20"/>
                <w:szCs w:val="20"/>
                <w:color w:val="auto"/>
              </w:rPr>
            </w:pPr>
          </w:p>
        </w:tc>
        <w:tc>
          <w:tcPr>
            <w:tcW w:w="1140" w:type="dxa"/>
            <w:vAlign w:val="bottom"/>
            <w:shd w:val="clear" w:color="auto" w:fill="BF5B5A"/>
          </w:tcPr>
          <w:p>
            <w:pPr>
              <w:ind w:left="120"/>
              <w:spacing w:after="0"/>
              <w:rPr>
                <w:sz w:val="20"/>
                <w:szCs w:val="20"/>
                <w:color w:val="auto"/>
              </w:rPr>
            </w:pPr>
            <w:r>
              <w:rPr>
                <w:rFonts w:ascii="Arial" w:cs="Arial" w:eastAsia="Arial" w:hAnsi="Arial"/>
                <w:sz w:val="14"/>
                <w:szCs w:val="14"/>
                <w:b w:val="1"/>
                <w:bCs w:val="1"/>
                <w:color w:val="FFFFFF"/>
              </w:rPr>
              <w:t>RALPH M.</w:t>
            </w:r>
          </w:p>
        </w:tc>
        <w:tc>
          <w:tcPr>
            <w:tcW w:w="220" w:type="dxa"/>
            <w:vAlign w:val="bottom"/>
            <w:shd w:val="clear" w:color="auto" w:fill="FEFEFE"/>
          </w:tcPr>
          <w:p>
            <w:pPr>
              <w:spacing w:after="0"/>
              <w:rPr>
                <w:sz w:val="20"/>
                <w:szCs w:val="20"/>
                <w:color w:val="auto"/>
              </w:rPr>
            </w:pPr>
          </w:p>
        </w:tc>
        <w:tc>
          <w:tcPr>
            <w:tcW w:w="1060" w:type="dxa"/>
            <w:vAlign w:val="bottom"/>
            <w:shd w:val="clear" w:color="auto" w:fill="BF5B5A"/>
          </w:tcPr>
          <w:p>
            <w:pPr>
              <w:ind w:left="100"/>
              <w:spacing w:after="0"/>
              <w:rPr>
                <w:sz w:val="20"/>
                <w:szCs w:val="20"/>
                <w:color w:val="auto"/>
              </w:rPr>
            </w:pPr>
            <w:r>
              <w:rPr>
                <w:rFonts w:ascii="Arial" w:cs="Arial" w:eastAsia="Arial" w:hAnsi="Arial"/>
                <w:sz w:val="14"/>
                <w:szCs w:val="14"/>
                <w:b w:val="1"/>
                <w:bCs w:val="1"/>
                <w:color w:val="FFFFFF"/>
              </w:rPr>
              <w:t>LANCE A.</w:t>
            </w:r>
          </w:p>
        </w:tc>
        <w:tc>
          <w:tcPr>
            <w:tcW w:w="60" w:type="dxa"/>
            <w:vAlign w:val="bottom"/>
            <w:shd w:val="clear" w:color="auto" w:fill="BF5B5A"/>
          </w:tcPr>
          <w:p>
            <w:pPr>
              <w:spacing w:after="0"/>
              <w:rPr>
                <w:sz w:val="20"/>
                <w:szCs w:val="20"/>
                <w:color w:val="auto"/>
              </w:rPr>
            </w:pPr>
          </w:p>
        </w:tc>
      </w:tr>
      <w:tr>
        <w:trPr>
          <w:trHeight w:val="171"/>
        </w:trPr>
        <w:tc>
          <w:tcPr>
            <w:tcW w:w="960" w:type="dxa"/>
            <w:vAlign w:val="bottom"/>
            <w:shd w:val="clear" w:color="auto" w:fill="BF5B5A"/>
          </w:tcPr>
          <w:p>
            <w:pPr>
              <w:spacing w:after="0"/>
              <w:rPr>
                <w:sz w:val="20"/>
                <w:szCs w:val="20"/>
                <w:color w:val="auto"/>
              </w:rPr>
            </w:pPr>
            <w:r>
              <w:rPr>
                <w:rFonts w:ascii="Arial" w:cs="Arial" w:eastAsia="Arial" w:hAnsi="Arial"/>
                <w:sz w:val="14"/>
                <w:szCs w:val="14"/>
                <w:b w:val="1"/>
                <w:bCs w:val="1"/>
                <w:color w:val="FFFFFF"/>
              </w:rPr>
              <w:t>​HARRISON</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4"/>
                <w:szCs w:val="14"/>
                <w:b w:val="1"/>
                <w:bCs w:val="1"/>
                <w:color w:val="FFFFFF"/>
              </w:rPr>
              <w:t>​</w:t>
            </w:r>
          </w:p>
        </w:tc>
        <w:tc>
          <w:tcPr>
            <w:tcW w:w="1020" w:type="dxa"/>
            <w:vAlign w:val="bottom"/>
            <w:gridSpan w:val="2"/>
            <w:shd w:val="clear" w:color="auto" w:fill="BF5B5A"/>
          </w:tcPr>
          <w:p>
            <w:pPr>
              <w:spacing w:after="0"/>
              <w:rPr>
                <w:sz w:val="20"/>
                <w:szCs w:val="20"/>
                <w:color w:val="auto"/>
              </w:rPr>
            </w:pPr>
            <w:r>
              <w:rPr>
                <w:rFonts w:ascii="Arial" w:cs="Arial" w:eastAsia="Arial" w:hAnsi="Arial"/>
                <w:sz w:val="14"/>
                <w:szCs w:val="14"/>
                <w:b w:val="1"/>
                <w:bCs w:val="1"/>
                <w:color w:val="FFFFFF"/>
              </w:rPr>
              <w:t>​ MOSES</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BF5B5A"/>
          </w:tcPr>
          <w:p>
            <w:pPr>
              <w:spacing w:after="0"/>
              <w:rPr>
                <w:sz w:val="20"/>
                <w:szCs w:val="20"/>
                <w:color w:val="auto"/>
              </w:rPr>
            </w:pPr>
            <w:r>
              <w:rPr>
                <w:rFonts w:ascii="Arial" w:cs="Arial" w:eastAsia="Arial" w:hAnsi="Arial"/>
                <w:sz w:val="14"/>
                <w:szCs w:val="14"/>
                <w:b w:val="1"/>
                <w:bCs w:val="1"/>
                <w:color w:val="FFFFFF"/>
              </w:rPr>
              <w:t>​ DODS</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BF5B5A"/>
          </w:tcPr>
          <w:p>
            <w:pPr>
              <w:ind w:left="20"/>
              <w:spacing w:after="0"/>
              <w:rPr>
                <w:sz w:val="20"/>
                <w:szCs w:val="20"/>
                <w:color w:val="auto"/>
              </w:rPr>
            </w:pPr>
            <w:r>
              <w:rPr>
                <w:rFonts w:ascii="Arial" w:cs="Arial" w:eastAsia="Arial" w:hAnsi="Arial"/>
                <w:sz w:val="14"/>
                <w:szCs w:val="14"/>
                <w:b w:val="1"/>
                <w:bCs w:val="1"/>
                <w:color w:val="FFFFFF"/>
              </w:rPr>
              <w:t>​ ARIZUMI</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BF5B5A"/>
          </w:tcPr>
          <w:p>
            <w:pPr>
              <w:spacing w:after="0"/>
              <w:rPr>
                <w:sz w:val="20"/>
                <w:szCs w:val="20"/>
                <w:color w:val="auto"/>
              </w:rPr>
            </w:pPr>
            <w:r>
              <w:rPr>
                <w:rFonts w:ascii="Arial" w:cs="Arial" w:eastAsia="Arial" w:hAnsi="Arial"/>
                <w:sz w:val="14"/>
                <w:szCs w:val="14"/>
                <w:b w:val="1"/>
                <w:bCs w:val="1"/>
                <w:color w:val="FFFFFF"/>
              </w:rPr>
              <w:t>​ CHAR</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BF5B5A"/>
          </w:tcPr>
          <w:p>
            <w:pPr>
              <w:spacing w:after="0" w:line="172" w:lineRule="exact"/>
              <w:rPr>
                <w:sz w:val="20"/>
                <w:szCs w:val="20"/>
                <w:color w:val="auto"/>
              </w:rPr>
            </w:pPr>
            <w:r>
              <w:rPr>
                <w:rFonts w:ascii="Arial" w:cs="Arial" w:eastAsia="Arial" w:hAnsi="Arial"/>
                <w:sz w:val="14"/>
                <w:szCs w:val="14"/>
                <w:b w:val="1"/>
                <w:bCs w:val="1"/>
                <w:color w:val="FFFFFF"/>
              </w:rPr>
              <w:t>​ MESICK</w:t>
            </w:r>
            <w:r>
              <w:rPr>
                <w:rFonts w:ascii="Arial" w:cs="Arial" w:eastAsia="Arial" w:hAnsi="Arial"/>
                <w:sz w:val="17"/>
                <w:szCs w:val="17"/>
                <w:b w:val="1"/>
                <w:bCs w:val="1"/>
                <w:color w:val="FFFFFF"/>
                <w:vertAlign w:val="superscript"/>
              </w:rPr>
              <w:t>(1)</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BF5B5A"/>
          </w:tcPr>
          <w:p>
            <w:pPr>
              <w:spacing w:after="0" w:line="172" w:lineRule="exact"/>
              <w:rPr>
                <w:sz w:val="20"/>
                <w:szCs w:val="20"/>
                <w:color w:val="auto"/>
              </w:rPr>
            </w:pPr>
            <w:r>
              <w:rPr>
                <w:rFonts w:ascii="Arial" w:cs="Arial" w:eastAsia="Arial" w:hAnsi="Arial"/>
                <w:sz w:val="14"/>
                <w:szCs w:val="14"/>
                <w:b w:val="1"/>
                <w:bCs w:val="1"/>
                <w:color w:val="FFFFFF"/>
              </w:rPr>
              <w:t>​ MIZUMOTO</w:t>
            </w:r>
            <w:r>
              <w:rPr>
                <w:rFonts w:ascii="Arial" w:cs="Arial" w:eastAsia="Arial" w:hAnsi="Arial"/>
                <w:sz w:val="17"/>
                <w:szCs w:val="17"/>
                <w:b w:val="1"/>
                <w:bCs w:val="1"/>
                <w:color w:val="FFFFFF"/>
                <w:vertAlign w:val="superscript"/>
              </w:rPr>
              <w:t>(2)</w:t>
            </w:r>
          </w:p>
        </w:tc>
        <w:tc>
          <w:tcPr>
            <w:tcW w:w="60" w:type="dxa"/>
            <w:vAlign w:val="bottom"/>
            <w:shd w:val="clear" w:color="auto" w:fill="BF5B5A"/>
          </w:tcPr>
          <w:p>
            <w:pPr>
              <w:spacing w:after="0"/>
              <w:rPr>
                <w:sz w:val="20"/>
                <w:szCs w:val="20"/>
                <w:color w:val="auto"/>
              </w:rPr>
            </w:pPr>
            <w:r>
              <w:rPr>
                <w:rFonts w:ascii="Arial" w:cs="Arial" w:eastAsia="Arial" w:hAnsi="Arial"/>
                <w:sz w:val="14"/>
                <w:szCs w:val="14"/>
                <w:b w:val="1"/>
                <w:bCs w:val="1"/>
                <w:color w:val="FFFFFF"/>
              </w:rPr>
              <w:t>​</w:t>
            </w:r>
          </w:p>
        </w:tc>
      </w:tr>
      <w:tr>
        <w:trPr>
          <w:trHeight w:val="203"/>
        </w:trPr>
        <w:tc>
          <w:tcPr>
            <w:tcW w:w="960" w:type="dxa"/>
            <w:vAlign w:val="bottom"/>
          </w:tcPr>
          <w:p>
            <w:pPr>
              <w:spacing w:after="0"/>
              <w:rPr>
                <w:sz w:val="20"/>
                <w:szCs w:val="20"/>
                <w:color w:val="auto"/>
              </w:rPr>
            </w:pPr>
            <w:r>
              <w:rPr>
                <w:rFonts w:ascii="Arial" w:cs="Arial" w:eastAsia="Arial" w:hAnsi="Arial"/>
                <w:sz w:val="15"/>
                <w:szCs w:val="15"/>
                <w:color w:val="auto"/>
              </w:rPr>
              <w:t>​Chairman,</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spacing w:after="0"/>
              <w:rPr>
                <w:sz w:val="20"/>
                <w:szCs w:val="20"/>
                <w:color w:val="auto"/>
              </w:rPr>
            </w:pPr>
            <w:r>
              <w:rPr>
                <w:rFonts w:ascii="Arial" w:cs="Arial" w:eastAsia="Arial" w:hAnsi="Arial"/>
                <w:sz w:val="15"/>
                <w:szCs w:val="15"/>
                <w:color w:val="auto"/>
              </w:rPr>
              <w:t>​ Vice</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0"/>
                <w:szCs w:val="20"/>
                <w:color w:val="auto"/>
              </w:rPr>
            </w:pPr>
            <w:r>
              <w:rPr>
                <w:rFonts w:ascii="Arial" w:cs="Arial" w:eastAsia="Arial" w:hAnsi="Arial"/>
                <w:sz w:val="15"/>
                <w:szCs w:val="15"/>
                <w:color w:val="auto"/>
              </w:rPr>
              <w:t>​ Vice Chairman and</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140" w:type="dxa"/>
            <w:vAlign w:val="bottom"/>
          </w:tcPr>
          <w:p>
            <w:pPr>
              <w:ind w:left="20"/>
              <w:spacing w:after="0"/>
              <w:rPr>
                <w:sz w:val="20"/>
                <w:szCs w:val="20"/>
                <w:color w:val="auto"/>
              </w:rPr>
            </w:pPr>
            <w:r>
              <w:rPr>
                <w:rFonts w:ascii="Arial" w:cs="Arial" w:eastAsia="Arial" w:hAnsi="Arial"/>
                <w:sz w:val="15"/>
                <w:szCs w:val="15"/>
                <w:color w:val="auto"/>
              </w:rPr>
              <w:t>​ Vice</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20"/>
                <w:szCs w:val="20"/>
                <w:color w:val="auto"/>
              </w:rPr>
            </w:pPr>
            <w:r>
              <w:rPr>
                <w:rFonts w:ascii="Arial" w:cs="Arial" w:eastAsia="Arial" w:hAnsi="Arial"/>
                <w:sz w:val="15"/>
                <w:szCs w:val="15"/>
                <w:color w:val="auto"/>
              </w:rPr>
              <w:t>​ Vice</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20"/>
                <w:szCs w:val="20"/>
                <w:color w:val="auto"/>
              </w:rPr>
            </w:pPr>
            <w:r>
              <w:rPr>
                <w:rFonts w:ascii="Arial" w:cs="Arial" w:eastAsia="Arial" w:hAnsi="Arial"/>
                <w:sz w:val="15"/>
                <w:szCs w:val="15"/>
                <w:color w:val="auto"/>
              </w:rPr>
              <w:t>​ Former Vice</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20"/>
                <w:szCs w:val="20"/>
                <w:color w:val="auto"/>
              </w:rPr>
            </w:pPr>
            <w:r>
              <w:rPr>
                <w:rFonts w:ascii="Arial" w:cs="Arial" w:eastAsia="Arial" w:hAnsi="Arial"/>
                <w:sz w:val="15"/>
                <w:szCs w:val="15"/>
                <w:color w:val="auto"/>
              </w:rPr>
              <w:t>​ Former Vice</w:t>
            </w:r>
          </w:p>
        </w:tc>
        <w:tc>
          <w:tcPr>
            <w:tcW w:w="60" w:type="dxa"/>
            <w:vAlign w:val="bottom"/>
          </w:tcPr>
          <w:p>
            <w:pPr>
              <w:spacing w:after="0"/>
              <w:rPr>
                <w:sz w:val="20"/>
                <w:szCs w:val="20"/>
                <w:color w:val="auto"/>
              </w:rPr>
            </w:pPr>
            <w:r>
              <w:rPr>
                <w:rFonts w:ascii="Arial" w:cs="Arial" w:eastAsia="Arial" w:hAnsi="Arial"/>
                <w:sz w:val="15"/>
                <w:szCs w:val="15"/>
                <w:color w:val="auto"/>
              </w:rPr>
              <w:t>​</w:t>
            </w:r>
          </w:p>
        </w:tc>
      </w:tr>
      <w:tr>
        <w:trPr>
          <w:trHeight w:val="203"/>
        </w:trPr>
        <w:tc>
          <w:tcPr>
            <w:tcW w:w="960" w:type="dxa"/>
            <w:vAlign w:val="bottom"/>
          </w:tcPr>
          <w:p>
            <w:pPr>
              <w:ind w:left="20"/>
              <w:spacing w:after="0"/>
              <w:rPr>
                <w:sz w:val="20"/>
                <w:szCs w:val="20"/>
                <w:color w:val="auto"/>
              </w:rPr>
            </w:pPr>
            <w:r>
              <w:rPr>
                <w:rFonts w:ascii="Arial" w:cs="Arial" w:eastAsia="Arial" w:hAnsi="Arial"/>
                <w:sz w:val="15"/>
                <w:szCs w:val="15"/>
                <w:color w:val="auto"/>
              </w:rPr>
              <w:t>President</w:t>
            </w: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Chairman</w:t>
            </w:r>
          </w:p>
        </w:tc>
        <w:tc>
          <w:tcPr>
            <w:tcW w:w="220" w:type="dxa"/>
            <w:vAlign w:val="bottom"/>
          </w:tcPr>
          <w:p>
            <w:pPr>
              <w:spacing w:after="0"/>
              <w:rPr>
                <w:sz w:val="17"/>
                <w:szCs w:val="17"/>
                <w:color w:val="auto"/>
              </w:rPr>
            </w:pPr>
          </w:p>
        </w:tc>
        <w:tc>
          <w:tcPr>
            <w:tcW w:w="1400" w:type="dxa"/>
            <w:vAlign w:val="bottom"/>
          </w:tcPr>
          <w:p>
            <w:pPr>
              <w:ind w:left="60"/>
              <w:spacing w:after="0"/>
              <w:rPr>
                <w:sz w:val="20"/>
                <w:szCs w:val="20"/>
                <w:color w:val="auto"/>
              </w:rPr>
            </w:pPr>
            <w:r>
              <w:rPr>
                <w:rFonts w:ascii="Arial" w:cs="Arial" w:eastAsia="Arial" w:hAnsi="Arial"/>
                <w:sz w:val="15"/>
                <w:szCs w:val="15"/>
                <w:color w:val="auto"/>
              </w:rPr>
              <w:t>Chief Operating</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Chairman,</w:t>
            </w:r>
          </w:p>
        </w:tc>
        <w:tc>
          <w:tcPr>
            <w:tcW w:w="2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Chairman,</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Chairman,</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Chairman and</w:t>
            </w:r>
          </w:p>
        </w:tc>
        <w:tc>
          <w:tcPr>
            <w:tcW w:w="60" w:type="dxa"/>
            <w:vAlign w:val="bottom"/>
          </w:tcPr>
          <w:p>
            <w:pPr>
              <w:spacing w:after="0"/>
              <w:rPr>
                <w:sz w:val="17"/>
                <w:szCs w:val="17"/>
                <w:color w:val="auto"/>
              </w:rPr>
            </w:pPr>
          </w:p>
        </w:tc>
      </w:tr>
      <w:tr>
        <w:trPr>
          <w:trHeight w:val="203"/>
        </w:trPr>
        <w:tc>
          <w:tcPr>
            <w:tcW w:w="960" w:type="dxa"/>
            <w:vAlign w:val="bottom"/>
          </w:tcPr>
          <w:p>
            <w:pPr>
              <w:ind w:left="20"/>
              <w:spacing w:after="0"/>
              <w:rPr>
                <w:sz w:val="20"/>
                <w:szCs w:val="20"/>
                <w:color w:val="auto"/>
              </w:rPr>
            </w:pPr>
            <w:r>
              <w:rPr>
                <w:rFonts w:ascii="Arial" w:cs="Arial" w:eastAsia="Arial" w:hAnsi="Arial"/>
                <w:sz w:val="15"/>
                <w:szCs w:val="15"/>
                <w:color w:val="auto"/>
              </w:rPr>
              <w:t>and Chief</w:t>
            </w: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and Chief</w:t>
            </w:r>
          </w:p>
        </w:tc>
        <w:tc>
          <w:tcPr>
            <w:tcW w:w="220" w:type="dxa"/>
            <w:vAlign w:val="bottom"/>
          </w:tcPr>
          <w:p>
            <w:pPr>
              <w:spacing w:after="0"/>
              <w:rPr>
                <w:sz w:val="17"/>
                <w:szCs w:val="17"/>
                <w:color w:val="auto"/>
              </w:rPr>
            </w:pPr>
          </w:p>
        </w:tc>
        <w:tc>
          <w:tcPr>
            <w:tcW w:w="1400" w:type="dxa"/>
            <w:vAlign w:val="bottom"/>
          </w:tcPr>
          <w:p>
            <w:pPr>
              <w:ind w:left="60"/>
              <w:spacing w:after="0"/>
              <w:rPr>
                <w:sz w:val="20"/>
                <w:szCs w:val="20"/>
                <w:color w:val="auto"/>
              </w:rPr>
            </w:pPr>
            <w:r>
              <w:rPr>
                <w:rFonts w:ascii="Arial" w:cs="Arial" w:eastAsia="Arial" w:hAnsi="Arial"/>
                <w:sz w:val="15"/>
                <w:szCs w:val="15"/>
                <w:color w:val="auto"/>
              </w:rPr>
              <w:t>Officer</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Wealth</w:t>
            </w:r>
          </w:p>
        </w:tc>
        <w:tc>
          <w:tcPr>
            <w:tcW w:w="2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Retail and</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Interim Chief</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Chief Lending</w:t>
            </w:r>
          </w:p>
        </w:tc>
        <w:tc>
          <w:tcPr>
            <w:tcW w:w="60" w:type="dxa"/>
            <w:vAlign w:val="bottom"/>
          </w:tcPr>
          <w:p>
            <w:pPr>
              <w:spacing w:after="0"/>
              <w:rPr>
                <w:sz w:val="17"/>
                <w:szCs w:val="17"/>
                <w:color w:val="auto"/>
              </w:rPr>
            </w:pPr>
          </w:p>
        </w:tc>
      </w:tr>
      <w:tr>
        <w:trPr>
          <w:trHeight w:val="203"/>
        </w:trPr>
        <w:tc>
          <w:tcPr>
            <w:tcW w:w="960" w:type="dxa"/>
            <w:vAlign w:val="bottom"/>
          </w:tcPr>
          <w:p>
            <w:pPr>
              <w:ind w:left="20"/>
              <w:spacing w:after="0"/>
              <w:rPr>
                <w:sz w:val="20"/>
                <w:szCs w:val="20"/>
                <w:color w:val="auto"/>
              </w:rPr>
            </w:pPr>
            <w:r>
              <w:rPr>
                <w:rFonts w:ascii="Arial" w:cs="Arial" w:eastAsia="Arial" w:hAnsi="Arial"/>
                <w:sz w:val="15"/>
                <w:szCs w:val="15"/>
                <w:color w:val="auto"/>
              </w:rPr>
              <w:t>Executive</w:t>
            </w: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Financial</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Management</w:t>
            </w:r>
          </w:p>
        </w:tc>
        <w:tc>
          <w:tcPr>
            <w:tcW w:w="2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Commercial</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Financial</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Officer,</w:t>
            </w:r>
          </w:p>
        </w:tc>
        <w:tc>
          <w:tcPr>
            <w:tcW w:w="60" w:type="dxa"/>
            <w:vAlign w:val="bottom"/>
          </w:tcPr>
          <w:p>
            <w:pPr>
              <w:spacing w:after="0"/>
              <w:rPr>
                <w:sz w:val="17"/>
                <w:szCs w:val="17"/>
                <w:color w:val="auto"/>
              </w:rPr>
            </w:pPr>
          </w:p>
        </w:tc>
      </w:tr>
      <w:tr>
        <w:trPr>
          <w:trHeight w:val="203"/>
        </w:trPr>
        <w:tc>
          <w:tcPr>
            <w:tcW w:w="960" w:type="dxa"/>
            <w:vAlign w:val="bottom"/>
          </w:tcPr>
          <w:p>
            <w:pPr>
              <w:ind w:left="20"/>
              <w:spacing w:after="0"/>
              <w:rPr>
                <w:sz w:val="20"/>
                <w:szCs w:val="20"/>
                <w:color w:val="auto"/>
              </w:rPr>
            </w:pPr>
            <w:r>
              <w:rPr>
                <w:rFonts w:ascii="Arial" w:cs="Arial" w:eastAsia="Arial" w:hAnsi="Arial"/>
                <w:sz w:val="15"/>
                <w:szCs w:val="15"/>
                <w:color w:val="auto"/>
              </w:rPr>
              <w:t>Officer</w:t>
            </w: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Officer,</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Group</w:t>
            </w:r>
          </w:p>
        </w:tc>
        <w:tc>
          <w:tcPr>
            <w:tcW w:w="2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Banking</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Officer,</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Wholesale</w:t>
            </w:r>
          </w:p>
        </w:tc>
        <w:tc>
          <w:tcPr>
            <w:tcW w:w="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Finance</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5"/>
                <w:szCs w:val="15"/>
                <w:color w:val="auto"/>
              </w:rPr>
              <w:t>Group</w:t>
            </w: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Finance Group</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Banking</w:t>
            </w:r>
          </w:p>
        </w:tc>
        <w:tc>
          <w:tcPr>
            <w:tcW w:w="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color w:val="auto"/>
              </w:rPr>
              <w:t>Group</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and Chief Risk</w:t>
            </w:r>
          </w:p>
        </w:tc>
        <w:tc>
          <w:tcPr>
            <w:tcW w:w="2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color w:val="auto"/>
              </w:rPr>
              <w:t>Group</w:t>
            </w:r>
          </w:p>
        </w:tc>
        <w:tc>
          <w:tcPr>
            <w:tcW w:w="6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Officer, Risk</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Management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Arial" w:cs="Arial" w:eastAsia="Arial" w:hAnsi="Arial"/>
                <w:sz w:val="15"/>
                <w:szCs w:val="15"/>
                <w:color w:val="auto"/>
              </w:rPr>
              <w:t>Group</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
        </w:trPr>
        <w:tc>
          <w:tcPr>
            <w:tcW w:w="96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BF5B5A"/>
            </w:tcBorders>
          </w:tcPr>
          <w:p>
            <w:pPr>
              <w:spacing w:after="0"/>
              <w:rPr>
                <w:sz w:val="2"/>
                <w:szCs w:val="2"/>
                <w:color w:val="auto"/>
              </w:rPr>
            </w:pPr>
          </w:p>
        </w:tc>
        <w:tc>
          <w:tcPr>
            <w:tcW w:w="26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BF5B5A"/>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BF5B5A"/>
            </w:tcBorders>
          </w:tcPr>
          <w:p>
            <w:pPr>
              <w:spacing w:after="0"/>
              <w:rPr>
                <w:sz w:val="2"/>
                <w:szCs w:val="2"/>
                <w:color w:val="auto"/>
              </w:rPr>
            </w:pPr>
          </w:p>
        </w:tc>
        <w:tc>
          <w:tcPr>
            <w:tcW w:w="60" w:type="dxa"/>
            <w:vAlign w:val="bottom"/>
            <w:tcBorders>
              <w:bottom w:val="single" w:sz="8" w:color="BF5B5A"/>
            </w:tcBorders>
          </w:tcPr>
          <w:p>
            <w:pPr>
              <w:spacing w:after="0"/>
              <w:rPr>
                <w:sz w:val="2"/>
                <w:szCs w:val="2"/>
                <w:color w:val="auto"/>
              </w:rPr>
            </w:pPr>
          </w:p>
        </w:tc>
      </w:tr>
      <w:tr>
        <w:trPr>
          <w:trHeight w:val="264"/>
        </w:trPr>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161" w:lineRule="exact"/>
        <w:rPr>
          <w:sz w:val="20"/>
          <w:szCs w:val="20"/>
          <w:color w:val="auto"/>
        </w:rPr>
      </w:pPr>
    </w:p>
    <w:p>
      <w:pPr>
        <w:ind w:left="1140" w:right="880" w:hanging="360"/>
        <w:spacing w:after="0" w:line="321" w:lineRule="auto"/>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Mesick served as Interim Chief Financial Officer, Finance Group until January 3, 2023, upon Mr. Moses’ assumption of that role, and separated from the Company and the Bank effective July 1, 2023.</w:t>
      </w:r>
    </w:p>
    <w:p>
      <w:pPr>
        <w:spacing w:after="0" w:line="20" w:lineRule="exact"/>
        <w:rPr>
          <w:rFonts w:ascii="Arial" w:cs="Arial" w:eastAsia="Arial" w:hAnsi="Arial"/>
          <w:sz w:val="16"/>
          <w:szCs w:val="16"/>
          <w:color w:val="auto"/>
        </w:rPr>
      </w:pPr>
    </w:p>
    <w:p>
      <w:pPr>
        <w:ind w:left="1140" w:hanging="360"/>
        <w:spacing w:after="0"/>
        <w:tabs>
          <w:tab w:leader="none" w:pos="11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Mizumoto separated from the Company and the Bank effective October 1, 2023.</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brief biography of each person who serves as an executive officer of First Hawaiian, other than Mr. Harrison,</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is set forth beginning on page 83. For information about Mr. Harrison, please see his biography in the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Governance and Board Matters</w:t>
      </w:r>
      <w:r>
        <w:rPr>
          <w:rFonts w:ascii="Arial" w:cs="Arial" w:eastAsia="Arial" w:hAnsi="Arial"/>
          <w:sz w:val="18"/>
          <w:szCs w:val="18"/>
          <w:color w:val="auto"/>
        </w:rPr>
        <w:t>―Director Nominees” section on page 18 of this proxy statement.</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Business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150495</wp:posOffset>
            </wp:positionV>
            <wp:extent cx="5829300" cy="7029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29300" cy="702945"/>
                    </a:xfrm>
                    <a:prstGeom prst="rect">
                      <a:avLst/>
                    </a:prstGeom>
                    <a:noFill/>
                  </pic:spPr>
                </pic:pic>
              </a:graphicData>
            </a:graphic>
          </wp:anchor>
        </w:drawing>
      </w:r>
    </w:p>
    <w:p>
      <w:pPr>
        <w:spacing w:after="0" w:line="319" w:lineRule="exact"/>
        <w:rPr>
          <w:sz w:val="20"/>
          <w:szCs w:val="20"/>
          <w:color w:val="auto"/>
        </w:rPr>
      </w:pPr>
    </w:p>
    <w:p>
      <w:pPr>
        <w:ind w:left="2020" w:hanging="362"/>
        <w:spacing w:after="0"/>
        <w:tabs>
          <w:tab w:leader="none" w:pos="2020" w:val="left"/>
        </w:tabs>
        <w:numPr>
          <w:ilvl w:val="0"/>
          <w:numId w:val="91"/>
        </w:numPr>
        <w:rPr>
          <w:rFonts w:ascii="Arial" w:cs="Arial" w:eastAsia="Arial" w:hAnsi="Arial"/>
          <w:sz w:val="18"/>
          <w:szCs w:val="18"/>
          <w:color w:val="FC0014"/>
        </w:rPr>
      </w:pPr>
      <w:r>
        <w:rPr>
          <w:rFonts w:ascii="Arial" w:cs="Arial" w:eastAsia="Arial" w:hAnsi="Arial"/>
          <w:sz w:val="18"/>
          <w:szCs w:val="18"/>
          <w:color w:val="auto"/>
        </w:rPr>
        <w:t>During a period of rising interest rates, we were able to grow loans and leases by</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39"/>
        </w:trPr>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7840" w:type="dxa"/>
            <w:vAlign w:val="bottom"/>
          </w:tcPr>
          <w:p>
            <w:pPr>
              <w:ind w:left="160"/>
              <w:spacing w:after="0"/>
              <w:rPr>
                <w:sz w:val="20"/>
                <w:szCs w:val="20"/>
                <w:color w:val="auto"/>
              </w:rPr>
            </w:pPr>
            <w:r>
              <w:rPr>
                <w:rFonts w:ascii="Arial" w:cs="Arial" w:eastAsia="Arial" w:hAnsi="Arial"/>
                <w:sz w:val="18"/>
                <w:szCs w:val="18"/>
                <w:color w:val="auto"/>
              </w:rPr>
              <w:t>$261.5 million, or 2%, year-over-year, while continuing to maintain excellent asset quality.</w:t>
            </w:r>
          </w:p>
        </w:tc>
        <w:tc>
          <w:tcPr>
            <w:tcW w:w="2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46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60" w:type="dxa"/>
            <w:vAlign w:val="bottom"/>
          </w:tcPr>
          <w:p>
            <w:pPr>
              <w:spacing w:after="0"/>
              <w:rPr>
                <w:sz w:val="15"/>
                <w:szCs w:val="15"/>
                <w:color w:val="auto"/>
              </w:rPr>
            </w:pPr>
          </w:p>
        </w:tc>
        <w:tc>
          <w:tcPr>
            <w:tcW w:w="8440" w:type="dxa"/>
            <w:vAlign w:val="bottom"/>
            <w:gridSpan w:val="2"/>
          </w:tcPr>
          <w:p>
            <w:pPr>
              <w:ind w:left="400"/>
              <w:spacing w:after="0" w:line="183" w:lineRule="exact"/>
              <w:rPr>
                <w:sz w:val="20"/>
                <w:szCs w:val="20"/>
                <w:color w:val="auto"/>
              </w:rPr>
            </w:pPr>
            <w:r>
              <w:rPr>
                <w:rFonts w:ascii="Arial" w:cs="Arial" w:eastAsia="Arial" w:hAnsi="Arial"/>
                <w:sz w:val="18"/>
                <w:szCs w:val="18"/>
                <w:color w:val="FC0014"/>
              </w:rPr>
              <w:t xml:space="preserve">•   </w:t>
            </w:r>
            <w:r>
              <w:rPr>
                <w:rFonts w:ascii="Arial" w:cs="Arial" w:eastAsia="Arial" w:hAnsi="Arial"/>
                <w:sz w:val="18"/>
                <w:szCs w:val="18"/>
                <w:color w:val="000000"/>
              </w:rPr>
              <w:t>We were able to increase our net interest margin by 14 basis points, to 2.92% in 2023 from</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2.78% in 2022.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374650</wp:posOffset>
            </wp:positionV>
            <wp:extent cx="5803265" cy="29146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80326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40" w:right="240" w:hanging="360"/>
        <w:spacing w:after="0" w:line="301" w:lineRule="auto"/>
        <w:tabs>
          <w:tab w:leader="none" w:pos="11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a non-GAAP measure. Please see “</w:t>
      </w:r>
      <w:r>
        <w:rPr>
          <w:rFonts w:ascii="Arial" w:cs="Arial" w:eastAsia="Arial" w:hAnsi="Arial"/>
          <w:sz w:val="16"/>
          <w:szCs w:val="16"/>
          <w:i w:val="1"/>
          <w:iCs w:val="1"/>
          <w:color w:val="auto"/>
        </w:rPr>
        <w:t>Item 7.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w:t>
      </w:r>
      <w:r>
        <w:rPr>
          <w:rFonts w:ascii="Arial" w:cs="Arial" w:eastAsia="Arial" w:hAnsi="Arial"/>
          <w:sz w:val="16"/>
          <w:szCs w:val="16"/>
          <w:color w:val="auto"/>
        </w:rPr>
        <w:t>” in our Annual Report on Form 10-K for the year ended December 31, 2023 for an</w:t>
      </w:r>
      <w:r>
        <w:rPr>
          <w:rFonts w:ascii="Arial" w:cs="Arial" w:eastAsia="Arial" w:hAnsi="Arial"/>
          <w:sz w:val="16"/>
          <w:szCs w:val="16"/>
          <w:i w:val="1"/>
          <w:iCs w:val="1"/>
          <w:color w:val="auto"/>
        </w:rPr>
        <w:t xml:space="preserve"> </w:t>
      </w:r>
      <w:r>
        <w:rPr>
          <w:rFonts w:ascii="Arial" w:cs="Arial" w:eastAsia="Arial" w:hAnsi="Arial"/>
          <w:sz w:val="16"/>
          <w:szCs w:val="16"/>
          <w:color w:val="auto"/>
        </w:rPr>
        <w:t>explanation and reconciliation.</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41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Capital Highlights</w:t>
      </w:r>
    </w:p>
    <w:p>
      <w:pPr>
        <w:spacing w:after="0" w:line="217" w:lineRule="exact"/>
        <w:rPr>
          <w:sz w:val="20"/>
          <w:szCs w:val="20"/>
          <w:color w:val="auto"/>
        </w:rPr>
      </w:pPr>
    </w:p>
    <w:tbl>
      <w:tblPr>
        <w:tblLayout w:type="fixed"/>
        <w:tblInd w:w="790" w:type="dxa"/>
        <w:tblCellMar>
          <w:top w:w="0" w:type="dxa"/>
          <w:left w:w="0" w:type="dxa"/>
          <w:bottom w:w="0" w:type="dxa"/>
          <w:right w:w="0" w:type="dxa"/>
        </w:tblCellMar>
      </w:tblPr>
      <w:tr>
        <w:trPr>
          <w:trHeight w:val="319"/>
        </w:trPr>
        <w:tc>
          <w:tcPr>
            <w:tcW w:w="480" w:type="dxa"/>
            <w:vAlign w:val="bottom"/>
            <w:tcBorders>
              <w:top w:val="single" w:sz="8" w:color="BF5B5A"/>
              <w:left w:val="single" w:sz="8" w:color="BF5B5A"/>
            </w:tcBorders>
          </w:tcPr>
          <w:p>
            <w:pPr>
              <w:spacing w:after="0"/>
              <w:rPr>
                <w:sz w:val="24"/>
                <w:szCs w:val="24"/>
                <w:color w:val="auto"/>
              </w:rPr>
            </w:pPr>
          </w:p>
        </w:tc>
        <w:tc>
          <w:tcPr>
            <w:tcW w:w="600" w:type="dxa"/>
            <w:vAlign w:val="bottom"/>
            <w:tcBorders>
              <w:top w:val="single" w:sz="8" w:color="BF5B5A"/>
            </w:tcBorders>
          </w:tcPr>
          <w:p>
            <w:pPr>
              <w:ind w:left="400"/>
              <w:spacing w:after="0"/>
              <w:rPr>
                <w:sz w:val="20"/>
                <w:szCs w:val="20"/>
                <w:color w:val="auto"/>
              </w:rPr>
            </w:pPr>
            <w:r>
              <w:rPr>
                <w:rFonts w:ascii="Arial" w:cs="Arial" w:eastAsia="Arial" w:hAnsi="Arial"/>
                <w:sz w:val="18"/>
                <w:szCs w:val="18"/>
                <w:color w:val="FC0014"/>
              </w:rPr>
              <w:t>•</w:t>
            </w:r>
          </w:p>
        </w:tc>
        <w:tc>
          <w:tcPr>
            <w:tcW w:w="7700" w:type="dxa"/>
            <w:vAlign w:val="bottom"/>
            <w:tcBorders>
              <w:top w:val="single" w:sz="8" w:color="BF5B5A"/>
            </w:tcBorders>
          </w:tcPr>
          <w:p>
            <w:pPr>
              <w:ind w:left="160"/>
              <w:spacing w:after="0"/>
              <w:rPr>
                <w:sz w:val="20"/>
                <w:szCs w:val="20"/>
                <w:color w:val="auto"/>
              </w:rPr>
            </w:pPr>
            <w:r>
              <w:rPr>
                <w:rFonts w:ascii="Arial" w:cs="Arial" w:eastAsia="Arial" w:hAnsi="Arial"/>
                <w:sz w:val="18"/>
                <w:szCs w:val="18"/>
                <w:color w:val="auto"/>
              </w:rPr>
              <w:t>We are committed to remaining well capitalized while returning excess capital to our</w:t>
            </w:r>
          </w:p>
        </w:tc>
        <w:tc>
          <w:tcPr>
            <w:tcW w:w="400" w:type="dxa"/>
            <w:vAlign w:val="bottom"/>
            <w:tcBorders>
              <w:top w:val="single" w:sz="8" w:color="BF5B5A"/>
              <w:right w:val="single" w:sz="8" w:color="BF5B5A"/>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0" w:type="dxa"/>
            <w:vAlign w:val="bottom"/>
            <w:tcBorders>
              <w:left w:val="single" w:sz="8" w:color="BF5B5A"/>
            </w:tcBorders>
            <w:vMerge w:val="restart"/>
          </w:tcPr>
          <w:p>
            <w:pPr>
              <w:ind w:left="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770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400" w:type="dxa"/>
            <w:vAlign w:val="bottom"/>
            <w:tcBorders>
              <w:right w:val="single" w:sz="8" w:color="BF5B5A"/>
            </w:tcBorders>
            <w:vMerge w:val="restart"/>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
        </w:trPr>
        <w:tc>
          <w:tcPr>
            <w:tcW w:w="480" w:type="dxa"/>
            <w:vAlign w:val="bottom"/>
            <w:tcBorders>
              <w:left w:val="single" w:sz="8" w:color="BF5B5A"/>
            </w:tcBorders>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700" w:type="dxa"/>
            <w:vAlign w:val="bottom"/>
            <w:vMerge w:val="restart"/>
          </w:tcPr>
          <w:p>
            <w:pPr>
              <w:ind w:left="160"/>
              <w:spacing w:after="0"/>
              <w:rPr>
                <w:sz w:val="20"/>
                <w:szCs w:val="20"/>
                <w:color w:val="auto"/>
              </w:rPr>
            </w:pPr>
            <w:r>
              <w:rPr>
                <w:rFonts w:ascii="Arial" w:cs="Arial" w:eastAsia="Arial" w:hAnsi="Arial"/>
                <w:sz w:val="18"/>
                <w:szCs w:val="18"/>
                <w:color w:val="auto"/>
              </w:rPr>
              <w:t>In January 2024, we announced that the Board of Directors adopted a stock repurchase</w:t>
            </w:r>
          </w:p>
        </w:tc>
        <w:tc>
          <w:tcPr>
            <w:tcW w:w="400" w:type="dxa"/>
            <w:vAlign w:val="bottom"/>
            <w:tcBorders>
              <w:right w:val="single" w:sz="8" w:color="BF5B5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480" w:type="dxa"/>
            <w:vAlign w:val="bottom"/>
            <w:tcBorders>
              <w:left w:val="single" w:sz="8" w:color="BF5B5A"/>
            </w:tcBorders>
          </w:tcPr>
          <w:p>
            <w:pPr>
              <w:spacing w:after="0"/>
              <w:rPr>
                <w:sz w:val="15"/>
                <w:szCs w:val="15"/>
                <w:color w:val="auto"/>
              </w:rPr>
            </w:pPr>
          </w:p>
        </w:tc>
        <w:tc>
          <w:tcPr>
            <w:tcW w:w="600" w:type="dxa"/>
            <w:vAlign w:val="bottom"/>
          </w:tcPr>
          <w:p>
            <w:pPr>
              <w:ind w:left="400"/>
              <w:spacing w:after="0" w:line="183" w:lineRule="exact"/>
              <w:rPr>
                <w:sz w:val="20"/>
                <w:szCs w:val="20"/>
                <w:color w:val="auto"/>
              </w:rPr>
            </w:pPr>
            <w:r>
              <w:rPr>
                <w:rFonts w:ascii="Arial" w:cs="Arial" w:eastAsia="Arial" w:hAnsi="Arial"/>
                <w:sz w:val="18"/>
                <w:szCs w:val="18"/>
                <w:color w:val="FC0014"/>
              </w:rPr>
              <w:t>•</w:t>
            </w:r>
          </w:p>
        </w:tc>
        <w:tc>
          <w:tcPr>
            <w:tcW w:w="7700" w:type="dxa"/>
            <w:vAlign w:val="bottom"/>
            <w:vMerge w:val="continue"/>
          </w:tcPr>
          <w:p>
            <w:pPr>
              <w:spacing w:after="0"/>
              <w:rPr>
                <w:sz w:val="15"/>
                <w:szCs w:val="15"/>
                <w:color w:val="auto"/>
              </w:rPr>
            </w:pPr>
          </w:p>
        </w:tc>
        <w:tc>
          <w:tcPr>
            <w:tcW w:w="400" w:type="dxa"/>
            <w:vAlign w:val="bottom"/>
            <w:tcBorders>
              <w:right w:val="single" w:sz="8" w:color="BF5B5A"/>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0" w:type="dxa"/>
            <w:vAlign w:val="bottom"/>
            <w:tcBorders>
              <w:left w:val="single" w:sz="8" w:color="BF5B5A"/>
            </w:tcBorders>
          </w:tcPr>
          <w:p>
            <w:pPr>
              <w:spacing w:after="0"/>
              <w:rPr>
                <w:sz w:val="20"/>
                <w:szCs w:val="20"/>
                <w:color w:val="auto"/>
              </w:rPr>
            </w:pPr>
          </w:p>
        </w:tc>
        <w:tc>
          <w:tcPr>
            <w:tcW w:w="600" w:type="dxa"/>
            <w:vAlign w:val="bottom"/>
          </w:tcPr>
          <w:p>
            <w:pPr>
              <w:spacing w:after="0"/>
              <w:rPr>
                <w:sz w:val="20"/>
                <w:szCs w:val="20"/>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program for up to $40 million during 2024.*</w:t>
            </w:r>
          </w:p>
        </w:tc>
        <w:tc>
          <w:tcPr>
            <w:tcW w:w="400" w:type="dxa"/>
            <w:vAlign w:val="bottom"/>
            <w:tcBorders>
              <w:right w:val="single" w:sz="8" w:color="BF5B5A"/>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480" w:type="dxa"/>
            <w:vAlign w:val="bottom"/>
            <w:tcBorders>
              <w:left w:val="single" w:sz="8" w:color="BF5B5A"/>
              <w:bottom w:val="single" w:sz="8" w:color="BF5B5A"/>
            </w:tcBorders>
          </w:tcPr>
          <w:p>
            <w:pPr>
              <w:spacing w:after="0"/>
              <w:rPr>
                <w:sz w:val="5"/>
                <w:szCs w:val="5"/>
                <w:color w:val="auto"/>
              </w:rPr>
            </w:pPr>
          </w:p>
        </w:tc>
        <w:tc>
          <w:tcPr>
            <w:tcW w:w="600" w:type="dxa"/>
            <w:vAlign w:val="bottom"/>
            <w:tcBorders>
              <w:bottom w:val="single" w:sz="8" w:color="BF5B5A"/>
            </w:tcBorders>
          </w:tcPr>
          <w:p>
            <w:pPr>
              <w:spacing w:after="0"/>
              <w:rPr>
                <w:sz w:val="5"/>
                <w:szCs w:val="5"/>
                <w:color w:val="auto"/>
              </w:rPr>
            </w:pPr>
          </w:p>
        </w:tc>
        <w:tc>
          <w:tcPr>
            <w:tcW w:w="7700" w:type="dxa"/>
            <w:vAlign w:val="bottom"/>
            <w:tcBorders>
              <w:bottom w:val="single" w:sz="8" w:color="BF5B5A"/>
            </w:tcBorders>
          </w:tcPr>
          <w:p>
            <w:pPr>
              <w:spacing w:after="0"/>
              <w:rPr>
                <w:sz w:val="5"/>
                <w:szCs w:val="5"/>
                <w:color w:val="auto"/>
              </w:rPr>
            </w:pPr>
          </w:p>
        </w:tc>
        <w:tc>
          <w:tcPr>
            <w:tcW w:w="400" w:type="dxa"/>
            <w:vAlign w:val="bottom"/>
            <w:tcBorders>
              <w:bottom w:val="single" w:sz="8" w:color="BF5B5A"/>
              <w:right w:val="single" w:sz="8" w:color="BF5B5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137160</wp:posOffset>
            </wp:positionV>
            <wp:extent cx="5829300" cy="660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29300" cy="66040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-522605</wp:posOffset>
            </wp:positionV>
            <wp:extent cx="385445" cy="3346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5445" cy="334645"/>
                    </a:xfrm>
                    <a:prstGeom prst="rect">
                      <a:avLst/>
                    </a:prstGeom>
                    <a:noFill/>
                  </pic:spPr>
                </pic:pic>
              </a:graphicData>
            </a:graphic>
          </wp:anchor>
        </w:drawing>
      </w:r>
    </w:p>
    <w:p>
      <w:pPr>
        <w:spacing w:after="0" w:line="196" w:lineRule="exact"/>
        <w:rPr>
          <w:sz w:val="20"/>
          <w:szCs w:val="20"/>
          <w:color w:val="auto"/>
        </w:rPr>
      </w:pPr>
    </w:p>
    <w:tbl>
      <w:tblPr>
        <w:tblLayout w:type="fixed"/>
        <w:tblInd w:w="780" w:type="dxa"/>
        <w:tblCellMar>
          <w:top w:w="0" w:type="dxa"/>
          <w:left w:w="0" w:type="dxa"/>
          <w:bottom w:w="0" w:type="dxa"/>
          <w:right w:w="0" w:type="dxa"/>
        </w:tblCellMar>
      </w:tblPr>
      <w:tr>
        <w:trPr>
          <w:trHeight w:val="365"/>
        </w:trPr>
        <w:tc>
          <w:tcPr>
            <w:tcW w:w="140" w:type="dxa"/>
            <w:vAlign w:val="bottom"/>
          </w:tcPr>
          <w:p>
            <w:pPr>
              <w:jc w:val="center"/>
              <w:spacing w:after="0"/>
              <w:rPr>
                <w:sz w:val="20"/>
                <w:szCs w:val="20"/>
                <w:color w:val="auto"/>
              </w:rPr>
            </w:pPr>
            <w:r>
              <w:rPr>
                <w:rFonts w:ascii="Arial" w:cs="Arial" w:eastAsia="Arial" w:hAnsi="Arial"/>
                <w:sz w:val="25"/>
                <w:szCs w:val="25"/>
                <w:b w:val="1"/>
                <w:bCs w:val="1"/>
                <w:color w:val="FEFEFE"/>
              </w:rPr>
              <w:t>​</w:t>
            </w:r>
          </w:p>
        </w:tc>
        <w:tc>
          <w:tcPr>
            <w:tcW w:w="2900" w:type="dxa"/>
            <w:vAlign w:val="bottom"/>
            <w:gridSpan w:val="2"/>
          </w:tcPr>
          <w:p>
            <w:pPr>
              <w:jc w:val="right"/>
              <w:ind w:right="1080"/>
              <w:spacing w:after="0"/>
              <w:rPr>
                <w:sz w:val="20"/>
                <w:szCs w:val="20"/>
                <w:color w:val="auto"/>
              </w:rPr>
            </w:pPr>
            <w:r>
              <w:rPr>
                <w:rFonts w:ascii="Arial" w:cs="Arial" w:eastAsia="Arial" w:hAnsi="Arial"/>
                <w:sz w:val="25"/>
                <w:szCs w:val="25"/>
                <w:b w:val="1"/>
                <w:bCs w:val="1"/>
                <w:color w:val="FEFEFE"/>
              </w:rPr>
              <w:t>12.39%</w:t>
            </w:r>
          </w:p>
        </w:tc>
        <w:tc>
          <w:tcPr>
            <w:tcW w:w="200" w:type="dxa"/>
            <w:vAlign w:val="bottom"/>
          </w:tcPr>
          <w:p>
            <w:pPr>
              <w:spacing w:after="0"/>
              <w:rPr>
                <w:sz w:val="20"/>
                <w:szCs w:val="20"/>
                <w:color w:val="auto"/>
              </w:rPr>
            </w:pPr>
            <w:r>
              <w:rPr>
                <w:rFonts w:ascii="Arial" w:cs="Arial" w:eastAsia="Arial" w:hAnsi="Arial"/>
                <w:sz w:val="25"/>
                <w:szCs w:val="25"/>
                <w:b w:val="1"/>
                <w:bCs w:val="1"/>
                <w:color w:val="FEFEFE"/>
              </w:rPr>
              <w:t>​</w:t>
            </w:r>
          </w:p>
        </w:tc>
        <w:tc>
          <w:tcPr>
            <w:tcW w:w="120" w:type="dxa"/>
            <w:vAlign w:val="bottom"/>
          </w:tcPr>
          <w:p>
            <w:pPr>
              <w:ind w:left="20"/>
              <w:spacing w:after="0"/>
              <w:rPr>
                <w:sz w:val="20"/>
                <w:szCs w:val="20"/>
                <w:color w:val="auto"/>
              </w:rPr>
            </w:pPr>
            <w:r>
              <w:rPr>
                <w:rFonts w:ascii="Arial" w:cs="Arial" w:eastAsia="Arial" w:hAnsi="Arial"/>
                <w:sz w:val="25"/>
                <w:szCs w:val="25"/>
                <w:b w:val="1"/>
                <w:bCs w:val="1"/>
                <w:color w:val="FEFEFE"/>
              </w:rPr>
              <w:t>​</w:t>
            </w:r>
          </w:p>
        </w:tc>
        <w:tc>
          <w:tcPr>
            <w:tcW w:w="2920" w:type="dxa"/>
            <w:vAlign w:val="bottom"/>
          </w:tcPr>
          <w:p>
            <w:pPr>
              <w:ind w:left="960"/>
              <w:spacing w:after="0"/>
              <w:rPr>
                <w:sz w:val="20"/>
                <w:szCs w:val="20"/>
                <w:color w:val="auto"/>
              </w:rPr>
            </w:pPr>
            <w:r>
              <w:rPr>
                <w:rFonts w:ascii="Arial" w:cs="Arial" w:eastAsia="Arial" w:hAnsi="Arial"/>
                <w:sz w:val="25"/>
                <w:szCs w:val="25"/>
                <w:b w:val="1"/>
                <w:bCs w:val="1"/>
                <w:color w:val="FEFEFE"/>
              </w:rPr>
              <w:t>$132.6M</w:t>
            </w:r>
          </w:p>
        </w:tc>
        <w:tc>
          <w:tcPr>
            <w:tcW w:w="220" w:type="dxa"/>
            <w:vAlign w:val="bottom"/>
          </w:tcPr>
          <w:p>
            <w:pPr>
              <w:ind w:left="20"/>
              <w:spacing w:after="0"/>
              <w:rPr>
                <w:sz w:val="20"/>
                <w:szCs w:val="20"/>
                <w:color w:val="auto"/>
              </w:rPr>
            </w:pPr>
            <w:r>
              <w:rPr>
                <w:rFonts w:ascii="Arial" w:cs="Arial" w:eastAsia="Arial" w:hAnsi="Arial"/>
                <w:sz w:val="25"/>
                <w:szCs w:val="25"/>
                <w:b w:val="1"/>
                <w:bCs w:val="1"/>
                <w:color w:val="FEFEFE"/>
              </w:rPr>
              <w:t>​</w:t>
            </w:r>
          </w:p>
        </w:tc>
        <w:tc>
          <w:tcPr>
            <w:tcW w:w="140" w:type="dxa"/>
            <w:vAlign w:val="bottom"/>
          </w:tcPr>
          <w:p>
            <w:pPr>
              <w:spacing w:after="0"/>
              <w:rPr>
                <w:sz w:val="20"/>
                <w:szCs w:val="20"/>
                <w:color w:val="auto"/>
              </w:rPr>
            </w:pPr>
            <w:r>
              <w:rPr>
                <w:rFonts w:ascii="Arial" w:cs="Arial" w:eastAsia="Arial" w:hAnsi="Arial"/>
                <w:sz w:val="25"/>
                <w:szCs w:val="25"/>
                <w:b w:val="1"/>
                <w:bCs w:val="1"/>
                <w:color w:val="FEFEFE"/>
              </w:rPr>
              <w:t>​</w:t>
            </w:r>
          </w:p>
        </w:tc>
        <w:tc>
          <w:tcPr>
            <w:tcW w:w="2540" w:type="dxa"/>
            <w:vAlign w:val="bottom"/>
          </w:tcPr>
          <w:p>
            <w:pPr>
              <w:jc w:val="center"/>
              <w:ind w:right="24"/>
              <w:spacing w:after="0"/>
              <w:rPr>
                <w:sz w:val="20"/>
                <w:szCs w:val="20"/>
                <w:color w:val="auto"/>
              </w:rPr>
            </w:pPr>
            <w:r>
              <w:rPr>
                <w:rFonts w:ascii="Arial" w:cs="Arial" w:eastAsia="Arial" w:hAnsi="Arial"/>
                <w:sz w:val="25"/>
                <w:szCs w:val="25"/>
                <w:b w:val="1"/>
                <w:bCs w:val="1"/>
                <w:color w:val="FEFEFE"/>
                <w:w w:val="93"/>
              </w:rPr>
              <w:t>$0</w:t>
            </w:r>
          </w:p>
        </w:tc>
        <w:tc>
          <w:tcPr>
            <w:tcW w:w="80" w:type="dxa"/>
            <w:vAlign w:val="bottom"/>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135"/>
        </w:trPr>
        <w:tc>
          <w:tcPr>
            <w:tcW w:w="3040" w:type="dxa"/>
            <w:vAlign w:val="bottom"/>
            <w:gridSpan w:val="3"/>
          </w:tcPr>
          <w:p>
            <w:pPr>
              <w:jc w:val="center"/>
              <w:ind w:right="2880"/>
              <w:spacing w:after="0" w:line="135" w:lineRule="exact"/>
              <w:rPr>
                <w:sz w:val="20"/>
                <w:szCs w:val="20"/>
                <w:color w:val="auto"/>
              </w:rPr>
            </w:pPr>
            <w:r>
              <w:rPr>
                <w:rFonts w:ascii="Arial" w:cs="Arial" w:eastAsia="Arial" w:hAnsi="Arial"/>
                <w:sz w:val="15"/>
                <w:szCs w:val="15"/>
                <w:b w:val="1"/>
                <w:bCs w:val="1"/>
                <w:color w:val="auto"/>
              </w:rPr>
              <w:t xml:space="preserve">​ </w:t>
            </w:r>
          </w:p>
        </w:tc>
        <w:tc>
          <w:tcPr>
            <w:tcW w:w="20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12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w:t>
            </w:r>
          </w:p>
        </w:tc>
        <w:tc>
          <w:tcPr>
            <w:tcW w:w="292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25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94"/>
        </w:trPr>
        <w:tc>
          <w:tcPr>
            <w:tcW w:w="3040" w:type="dxa"/>
            <w:vAlign w:val="bottom"/>
            <w:gridSpan w:val="3"/>
          </w:tcPr>
          <w:p>
            <w:pPr>
              <w:jc w:val="center"/>
              <w:ind w:right="2880"/>
              <w:spacing w:after="0" w:line="95" w:lineRule="exact"/>
              <w:rPr>
                <w:sz w:val="20"/>
                <w:szCs w:val="20"/>
                <w:color w:val="auto"/>
              </w:rPr>
            </w:pPr>
            <w:r>
              <w:rPr>
                <w:rFonts w:ascii="Arial" w:cs="Arial" w:eastAsia="Arial" w:hAnsi="Arial"/>
                <w:sz w:val="10"/>
                <w:szCs w:val="10"/>
                <w:b w:val="1"/>
                <w:bCs w:val="1"/>
                <w:color w:val="FEFEFE"/>
              </w:rPr>
              <w:t>​​</w:t>
            </w:r>
          </w:p>
        </w:tc>
        <w:tc>
          <w:tcPr>
            <w:tcW w:w="20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120" w:type="dxa"/>
            <w:vAlign w:val="bottom"/>
          </w:tcPr>
          <w:p>
            <w:pPr>
              <w:ind w:left="20"/>
              <w:spacing w:after="0" w:line="95" w:lineRule="exact"/>
              <w:rPr>
                <w:sz w:val="20"/>
                <w:szCs w:val="20"/>
                <w:color w:val="auto"/>
              </w:rPr>
            </w:pPr>
            <w:r>
              <w:rPr>
                <w:rFonts w:ascii="Arial" w:cs="Arial" w:eastAsia="Arial" w:hAnsi="Arial"/>
                <w:sz w:val="10"/>
                <w:szCs w:val="10"/>
                <w:b w:val="1"/>
                <w:bCs w:val="1"/>
                <w:color w:val="FEFEFE"/>
              </w:rPr>
              <w:t>​</w:t>
            </w:r>
          </w:p>
        </w:tc>
        <w:tc>
          <w:tcPr>
            <w:tcW w:w="2920" w:type="dxa"/>
            <w:vAlign w:val="bottom"/>
            <w:vMerge w:val="restart"/>
          </w:tcPr>
          <w:p>
            <w:pPr>
              <w:jc w:val="center"/>
              <w:ind w:right="44"/>
              <w:spacing w:after="0"/>
              <w:rPr>
                <w:sz w:val="20"/>
                <w:szCs w:val="20"/>
                <w:color w:val="auto"/>
              </w:rPr>
            </w:pPr>
            <w:r>
              <w:rPr>
                <w:rFonts w:ascii="Arial" w:cs="Arial" w:eastAsia="Arial" w:hAnsi="Arial"/>
                <w:sz w:val="16"/>
                <w:szCs w:val="16"/>
                <w:color w:val="auto"/>
              </w:rPr>
              <w:t>In dividend payments; maintained</w:t>
            </w:r>
          </w:p>
        </w:tc>
        <w:tc>
          <w:tcPr>
            <w:tcW w:w="220" w:type="dxa"/>
            <w:vAlign w:val="bottom"/>
          </w:tcPr>
          <w:p>
            <w:pPr>
              <w:ind w:left="20"/>
              <w:spacing w:after="0" w:line="95" w:lineRule="exact"/>
              <w:rPr>
                <w:sz w:val="20"/>
                <w:szCs w:val="20"/>
                <w:color w:val="auto"/>
              </w:rPr>
            </w:pPr>
            <w:r>
              <w:rPr>
                <w:rFonts w:ascii="Arial" w:cs="Arial" w:eastAsia="Arial" w:hAnsi="Arial"/>
                <w:sz w:val="10"/>
                <w:szCs w:val="10"/>
                <w:b w:val="1"/>
                <w:bCs w:val="1"/>
                <w:color w:val="FEFEFE"/>
              </w:rPr>
              <w:t>​</w:t>
            </w:r>
          </w:p>
        </w:tc>
        <w:tc>
          <w:tcPr>
            <w:tcW w:w="14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2540" w:type="dxa"/>
            <w:vAlign w:val="bottom"/>
            <w:vMerge w:val="restart"/>
          </w:tcPr>
          <w:p>
            <w:pPr>
              <w:jc w:val="center"/>
              <w:ind w:right="44"/>
              <w:spacing w:after="0"/>
              <w:rPr>
                <w:sz w:val="20"/>
                <w:szCs w:val="20"/>
                <w:color w:val="auto"/>
              </w:rPr>
            </w:pPr>
            <w:r>
              <w:rPr>
                <w:rFonts w:ascii="Arial" w:cs="Arial" w:eastAsia="Arial" w:hAnsi="Arial"/>
                <w:sz w:val="16"/>
                <w:szCs w:val="16"/>
                <w:color w:val="auto"/>
              </w:rPr>
              <w:t>No common stock repurchased</w:t>
            </w:r>
          </w:p>
        </w:tc>
        <w:tc>
          <w:tcPr>
            <w:tcW w:w="80" w:type="dxa"/>
            <w:vAlign w:val="bottom"/>
          </w:tcPr>
          <w:p>
            <w:pPr>
              <w:spacing w:after="0" w:line="95" w:lineRule="exact"/>
              <w:rPr>
                <w:sz w:val="20"/>
                <w:szCs w:val="20"/>
                <w:color w:val="auto"/>
              </w:rPr>
            </w:pPr>
            <w:r>
              <w:rPr>
                <w:rFonts w:ascii="Arial" w:cs="Arial" w:eastAsia="Arial" w:hAnsi="Arial"/>
                <w:sz w:val="10"/>
                <w:szCs w:val="10"/>
                <w:b w:val="1"/>
                <w:bCs w:val="1"/>
                <w:color w:val="FEFEFE"/>
              </w:rPr>
              <w:t>​</w:t>
            </w:r>
          </w:p>
        </w:tc>
        <w:tc>
          <w:tcPr>
            <w:tcW w:w="0" w:type="dxa"/>
            <w:vAlign w:val="bottom"/>
          </w:tcPr>
          <w:p>
            <w:pPr>
              <w:spacing w:after="0"/>
              <w:rPr>
                <w:sz w:val="1"/>
                <w:szCs w:val="1"/>
                <w:color w:val="auto"/>
              </w:rPr>
            </w:pPr>
          </w:p>
        </w:tc>
      </w:tr>
      <w:tr>
        <w:trPr>
          <w:trHeight w:val="215"/>
        </w:trPr>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2900" w:type="dxa"/>
            <w:vAlign w:val="bottom"/>
            <w:gridSpan w:val="2"/>
          </w:tcPr>
          <w:p>
            <w:pPr>
              <w:jc w:val="center"/>
              <w:ind w:right="100"/>
              <w:spacing w:after="0"/>
              <w:rPr>
                <w:sz w:val="20"/>
                <w:szCs w:val="20"/>
                <w:color w:val="auto"/>
              </w:rPr>
            </w:pPr>
            <w:r>
              <w:rPr>
                <w:rFonts w:ascii="Arial" w:cs="Arial" w:eastAsia="Arial" w:hAnsi="Arial"/>
                <w:sz w:val="16"/>
                <w:szCs w:val="16"/>
                <w:color w:val="auto"/>
              </w:rPr>
              <w:t>Common Equity Tier 1 capital ratio at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292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2900" w:type="dxa"/>
            <w:vAlign w:val="bottom"/>
            <w:gridSpan w:val="2"/>
          </w:tcPr>
          <w:p>
            <w:pPr>
              <w:jc w:val="center"/>
              <w:ind w:right="60"/>
              <w:spacing w:after="0"/>
              <w:rPr>
                <w:sz w:val="20"/>
                <w:szCs w:val="20"/>
                <w:color w:val="auto"/>
              </w:rPr>
            </w:pPr>
            <w:r>
              <w:rPr>
                <w:rFonts w:ascii="Arial" w:cs="Arial" w:eastAsia="Arial" w:hAnsi="Arial"/>
                <w:sz w:val="16"/>
                <w:szCs w:val="16"/>
                <w:color w:val="auto"/>
              </w:rPr>
              <w:t>December 31, 2023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jc w:val="center"/>
              <w:ind w:right="4"/>
              <w:spacing w:after="0"/>
              <w:rPr>
                <w:sz w:val="20"/>
                <w:szCs w:val="20"/>
                <w:color w:val="auto"/>
              </w:rPr>
            </w:pPr>
            <w:r>
              <w:rPr>
                <w:rFonts w:ascii="Arial" w:cs="Arial" w:eastAsia="Arial" w:hAnsi="Arial"/>
                <w:sz w:val="16"/>
                <w:szCs w:val="16"/>
                <w:color w:val="auto"/>
              </w:rPr>
              <w:t>quarterly dividend at $0.26 per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jc w:val="center"/>
              <w:ind w:right="44"/>
              <w:spacing w:after="0"/>
              <w:rPr>
                <w:sz w:val="20"/>
                <w:szCs w:val="20"/>
                <w:color w:val="auto"/>
              </w:rPr>
            </w:pPr>
            <w:r>
              <w:rPr>
                <w:rFonts w:ascii="Arial" w:cs="Arial" w:eastAsia="Arial" w:hAnsi="Arial"/>
                <w:sz w:val="16"/>
                <w:szCs w:val="16"/>
                <w:color w:val="auto"/>
              </w:rPr>
              <w:t>during 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-359410</wp:posOffset>
            </wp:positionV>
            <wp:extent cx="5829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41" w:lineRule="exact"/>
        <w:rPr>
          <w:sz w:val="20"/>
          <w:szCs w:val="20"/>
          <w:color w:val="auto"/>
        </w:rPr>
      </w:pPr>
    </w:p>
    <w:p>
      <w:pPr>
        <w:ind w:left="1140" w:hanging="360"/>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timing and amount of share repurchases are influenced by various internal and external factors.</w:t>
      </w:r>
    </w:p>
    <w:p>
      <w:pPr>
        <w:sectPr>
          <w:pgSz w:w="11900" w:h="16838" w:orient="portrait"/>
          <w:cols w:equalWidth="0" w:num="1">
            <w:col w:w="10040"/>
          </w:cols>
          <w:pgMar w:left="580" w:top="97" w:right="1279" w:bottom="1440" w:gutter="0" w:footer="0" w:header="0"/>
        </w:sectPr>
      </w:pPr>
    </w:p>
    <w:p>
      <w:pPr>
        <w:spacing w:after="0" w:line="332"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Compensation Summary</w:t>
      </w:r>
    </w:p>
    <w:p>
      <w:pPr>
        <w:spacing w:after="0" w:line="250" w:lineRule="exact"/>
        <w:rPr>
          <w:sz w:val="20"/>
          <w:szCs w:val="20"/>
          <w:color w:val="auto"/>
        </w:rPr>
      </w:pPr>
    </w:p>
    <w:tbl>
      <w:tblPr>
        <w:tblLayout w:type="fixed"/>
        <w:tblInd w:w="780" w:type="dxa"/>
        <w:tblCellMar>
          <w:top w:w="0" w:type="dxa"/>
          <w:left w:w="0" w:type="dxa"/>
          <w:bottom w:w="0" w:type="dxa"/>
          <w:right w:w="0" w:type="dxa"/>
        </w:tblCellMar>
      </w:tblPr>
      <w:tr>
        <w:trPr>
          <w:trHeight w:val="257"/>
        </w:trPr>
        <w:tc>
          <w:tcPr>
            <w:tcW w:w="1620" w:type="dxa"/>
            <w:vAlign w:val="bottom"/>
            <w:gridSpan w:val="4"/>
            <w:shd w:val="clear" w:color="auto" w:fill="BF5B5A"/>
          </w:tcPr>
          <w:p>
            <w:pPr>
              <w:spacing w:after="0"/>
              <w:rPr>
                <w:sz w:val="20"/>
                <w:szCs w:val="20"/>
                <w:color w:val="auto"/>
              </w:rPr>
            </w:pPr>
            <w:r>
              <w:rPr>
                <w:rFonts w:ascii="Arial" w:cs="Arial" w:eastAsia="Arial" w:hAnsi="Arial"/>
                <w:sz w:val="16"/>
                <w:szCs w:val="16"/>
                <w:b w:val="1"/>
                <w:bCs w:val="1"/>
                <w:color w:val="FFFFFF"/>
              </w:rPr>
              <w:t>​ Annual Bonus Plan</w:t>
            </w:r>
          </w:p>
        </w:tc>
        <w:tc>
          <w:tcPr>
            <w:tcW w:w="400" w:type="dxa"/>
            <w:vAlign w:val="bottom"/>
            <w:shd w:val="clear" w:color="auto" w:fill="BF5B5A"/>
          </w:tcPr>
          <w:p>
            <w:pPr>
              <w:spacing w:after="0"/>
              <w:rPr>
                <w:sz w:val="22"/>
                <w:szCs w:val="22"/>
                <w:color w:val="auto"/>
              </w:rPr>
            </w:pPr>
          </w:p>
        </w:tc>
        <w:tc>
          <w:tcPr>
            <w:tcW w:w="2300" w:type="dxa"/>
            <w:vAlign w:val="bottom"/>
            <w:shd w:val="clear" w:color="auto" w:fill="BF5B5A"/>
          </w:tcPr>
          <w:p>
            <w:pPr>
              <w:spacing w:after="0"/>
              <w:rPr>
                <w:sz w:val="22"/>
                <w:szCs w:val="22"/>
                <w:color w:val="auto"/>
              </w:rPr>
            </w:pPr>
          </w:p>
        </w:tc>
        <w:tc>
          <w:tcPr>
            <w:tcW w:w="12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r>
      <w:tr>
        <w:trPr>
          <w:trHeight w:val="296"/>
        </w:trPr>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118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2023 Metrics</w:t>
            </w:r>
          </w:p>
        </w:tc>
        <w:tc>
          <w:tcPr>
            <w:tcW w:w="120" w:type="dxa"/>
            <w:vAlign w:val="bottom"/>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line="29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400" w:type="dxa"/>
            <w:vAlign w:val="bottom"/>
          </w:tcPr>
          <w:p>
            <w:pPr>
              <w:ind w:left="60"/>
              <w:spacing w:after="0"/>
              <w:rPr>
                <w:sz w:val="20"/>
                <w:szCs w:val="20"/>
                <w:color w:val="auto"/>
              </w:rPr>
            </w:pPr>
            <w:r>
              <w:rPr>
                <w:rFonts w:ascii="Arial" w:cs="Arial" w:eastAsia="Arial" w:hAnsi="Arial"/>
                <w:sz w:val="16"/>
                <w:szCs w:val="16"/>
                <w:color w:val="auto"/>
                <w:w w:val="99"/>
              </w:rPr>
              <w:t>50%</w:t>
            </w:r>
          </w:p>
        </w:tc>
        <w:tc>
          <w:tcPr>
            <w:tcW w:w="2300" w:type="dxa"/>
            <w:vAlign w:val="bottom"/>
          </w:tcPr>
          <w:p>
            <w:pPr>
              <w:ind w:left="40"/>
              <w:spacing w:after="0"/>
              <w:rPr>
                <w:sz w:val="20"/>
                <w:szCs w:val="20"/>
                <w:color w:val="auto"/>
              </w:rPr>
            </w:pPr>
            <w:r>
              <w:rPr>
                <w:rFonts w:ascii="Arial" w:cs="Arial" w:eastAsia="Arial" w:hAnsi="Arial"/>
                <w:sz w:val="16"/>
                <w:szCs w:val="16"/>
                <w:color w:val="auto"/>
              </w:rPr>
              <w:t>Core Net Income</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0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400" w:type="dxa"/>
            <w:vAlign w:val="bottom"/>
          </w:tcPr>
          <w:p>
            <w:pPr>
              <w:ind w:left="60"/>
              <w:spacing w:after="0"/>
              <w:rPr>
                <w:sz w:val="20"/>
                <w:szCs w:val="20"/>
                <w:color w:val="auto"/>
              </w:rPr>
            </w:pPr>
            <w:r>
              <w:rPr>
                <w:rFonts w:ascii="Arial" w:cs="Arial" w:eastAsia="Arial" w:hAnsi="Arial"/>
                <w:sz w:val="16"/>
                <w:szCs w:val="16"/>
                <w:color w:val="auto"/>
                <w:w w:val="99"/>
              </w:rPr>
              <w:t>20%</w:t>
            </w:r>
          </w:p>
        </w:tc>
        <w:tc>
          <w:tcPr>
            <w:tcW w:w="2300" w:type="dxa"/>
            <w:vAlign w:val="bottom"/>
          </w:tcPr>
          <w:p>
            <w:pPr>
              <w:ind w:left="40"/>
              <w:spacing w:after="0"/>
              <w:rPr>
                <w:sz w:val="20"/>
                <w:szCs w:val="20"/>
                <w:color w:val="auto"/>
              </w:rPr>
            </w:pPr>
            <w:r>
              <w:rPr>
                <w:rFonts w:ascii="Arial" w:cs="Arial" w:eastAsia="Arial" w:hAnsi="Arial"/>
                <w:sz w:val="16"/>
                <w:szCs w:val="16"/>
                <w:color w:val="auto"/>
              </w:rPr>
              <w:t>Asset Quality Metric</w:t>
            </w:r>
          </w:p>
        </w:tc>
        <w:tc>
          <w:tcPr>
            <w:tcW w:w="120" w:type="dxa"/>
            <w:vAlign w:val="bottom"/>
          </w:tcPr>
          <w:p>
            <w:pPr>
              <w:spacing w:after="0"/>
              <w:rPr>
                <w:sz w:val="18"/>
                <w:szCs w:val="18"/>
                <w:color w:val="auto"/>
              </w:rPr>
            </w:pPr>
          </w:p>
        </w:tc>
      </w:tr>
      <w:tr>
        <w:trPr>
          <w:trHeight w:val="270"/>
        </w:trPr>
        <w:tc>
          <w:tcPr>
            <w:tcW w:w="100" w:type="dxa"/>
            <w:vAlign w:val="bottom"/>
            <w:shd w:val="clear" w:color="auto" w:fill="F2F2F2"/>
          </w:tcPr>
          <w:p>
            <w:pPr>
              <w:spacing w:after="0"/>
              <w:rPr>
                <w:sz w:val="23"/>
                <w:szCs w:val="23"/>
                <w:color w:val="auto"/>
              </w:rPr>
            </w:pPr>
          </w:p>
        </w:tc>
        <w:tc>
          <w:tcPr>
            <w:tcW w:w="1180" w:type="dxa"/>
            <w:vAlign w:val="bottom"/>
            <w:shd w:val="clear" w:color="auto" w:fill="F2F2F2"/>
          </w:tcPr>
          <w:p>
            <w:pPr>
              <w:spacing w:after="0"/>
              <w:rPr>
                <w:sz w:val="23"/>
                <w:szCs w:val="23"/>
                <w:color w:val="auto"/>
              </w:rPr>
            </w:pPr>
          </w:p>
        </w:tc>
        <w:tc>
          <w:tcPr>
            <w:tcW w:w="120" w:type="dxa"/>
            <w:vAlign w:val="bottom"/>
            <w:shd w:val="clear" w:color="auto" w:fill="F2F2F2"/>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400" w:type="dxa"/>
            <w:vAlign w:val="bottom"/>
          </w:tcPr>
          <w:p>
            <w:pPr>
              <w:ind w:left="60"/>
              <w:spacing w:after="0"/>
              <w:rPr>
                <w:sz w:val="20"/>
                <w:szCs w:val="20"/>
                <w:color w:val="auto"/>
              </w:rPr>
            </w:pPr>
            <w:r>
              <w:rPr>
                <w:rFonts w:ascii="Arial" w:cs="Arial" w:eastAsia="Arial" w:hAnsi="Arial"/>
                <w:sz w:val="16"/>
                <w:szCs w:val="16"/>
                <w:color w:val="auto"/>
                <w:w w:val="99"/>
              </w:rPr>
              <w:t>30%</w:t>
            </w:r>
          </w:p>
        </w:tc>
        <w:tc>
          <w:tcPr>
            <w:tcW w:w="2300" w:type="dxa"/>
            <w:vAlign w:val="bottom"/>
          </w:tcPr>
          <w:p>
            <w:pPr>
              <w:ind w:left="40"/>
              <w:spacing w:after="0"/>
              <w:rPr>
                <w:sz w:val="20"/>
                <w:szCs w:val="20"/>
                <w:color w:val="auto"/>
              </w:rPr>
            </w:pPr>
            <w:r>
              <w:rPr>
                <w:rFonts w:ascii="Arial" w:cs="Arial" w:eastAsia="Arial" w:hAnsi="Arial"/>
                <w:sz w:val="16"/>
                <w:szCs w:val="16"/>
                <w:color w:val="auto"/>
              </w:rPr>
              <w:t>Individual Performance</w:t>
            </w:r>
          </w:p>
        </w:tc>
        <w:tc>
          <w:tcPr>
            <w:tcW w:w="120" w:type="dxa"/>
            <w:vAlign w:val="bottom"/>
          </w:tcPr>
          <w:p>
            <w:pPr>
              <w:spacing w:after="0"/>
              <w:rPr>
                <w:sz w:val="23"/>
                <w:szCs w:val="23"/>
                <w:color w:val="auto"/>
              </w:rPr>
            </w:pPr>
          </w:p>
        </w:tc>
      </w:tr>
      <w:tr>
        <w:trPr>
          <w:trHeight w:val="299"/>
        </w:trPr>
        <w:tc>
          <w:tcPr>
            <w:tcW w:w="1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276"/>
        </w:trPr>
        <w:tc>
          <w:tcPr>
            <w:tcW w:w="100" w:type="dxa"/>
            <w:vAlign w:val="bottom"/>
            <w:tcBorders>
              <w:top w:val="single" w:sz="8" w:color="7F7F7F"/>
            </w:tcBorders>
            <w:shd w:val="clear" w:color="auto" w:fill="F2F2F2"/>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7F7F7F"/>
            </w:tcBorders>
            <w:shd w:val="clear" w:color="auto" w:fill="F2F2F2"/>
          </w:tcPr>
          <w:p>
            <w:pPr>
              <w:spacing w:after="0"/>
              <w:rPr>
                <w:sz w:val="20"/>
                <w:szCs w:val="20"/>
                <w:color w:val="auto"/>
              </w:rPr>
            </w:pPr>
            <w:r>
              <w:rPr>
                <w:rFonts w:ascii="Arial" w:cs="Arial" w:eastAsia="Arial" w:hAnsi="Arial"/>
                <w:sz w:val="16"/>
                <w:szCs w:val="16"/>
                <w:b w:val="1"/>
                <w:bCs w:val="1"/>
                <w:color w:val="auto"/>
              </w:rPr>
              <w:t>2023 Outcome</w:t>
            </w:r>
          </w:p>
        </w:tc>
        <w:tc>
          <w:tcPr>
            <w:tcW w:w="120" w:type="dxa"/>
            <w:vAlign w:val="bottom"/>
            <w:tcBorders>
              <w:top w:val="single" w:sz="8" w:color="7F7F7F"/>
            </w:tcBorders>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tcBorders>
          </w:tcPr>
          <w:p>
            <w:pPr>
              <w:jc w:val="right"/>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2700" w:type="dxa"/>
            <w:vAlign w:val="bottom"/>
            <w:tcBorders>
              <w:top w:val="single" w:sz="8" w:color="7F7F7F"/>
            </w:tcBorders>
            <w:gridSpan w:val="2"/>
          </w:tcPr>
          <w:p>
            <w:pPr>
              <w:ind w:left="60"/>
              <w:spacing w:after="0"/>
              <w:rPr>
                <w:sz w:val="20"/>
                <w:szCs w:val="20"/>
                <w:color w:val="auto"/>
              </w:rPr>
            </w:pPr>
            <w:r>
              <w:rPr>
                <w:rFonts w:ascii="Arial" w:cs="Arial" w:eastAsia="Arial" w:hAnsi="Arial"/>
                <w:sz w:val="16"/>
                <w:szCs w:val="16"/>
                <w:color w:val="auto"/>
              </w:rPr>
              <w:t>Core Net Income Metric Payout</w:t>
            </w:r>
          </w:p>
        </w:tc>
        <w:tc>
          <w:tcPr>
            <w:tcW w:w="120" w:type="dxa"/>
            <w:vAlign w:val="bottom"/>
            <w:tcBorders>
              <w:top w:val="single" w:sz="8" w:color="7F7F7F"/>
            </w:tcBorders>
          </w:tcPr>
          <w:p>
            <w:pPr>
              <w:ind w:left="20"/>
              <w:spacing w:after="0"/>
              <w:rPr>
                <w:sz w:val="20"/>
                <w:szCs w:val="20"/>
                <w:color w:val="auto"/>
              </w:rPr>
            </w:pPr>
            <w:r>
              <w:rPr>
                <w:rFonts w:ascii="Arial" w:cs="Arial" w:eastAsia="Arial" w:hAnsi="Arial"/>
                <w:sz w:val="16"/>
                <w:szCs w:val="16"/>
                <w:color w:val="auto"/>
              </w:rPr>
              <w:t>​</w:t>
            </w:r>
          </w:p>
        </w:tc>
      </w:tr>
      <w:tr>
        <w:trPr>
          <w:trHeight w:val="215"/>
        </w:trPr>
        <w:tc>
          <w:tcPr>
            <w:tcW w:w="10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Factor: 0% of target</w:t>
            </w:r>
          </w:p>
        </w:tc>
        <w:tc>
          <w:tcPr>
            <w:tcW w:w="120" w:type="dxa"/>
            <w:vAlign w:val="bottom"/>
          </w:tcPr>
          <w:p>
            <w:pPr>
              <w:spacing w:after="0"/>
              <w:rPr>
                <w:sz w:val="18"/>
                <w:szCs w:val="18"/>
                <w:color w:val="auto"/>
              </w:rPr>
            </w:pPr>
          </w:p>
        </w:tc>
      </w:tr>
      <w:tr>
        <w:trPr>
          <w:trHeight w:val="311"/>
        </w:trPr>
        <w:tc>
          <w:tcPr>
            <w:tcW w:w="100" w:type="dxa"/>
            <w:vAlign w:val="bottom"/>
            <w:shd w:val="clear" w:color="auto" w:fill="F2F2F2"/>
          </w:tcPr>
          <w:p>
            <w:pPr>
              <w:spacing w:after="0"/>
              <w:rPr>
                <w:sz w:val="24"/>
                <w:szCs w:val="24"/>
                <w:color w:val="auto"/>
              </w:rPr>
            </w:pPr>
          </w:p>
        </w:tc>
        <w:tc>
          <w:tcPr>
            <w:tcW w:w="118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Asset Quality Metric Payout Factor:</w:t>
            </w:r>
          </w:p>
        </w:tc>
        <w:tc>
          <w:tcPr>
            <w:tcW w:w="120" w:type="dxa"/>
            <w:vAlign w:val="bottom"/>
          </w:tcPr>
          <w:p>
            <w:pPr>
              <w:spacing w:after="0"/>
              <w:rPr>
                <w:sz w:val="24"/>
                <w:szCs w:val="24"/>
                <w:color w:val="auto"/>
              </w:rPr>
            </w:pPr>
          </w:p>
        </w:tc>
      </w:tr>
      <w:tr>
        <w:trPr>
          <w:trHeight w:val="216"/>
        </w:trPr>
        <w:tc>
          <w:tcPr>
            <w:tcW w:w="10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150% of target</w:t>
            </w:r>
          </w:p>
        </w:tc>
        <w:tc>
          <w:tcPr>
            <w:tcW w:w="120" w:type="dxa"/>
            <w:vAlign w:val="bottom"/>
          </w:tcPr>
          <w:p>
            <w:pPr>
              <w:spacing w:after="0"/>
              <w:rPr>
                <w:sz w:val="18"/>
                <w:szCs w:val="18"/>
                <w:color w:val="auto"/>
              </w:rPr>
            </w:pPr>
          </w:p>
        </w:tc>
      </w:tr>
      <w:tr>
        <w:trPr>
          <w:trHeight w:val="310"/>
        </w:trPr>
        <w:tc>
          <w:tcPr>
            <w:tcW w:w="100" w:type="dxa"/>
            <w:vAlign w:val="bottom"/>
            <w:shd w:val="clear" w:color="auto" w:fill="F2F2F2"/>
          </w:tcPr>
          <w:p>
            <w:pPr>
              <w:spacing w:after="0"/>
              <w:rPr>
                <w:sz w:val="24"/>
                <w:szCs w:val="24"/>
                <w:color w:val="auto"/>
              </w:rPr>
            </w:pPr>
          </w:p>
        </w:tc>
        <w:tc>
          <w:tcPr>
            <w:tcW w:w="118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Individual CEO Performance</w:t>
            </w:r>
          </w:p>
        </w:tc>
        <w:tc>
          <w:tcPr>
            <w:tcW w:w="120" w:type="dxa"/>
            <w:vAlign w:val="bottom"/>
          </w:tcPr>
          <w:p>
            <w:pPr>
              <w:spacing w:after="0"/>
              <w:rPr>
                <w:sz w:val="24"/>
                <w:szCs w:val="24"/>
                <w:color w:val="auto"/>
              </w:rPr>
            </w:pPr>
          </w:p>
        </w:tc>
      </w:tr>
      <w:tr>
        <w:trPr>
          <w:trHeight w:val="216"/>
        </w:trPr>
        <w:tc>
          <w:tcPr>
            <w:tcW w:w="10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Payout Factor: 105% of target</w:t>
            </w:r>
          </w:p>
        </w:tc>
        <w:tc>
          <w:tcPr>
            <w:tcW w:w="120" w:type="dxa"/>
            <w:vAlign w:val="bottom"/>
          </w:tcPr>
          <w:p>
            <w:pPr>
              <w:spacing w:after="0"/>
              <w:rPr>
                <w:sz w:val="18"/>
                <w:szCs w:val="18"/>
                <w:color w:val="auto"/>
              </w:rPr>
            </w:pPr>
          </w:p>
        </w:tc>
      </w:tr>
      <w:tr>
        <w:trPr>
          <w:trHeight w:val="293"/>
        </w:trPr>
        <w:tc>
          <w:tcPr>
            <w:tcW w:w="100" w:type="dxa"/>
            <w:vAlign w:val="bottom"/>
            <w:tcBorders>
              <w:bottom w:val="single" w:sz="8" w:color="F2F2F2"/>
            </w:tcBorders>
            <w:shd w:val="clear" w:color="auto" w:fill="F2F2F2"/>
          </w:tcPr>
          <w:p>
            <w:pPr>
              <w:spacing w:after="0"/>
              <w:rPr>
                <w:sz w:val="24"/>
                <w:szCs w:val="24"/>
                <w:color w:val="auto"/>
              </w:rPr>
            </w:pPr>
          </w:p>
        </w:tc>
        <w:tc>
          <w:tcPr>
            <w:tcW w:w="1180" w:type="dxa"/>
            <w:vAlign w:val="bottom"/>
            <w:tcBorders>
              <w:bottom w:val="single" w:sz="8" w:color="F2F2F2"/>
            </w:tcBorders>
            <w:shd w:val="clear" w:color="auto" w:fill="F2F2F2"/>
          </w:tcPr>
          <w:p>
            <w:pPr>
              <w:spacing w:after="0"/>
              <w:rPr>
                <w:sz w:val="24"/>
                <w:szCs w:val="24"/>
                <w:color w:val="auto"/>
              </w:rPr>
            </w:pPr>
          </w:p>
        </w:tc>
        <w:tc>
          <w:tcPr>
            <w:tcW w:w="120" w:type="dxa"/>
            <w:vAlign w:val="bottom"/>
            <w:tcBorders>
              <w:bottom w:val="single" w:sz="8" w:color="F2F2F2"/>
            </w:tcBorders>
            <w:shd w:val="clear" w:color="auto" w:fill="F2F2F2"/>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2700" w:type="dxa"/>
            <w:vAlign w:val="bottom"/>
            <w:gridSpan w:val="2"/>
          </w:tcPr>
          <w:p>
            <w:pPr>
              <w:ind w:left="60"/>
              <w:spacing w:after="0"/>
              <w:rPr>
                <w:sz w:val="20"/>
                <w:szCs w:val="20"/>
                <w:color w:val="auto"/>
              </w:rPr>
            </w:pPr>
            <w:r>
              <w:rPr>
                <w:rFonts w:ascii="Arial" w:cs="Arial" w:eastAsia="Arial" w:hAnsi="Arial"/>
                <w:sz w:val="16"/>
                <w:szCs w:val="16"/>
                <w:color w:val="auto"/>
              </w:rPr>
              <w:t>CEO Payout: 62% of target</w:t>
            </w:r>
          </w:p>
        </w:tc>
        <w:tc>
          <w:tcPr>
            <w:tcW w:w="120" w:type="dxa"/>
            <w:vAlign w:val="bottom"/>
          </w:tcPr>
          <w:p>
            <w:pPr>
              <w:spacing w:after="0"/>
              <w:rPr>
                <w:sz w:val="24"/>
                <w:szCs w:val="24"/>
                <w:color w:val="auto"/>
              </w:rPr>
            </w:pPr>
          </w:p>
        </w:tc>
      </w:tr>
      <w:tr>
        <w:trPr>
          <w:trHeight w:val="20"/>
        </w:trPr>
        <w:tc>
          <w:tcPr>
            <w:tcW w:w="100" w:type="dxa"/>
            <w:vAlign w:val="bottom"/>
            <w:shd w:val="clear" w:color="auto" w:fill="BF5B5A"/>
          </w:tcPr>
          <w:p>
            <w:pPr>
              <w:spacing w:after="0" w:line="20" w:lineRule="exact"/>
              <w:rPr>
                <w:sz w:val="1"/>
                <w:szCs w:val="1"/>
                <w:color w:val="auto"/>
              </w:rPr>
            </w:pPr>
          </w:p>
        </w:tc>
        <w:tc>
          <w:tcPr>
            <w:tcW w:w="1180" w:type="dxa"/>
            <w:vAlign w:val="bottom"/>
            <w:shd w:val="clear" w:color="auto" w:fill="BF5B5A"/>
          </w:tcPr>
          <w:p>
            <w:pPr>
              <w:spacing w:after="0" w:line="20" w:lineRule="exact"/>
              <w:rPr>
                <w:sz w:val="1"/>
                <w:szCs w:val="1"/>
                <w:color w:val="auto"/>
              </w:rPr>
            </w:pPr>
          </w:p>
        </w:tc>
        <w:tc>
          <w:tcPr>
            <w:tcW w:w="120" w:type="dxa"/>
            <w:vAlign w:val="bottom"/>
            <w:shd w:val="clear" w:color="auto" w:fill="BF5B5A"/>
          </w:tcPr>
          <w:p>
            <w:pPr>
              <w:spacing w:after="0" w:line="20" w:lineRule="exact"/>
              <w:rPr>
                <w:sz w:val="1"/>
                <w:szCs w:val="1"/>
                <w:color w:val="auto"/>
              </w:rPr>
            </w:pPr>
          </w:p>
        </w:tc>
        <w:tc>
          <w:tcPr>
            <w:tcW w:w="220" w:type="dxa"/>
            <w:vAlign w:val="bottom"/>
            <w:shd w:val="clear" w:color="auto" w:fill="BF5B5A"/>
          </w:tcPr>
          <w:p>
            <w:pPr>
              <w:spacing w:after="0" w:line="20" w:lineRule="exact"/>
              <w:rPr>
                <w:sz w:val="1"/>
                <w:szCs w:val="1"/>
                <w:color w:val="auto"/>
              </w:rPr>
            </w:pPr>
          </w:p>
        </w:tc>
        <w:tc>
          <w:tcPr>
            <w:tcW w:w="400" w:type="dxa"/>
            <w:vAlign w:val="bottom"/>
            <w:shd w:val="clear" w:color="auto" w:fill="BF5B5A"/>
          </w:tcPr>
          <w:p>
            <w:pPr>
              <w:spacing w:after="0" w:line="20" w:lineRule="exact"/>
              <w:rPr>
                <w:sz w:val="1"/>
                <w:szCs w:val="1"/>
                <w:color w:val="auto"/>
              </w:rPr>
            </w:pPr>
          </w:p>
        </w:tc>
        <w:tc>
          <w:tcPr>
            <w:tcW w:w="2300" w:type="dxa"/>
            <w:vAlign w:val="bottom"/>
            <w:shd w:val="clear" w:color="auto" w:fill="BF5B5A"/>
          </w:tcPr>
          <w:p>
            <w:pPr>
              <w:spacing w:after="0" w:line="20" w:lineRule="exact"/>
              <w:rPr>
                <w:sz w:val="1"/>
                <w:szCs w:val="1"/>
                <w:color w:val="auto"/>
              </w:rPr>
            </w:pPr>
          </w:p>
        </w:tc>
        <w:tc>
          <w:tcPr>
            <w:tcW w:w="120" w:type="dxa"/>
            <w:vAlign w:val="bottom"/>
            <w:shd w:val="clear" w:color="auto" w:fill="BF5B5A"/>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940" w:type="dxa"/>
            <w:vAlign w:val="bottom"/>
            <w:gridSpan w:val="5"/>
            <w:shd w:val="clear" w:color="auto" w:fill="BF5B5A"/>
          </w:tcPr>
          <w:p>
            <w:pPr>
              <w:spacing w:after="0"/>
              <w:rPr>
                <w:sz w:val="20"/>
                <w:szCs w:val="20"/>
                <w:color w:val="auto"/>
              </w:rPr>
            </w:pPr>
            <w:r>
              <w:rPr>
                <w:rFonts w:ascii="Arial" w:cs="Arial" w:eastAsia="Arial" w:hAnsi="Arial"/>
                <w:sz w:val="16"/>
                <w:szCs w:val="16"/>
                <w:b w:val="1"/>
                <w:bCs w:val="1"/>
                <w:color w:val="FFFFFF"/>
                <w:w w:val="95"/>
              </w:rPr>
              <w:t>​ Long-Term Incentive Plan</w:t>
            </w:r>
          </w:p>
        </w:tc>
        <w:tc>
          <w:tcPr>
            <w:tcW w:w="2400" w:type="dxa"/>
            <w:vAlign w:val="bottom"/>
            <w:shd w:val="clear" w:color="auto" w:fill="BF5B5A"/>
          </w:tcPr>
          <w:p>
            <w:pPr>
              <w:spacing w:after="0"/>
              <w:rPr>
                <w:sz w:val="22"/>
                <w:szCs w:val="22"/>
                <w:color w:val="auto"/>
              </w:rPr>
            </w:pPr>
          </w:p>
        </w:tc>
        <w:tc>
          <w:tcPr>
            <w:tcW w:w="1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10"/>
        </w:trPr>
        <w:tc>
          <w:tcPr>
            <w:tcW w:w="8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2023 Vehicles</w:t>
            </w: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line="31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420" w:type="dxa"/>
            <w:vAlign w:val="bottom"/>
          </w:tcPr>
          <w:p>
            <w:pPr>
              <w:ind w:left="60"/>
              <w:spacing w:after="0"/>
              <w:rPr>
                <w:sz w:val="20"/>
                <w:szCs w:val="20"/>
                <w:color w:val="auto"/>
              </w:rPr>
            </w:pPr>
            <w:r>
              <w:rPr>
                <w:rFonts w:ascii="Arial" w:cs="Arial" w:eastAsia="Arial" w:hAnsi="Arial"/>
                <w:sz w:val="16"/>
                <w:szCs w:val="16"/>
                <w:color w:val="auto"/>
              </w:rPr>
              <w:t>60%</w:t>
            </w:r>
          </w:p>
        </w:tc>
        <w:tc>
          <w:tcPr>
            <w:tcW w:w="240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 w:type="dxa"/>
            <w:vAlign w:val="bottom"/>
            <w:tcBorders>
              <w:bottom w:val="single" w:sz="8" w:color="7F7F7F"/>
            </w:tcBorders>
            <w:shd w:val="clear" w:color="auto" w:fill="F2F2F2"/>
          </w:tcPr>
          <w:p>
            <w:pPr>
              <w:spacing w:after="0"/>
              <w:rPr>
                <w:sz w:val="18"/>
                <w:szCs w:val="18"/>
                <w:color w:val="auto"/>
              </w:rPr>
            </w:pPr>
          </w:p>
        </w:tc>
        <w:tc>
          <w:tcPr>
            <w:tcW w:w="1140" w:type="dxa"/>
            <w:vAlign w:val="bottom"/>
            <w:tcBorders>
              <w:bottom w:val="single" w:sz="8" w:color="7F7F7F"/>
            </w:tcBorders>
            <w:shd w:val="clear" w:color="auto" w:fill="F2F2F2"/>
          </w:tcPr>
          <w:p>
            <w:pPr>
              <w:spacing w:after="0"/>
              <w:rPr>
                <w:sz w:val="18"/>
                <w:szCs w:val="18"/>
                <w:color w:val="auto"/>
              </w:rPr>
            </w:pPr>
          </w:p>
        </w:tc>
        <w:tc>
          <w:tcPr>
            <w:tcW w:w="100" w:type="dxa"/>
            <w:vAlign w:val="bottom"/>
            <w:tcBorders>
              <w:bottom w:val="single" w:sz="8" w:color="7F7F7F"/>
            </w:tcBorders>
            <w:shd w:val="clear" w:color="auto" w:fill="F2F2F2"/>
          </w:tcPr>
          <w:p>
            <w:pPr>
              <w:spacing w:after="0"/>
              <w:rPr>
                <w:sz w:val="18"/>
                <w:szCs w:val="18"/>
                <w:color w:val="auto"/>
              </w:rPr>
            </w:pP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BF5B5A"/>
              </w:rPr>
              <w:t>•</w:t>
            </w:r>
          </w:p>
        </w:tc>
        <w:tc>
          <w:tcPr>
            <w:tcW w:w="42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40%</w:t>
            </w:r>
          </w:p>
        </w:tc>
        <w:tc>
          <w:tcPr>
            <w:tcW w:w="240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Restricted Stock Units</w:t>
            </w:r>
          </w:p>
        </w:tc>
        <w:tc>
          <w:tcPr>
            <w:tcW w:w="10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2023-2025</w:t>
            </w: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420" w:type="dxa"/>
            <w:vAlign w:val="bottom"/>
          </w:tcPr>
          <w:p>
            <w:pPr>
              <w:ind w:left="60"/>
              <w:spacing w:after="0"/>
              <w:rPr>
                <w:sz w:val="20"/>
                <w:szCs w:val="20"/>
                <w:color w:val="auto"/>
              </w:rPr>
            </w:pPr>
            <w:r>
              <w:rPr>
                <w:rFonts w:ascii="Arial" w:cs="Arial" w:eastAsia="Arial" w:hAnsi="Arial"/>
                <w:sz w:val="16"/>
                <w:szCs w:val="16"/>
                <w:color w:val="auto"/>
              </w:rPr>
              <w:t>70%</w:t>
            </w:r>
          </w:p>
        </w:tc>
        <w:tc>
          <w:tcPr>
            <w:tcW w:w="2500" w:type="dxa"/>
            <w:vAlign w:val="bottom"/>
            <w:gridSpan w:val="2"/>
          </w:tcPr>
          <w:p>
            <w:pPr>
              <w:ind w:left="20"/>
              <w:spacing w:after="0" w:line="276" w:lineRule="exact"/>
              <w:rPr>
                <w:sz w:val="20"/>
                <w:szCs w:val="20"/>
                <w:color w:val="auto"/>
              </w:rPr>
            </w:pPr>
            <w:r>
              <w:rPr>
                <w:rFonts w:ascii="Arial" w:cs="Arial" w:eastAsia="Arial" w:hAnsi="Arial"/>
                <w:sz w:val="16"/>
                <w:szCs w:val="16"/>
                <w:color w:val="auto"/>
              </w:rPr>
              <w:t>Relative ROATE vs. Peer Group</w:t>
            </w:r>
            <w:r>
              <w:rPr>
                <w:rFonts w:ascii="Arial" w:cs="Arial" w:eastAsia="Arial" w:hAnsi="Arial"/>
                <w:sz w:val="32"/>
                <w:szCs w:val="32"/>
                <w:color w:val="auto"/>
                <w:vertAlign w:val="superscript"/>
              </w:rPr>
              <w:t>​</w:t>
            </w: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Performance</w:t>
            </w:r>
          </w:p>
        </w:tc>
        <w:tc>
          <w:tcPr>
            <w:tcW w:w="100" w:type="dxa"/>
            <w:vAlign w:val="bottom"/>
            <w:shd w:val="clear" w:color="auto" w:fill="F2F2F2"/>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BF5B5A"/>
              </w:rPr>
              <w:t>•</w:t>
            </w:r>
          </w:p>
        </w:tc>
        <w:tc>
          <w:tcPr>
            <w:tcW w:w="420" w:type="dxa"/>
            <w:vAlign w:val="bottom"/>
          </w:tcPr>
          <w:p>
            <w:pPr>
              <w:ind w:left="60"/>
              <w:spacing w:after="0"/>
              <w:rPr>
                <w:sz w:val="20"/>
                <w:szCs w:val="20"/>
                <w:color w:val="auto"/>
              </w:rPr>
            </w:pPr>
            <w:r>
              <w:rPr>
                <w:rFonts w:ascii="Arial" w:cs="Arial" w:eastAsia="Arial" w:hAnsi="Arial"/>
                <w:sz w:val="16"/>
                <w:szCs w:val="16"/>
                <w:color w:val="auto"/>
              </w:rPr>
              <w:t>30%</w:t>
            </w:r>
          </w:p>
        </w:tc>
        <w:tc>
          <w:tcPr>
            <w:tcW w:w="2400" w:type="dxa"/>
            <w:vAlign w:val="bottom"/>
          </w:tcPr>
          <w:p>
            <w:pPr>
              <w:ind w:left="20"/>
              <w:spacing w:after="0"/>
              <w:rPr>
                <w:sz w:val="20"/>
                <w:szCs w:val="20"/>
                <w:color w:val="auto"/>
              </w:rPr>
            </w:pPr>
            <w:r>
              <w:rPr>
                <w:rFonts w:ascii="Arial" w:cs="Arial" w:eastAsia="Arial" w:hAnsi="Arial"/>
                <w:sz w:val="16"/>
                <w:szCs w:val="16"/>
                <w:color w:val="auto"/>
              </w:rPr>
              <w:t>Relative ROATA vs. Peer Group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Share Unit</w:t>
            </w:r>
          </w:p>
        </w:tc>
        <w:tc>
          <w:tcPr>
            <w:tcW w:w="100" w:type="dxa"/>
            <w:vAlign w:val="bottom"/>
            <w:shd w:val="clear" w:color="auto" w:fill="F2F2F2"/>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BF5B5A"/>
              </w:rPr>
              <w:t>•</w:t>
            </w:r>
          </w:p>
        </w:tc>
        <w:tc>
          <w:tcPr>
            <w:tcW w:w="2820" w:type="dxa"/>
            <w:vAlign w:val="bottom"/>
            <w:gridSpan w:val="2"/>
            <w:vMerge w:val="restart"/>
          </w:tcPr>
          <w:p>
            <w:pPr>
              <w:ind w:left="60"/>
              <w:spacing w:after="0"/>
              <w:rPr>
                <w:sz w:val="20"/>
                <w:szCs w:val="20"/>
                <w:color w:val="auto"/>
              </w:rPr>
            </w:pPr>
            <w:r>
              <w:rPr>
                <w:rFonts w:ascii="Arial" w:cs="Arial" w:eastAsia="Arial" w:hAnsi="Arial"/>
                <w:sz w:val="16"/>
                <w:szCs w:val="16"/>
                <w:color w:val="auto"/>
              </w:rPr>
              <w:t>+/-25% Relative TSR modifier vs.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0" w:type="dxa"/>
            <w:vAlign w:val="bottom"/>
            <w:shd w:val="clear" w:color="auto" w:fill="F2F2F2"/>
          </w:tcPr>
          <w:p>
            <w:pPr>
              <w:spacing w:after="0"/>
              <w:rPr>
                <w:sz w:val="9"/>
                <w:szCs w:val="9"/>
                <w:color w:val="auto"/>
              </w:rPr>
            </w:pPr>
          </w:p>
        </w:tc>
        <w:tc>
          <w:tcPr>
            <w:tcW w:w="114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auto"/>
              </w:rPr>
              <w:t>Metrics</w:t>
            </w:r>
          </w:p>
        </w:tc>
        <w:tc>
          <w:tcPr>
            <w:tcW w:w="100" w:type="dxa"/>
            <w:vAlign w:val="bottom"/>
            <w:shd w:val="clear" w:color="auto" w:fill="F2F2F2"/>
          </w:tcPr>
          <w:p>
            <w:pPr>
              <w:spacing w:after="0"/>
              <w:rPr>
                <w:sz w:val="9"/>
                <w:szCs w:val="9"/>
                <w:color w:val="auto"/>
              </w:rPr>
            </w:pPr>
          </w:p>
        </w:tc>
        <w:tc>
          <w:tcPr>
            <w:tcW w:w="200" w:type="dxa"/>
            <w:vAlign w:val="bottom"/>
            <w:vMerge w:val="continue"/>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0" w:type="dxa"/>
            <w:vAlign w:val="bottom"/>
            <w:shd w:val="clear" w:color="auto" w:fill="F2F2F2"/>
          </w:tcPr>
          <w:p>
            <w:pPr>
              <w:spacing w:after="0"/>
              <w:rPr>
                <w:sz w:val="10"/>
                <w:szCs w:val="10"/>
                <w:color w:val="auto"/>
              </w:rPr>
            </w:pPr>
          </w:p>
        </w:tc>
        <w:tc>
          <w:tcPr>
            <w:tcW w:w="1140" w:type="dxa"/>
            <w:vAlign w:val="bottom"/>
            <w:vMerge w:val="continue"/>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200" w:type="dxa"/>
            <w:vAlign w:val="bottom"/>
          </w:tcPr>
          <w:p>
            <w:pPr>
              <w:spacing w:after="0"/>
              <w:rPr>
                <w:sz w:val="10"/>
                <w:szCs w:val="10"/>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6"/>
                <w:szCs w:val="16"/>
                <w:color w:val="auto"/>
              </w:rPr>
              <w:t>KBW Index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F2F2F2"/>
            </w:tcBorders>
            <w:shd w:val="clear" w:color="auto" w:fill="F2F2F2"/>
          </w:tcPr>
          <w:p>
            <w:pPr>
              <w:spacing w:after="0"/>
              <w:rPr>
                <w:sz w:val="11"/>
                <w:szCs w:val="11"/>
                <w:color w:val="auto"/>
              </w:rPr>
            </w:pPr>
          </w:p>
        </w:tc>
        <w:tc>
          <w:tcPr>
            <w:tcW w:w="1140" w:type="dxa"/>
            <w:vAlign w:val="bottom"/>
            <w:tcBorders>
              <w:bottom w:val="single" w:sz="8" w:color="F2F2F2"/>
            </w:tcBorders>
            <w:shd w:val="clear" w:color="auto" w:fill="F2F2F2"/>
          </w:tcPr>
          <w:p>
            <w:pPr>
              <w:spacing w:after="0"/>
              <w:rPr>
                <w:sz w:val="11"/>
                <w:szCs w:val="11"/>
                <w:color w:val="auto"/>
              </w:rPr>
            </w:pPr>
          </w:p>
        </w:tc>
        <w:tc>
          <w:tcPr>
            <w:tcW w:w="100" w:type="dxa"/>
            <w:vAlign w:val="bottom"/>
            <w:tcBorders>
              <w:bottom w:val="single" w:sz="8" w:color="F2F2F2"/>
            </w:tcBorders>
            <w:shd w:val="clear" w:color="auto" w:fill="F2F2F2"/>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80" w:type="dxa"/>
            <w:vAlign w:val="bottom"/>
            <w:tcBorders>
              <w:top w:val="single" w:sz="8" w:color="7F7F7F"/>
            </w:tcBorders>
            <w:shd w:val="clear" w:color="auto" w:fill="F2F2F2"/>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7F7F7F"/>
            </w:tcBorders>
            <w:shd w:val="clear" w:color="auto" w:fill="F2F2F2"/>
          </w:tcPr>
          <w:p>
            <w:pPr>
              <w:spacing w:after="0"/>
              <w:rPr>
                <w:sz w:val="20"/>
                <w:szCs w:val="20"/>
                <w:color w:val="auto"/>
              </w:rPr>
            </w:pPr>
            <w:r>
              <w:rPr>
                <w:rFonts w:ascii="Arial" w:cs="Arial" w:eastAsia="Arial" w:hAnsi="Arial"/>
                <w:sz w:val="16"/>
                <w:szCs w:val="16"/>
                <w:b w:val="1"/>
                <w:bCs w:val="1"/>
                <w:color w:val="auto"/>
              </w:rPr>
              <w:t>2021-2023</w:t>
            </w:r>
          </w:p>
        </w:tc>
        <w:tc>
          <w:tcPr>
            <w:tcW w:w="100" w:type="dxa"/>
            <w:vAlign w:val="bottom"/>
            <w:tcBorders>
              <w:top w:val="single" w:sz="8" w:color="7F7F7F"/>
            </w:tcBorders>
            <w:shd w:val="clear" w:color="auto" w:fill="F2F2F2"/>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7F7F7F"/>
            </w:tcBorders>
          </w:tcPr>
          <w:p>
            <w:pPr>
              <w:jc w:val="right"/>
              <w:spacing w:after="0" w:line="276"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32"/>
                <w:szCs w:val="32"/>
                <w:color w:val="BF5B5A"/>
                <w:vertAlign w:val="subscript"/>
              </w:rPr>
              <w:t>•</w:t>
            </w:r>
          </w:p>
        </w:tc>
        <w:tc>
          <w:tcPr>
            <w:tcW w:w="2820" w:type="dxa"/>
            <w:vAlign w:val="bottom"/>
            <w:tcBorders>
              <w:top w:val="single" w:sz="8" w:color="7F7F7F"/>
            </w:tcBorders>
            <w:gridSpan w:val="2"/>
          </w:tcPr>
          <w:p>
            <w:pPr>
              <w:ind w:left="60"/>
              <w:spacing w:after="0"/>
              <w:rPr>
                <w:sz w:val="20"/>
                <w:szCs w:val="20"/>
                <w:color w:val="auto"/>
              </w:rPr>
            </w:pPr>
            <w:r>
              <w:rPr>
                <w:rFonts w:ascii="Arial" w:cs="Arial" w:eastAsia="Arial" w:hAnsi="Arial"/>
                <w:sz w:val="16"/>
                <w:szCs w:val="16"/>
                <w:color w:val="auto"/>
              </w:rPr>
              <w:t>NEO Payout Factor: 121.3% of</w:t>
            </w:r>
          </w:p>
        </w:tc>
        <w:tc>
          <w:tcPr>
            <w:tcW w:w="10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Performance</w:t>
            </w:r>
          </w:p>
        </w:tc>
        <w:tc>
          <w:tcPr>
            <w:tcW w:w="100" w:type="dxa"/>
            <w:vAlign w:val="bottom"/>
            <w:shd w:val="clear" w:color="auto" w:fill="F2F2F2"/>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ind w:left="60"/>
              <w:spacing w:after="0"/>
              <w:rPr>
                <w:sz w:val="20"/>
                <w:szCs w:val="20"/>
                <w:color w:val="auto"/>
              </w:rPr>
            </w:pPr>
            <w:r>
              <w:rPr>
                <w:rFonts w:ascii="Arial" w:cs="Arial" w:eastAsia="Arial" w:hAnsi="Arial"/>
                <w:sz w:val="16"/>
                <w:szCs w:val="16"/>
                <w:color w:val="auto"/>
              </w:rPr>
              <w:t>target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2F2F2"/>
          </w:tcPr>
          <w:p>
            <w:pPr>
              <w:spacing w:after="0"/>
              <w:rPr>
                <w:sz w:val="18"/>
                <w:szCs w:val="18"/>
                <w:color w:val="auto"/>
              </w:rPr>
            </w:pPr>
          </w:p>
        </w:tc>
        <w:tc>
          <w:tcPr>
            <w:tcW w:w="1140" w:type="dxa"/>
            <w:vAlign w:val="bottom"/>
            <w:shd w:val="clear" w:color="auto" w:fill="F2F2F2"/>
          </w:tcPr>
          <w:p>
            <w:pPr>
              <w:spacing w:after="0"/>
              <w:rPr>
                <w:sz w:val="20"/>
                <w:szCs w:val="20"/>
                <w:color w:val="auto"/>
              </w:rPr>
            </w:pPr>
            <w:r>
              <w:rPr>
                <w:rFonts w:ascii="Arial" w:cs="Arial" w:eastAsia="Arial" w:hAnsi="Arial"/>
                <w:sz w:val="16"/>
                <w:szCs w:val="16"/>
                <w:b w:val="1"/>
                <w:bCs w:val="1"/>
                <w:color w:val="auto"/>
              </w:rPr>
              <w:t>Share Award</w:t>
            </w:r>
          </w:p>
        </w:tc>
        <w:tc>
          <w:tcPr>
            <w:tcW w:w="100" w:type="dxa"/>
            <w:vAlign w:val="bottom"/>
            <w:shd w:val="clear" w:color="auto" w:fill="F2F2F2"/>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Borders>
              <w:bottom w:val="single" w:sz="8" w:color="F2F2F2"/>
            </w:tcBorders>
            <w:shd w:val="clear" w:color="auto" w:fill="F2F2F2"/>
          </w:tcPr>
          <w:p>
            <w:pPr>
              <w:spacing w:after="0"/>
              <w:rPr>
                <w:sz w:val="21"/>
                <w:szCs w:val="21"/>
                <w:color w:val="auto"/>
              </w:rPr>
            </w:pPr>
          </w:p>
        </w:tc>
        <w:tc>
          <w:tcPr>
            <w:tcW w:w="11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6"/>
                <w:szCs w:val="16"/>
                <w:b w:val="1"/>
                <w:bCs w:val="1"/>
                <w:color w:val="auto"/>
              </w:rPr>
              <w:t>Outcome</w:t>
            </w:r>
          </w:p>
        </w:tc>
        <w:tc>
          <w:tcPr>
            <w:tcW w:w="100" w:type="dxa"/>
            <w:vAlign w:val="bottom"/>
            <w:tcBorders>
              <w:bottom w:val="single" w:sz="8" w:color="F2F2F2"/>
            </w:tcBorders>
            <w:shd w:val="clear" w:color="auto" w:fill="F2F2F2"/>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BF5B5A"/>
          </w:tcPr>
          <w:p>
            <w:pPr>
              <w:spacing w:after="0" w:line="20" w:lineRule="exact"/>
              <w:rPr>
                <w:sz w:val="1"/>
                <w:szCs w:val="1"/>
                <w:color w:val="auto"/>
              </w:rPr>
            </w:pPr>
          </w:p>
        </w:tc>
        <w:tc>
          <w:tcPr>
            <w:tcW w:w="1140" w:type="dxa"/>
            <w:vAlign w:val="bottom"/>
            <w:shd w:val="clear" w:color="auto" w:fill="BF5B5A"/>
          </w:tcPr>
          <w:p>
            <w:pPr>
              <w:spacing w:after="0" w:line="20" w:lineRule="exact"/>
              <w:rPr>
                <w:sz w:val="1"/>
                <w:szCs w:val="1"/>
                <w:color w:val="auto"/>
              </w:rPr>
            </w:pPr>
          </w:p>
        </w:tc>
        <w:tc>
          <w:tcPr>
            <w:tcW w:w="100" w:type="dxa"/>
            <w:vAlign w:val="bottom"/>
            <w:shd w:val="clear" w:color="auto" w:fill="BF5B5A"/>
          </w:tcPr>
          <w:p>
            <w:pPr>
              <w:spacing w:after="0" w:line="20" w:lineRule="exact"/>
              <w:rPr>
                <w:sz w:val="1"/>
                <w:szCs w:val="1"/>
                <w:color w:val="auto"/>
              </w:rPr>
            </w:pPr>
          </w:p>
        </w:tc>
        <w:tc>
          <w:tcPr>
            <w:tcW w:w="200" w:type="dxa"/>
            <w:vAlign w:val="bottom"/>
            <w:shd w:val="clear" w:color="auto" w:fill="BF5B5A"/>
          </w:tcPr>
          <w:p>
            <w:pPr>
              <w:spacing w:after="0" w:line="20" w:lineRule="exact"/>
              <w:rPr>
                <w:sz w:val="1"/>
                <w:szCs w:val="1"/>
                <w:color w:val="auto"/>
              </w:rPr>
            </w:pPr>
          </w:p>
        </w:tc>
        <w:tc>
          <w:tcPr>
            <w:tcW w:w="420" w:type="dxa"/>
            <w:vAlign w:val="bottom"/>
            <w:shd w:val="clear" w:color="auto" w:fill="BF5B5A"/>
          </w:tcPr>
          <w:p>
            <w:pPr>
              <w:spacing w:after="0" w:line="20" w:lineRule="exact"/>
              <w:rPr>
                <w:sz w:val="1"/>
                <w:szCs w:val="1"/>
                <w:color w:val="auto"/>
              </w:rPr>
            </w:pPr>
          </w:p>
        </w:tc>
        <w:tc>
          <w:tcPr>
            <w:tcW w:w="2400" w:type="dxa"/>
            <w:vAlign w:val="bottom"/>
            <w:shd w:val="clear" w:color="auto" w:fill="BF5B5A"/>
          </w:tcPr>
          <w:p>
            <w:pPr>
              <w:spacing w:after="0" w:line="20" w:lineRule="exact"/>
              <w:rPr>
                <w:sz w:val="1"/>
                <w:szCs w:val="1"/>
                <w:color w:val="auto"/>
              </w:rPr>
            </w:pPr>
          </w:p>
        </w:tc>
        <w:tc>
          <w:tcPr>
            <w:tcW w:w="100" w:type="dxa"/>
            <w:vAlign w:val="bottom"/>
            <w:shd w:val="clear" w:color="auto" w:fill="BF5B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1" w:lineRule="exact"/>
        <w:rPr>
          <w:sz w:val="20"/>
          <w:szCs w:val="20"/>
          <w:color w:val="auto"/>
        </w:rPr>
      </w:pPr>
    </w:p>
    <w:p>
      <w:pPr>
        <w:sectPr>
          <w:pgSz w:w="11900" w:h="16838" w:orient="portrait"/>
          <w:cols w:equalWidth="0" w:num="2">
            <w:col w:w="5220" w:space="300"/>
            <w:col w:w="4520"/>
          </w:cols>
          <w:pgMar w:left="580" w:top="97" w:right="1279" w:bottom="1440" w:gutter="0" w:footer="0" w:header="0"/>
          <w:type w:val="continuous"/>
        </w:sectPr>
      </w:pPr>
    </w:p>
    <w:p>
      <w:pPr>
        <w:spacing w:after="0" w:line="119" w:lineRule="exact"/>
        <w:rPr>
          <w:sz w:val="20"/>
          <w:szCs w:val="20"/>
          <w:color w:val="auto"/>
        </w:rPr>
      </w:pPr>
    </w:p>
    <w:p>
      <w:pPr>
        <w:jc w:val="both"/>
        <w:ind w:left="780" w:right="260"/>
        <w:spacing w:after="0" w:line="292" w:lineRule="auto"/>
        <w:rPr>
          <w:sz w:val="20"/>
          <w:szCs w:val="20"/>
          <w:color w:val="auto"/>
        </w:rPr>
      </w:pPr>
      <w:r>
        <w:rPr>
          <w:rFonts w:ascii="Arial" w:cs="Arial" w:eastAsia="Arial" w:hAnsi="Arial"/>
          <w:sz w:val="18"/>
          <w:szCs w:val="18"/>
          <w:color w:val="auto"/>
        </w:rPr>
        <w:t>For 2023, consistent with its approach in recent years, the Committee chose not to exercise discretion on any incentive programs but rather elected to follow the formulas that had been established for awards at the time the awards were made.</w:t>
      </w:r>
    </w:p>
    <w:p>
      <w:pPr>
        <w:sectPr>
          <w:pgSz w:w="11900" w:h="16838" w:orient="portrait"/>
          <w:cols w:equalWidth="0" w:num="1">
            <w:col w:w="1004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Our Compensation Philosophy</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7" w:lineRule="exact"/>
        <w:rPr>
          <w:sz w:val="20"/>
          <w:szCs w:val="20"/>
          <w:color w:val="auto"/>
        </w:rPr>
      </w:pPr>
    </w:p>
    <w:p>
      <w:pPr>
        <w:ind w:left="780" w:right="160"/>
        <w:spacing w:after="0" w:line="273" w:lineRule="auto"/>
        <w:rPr>
          <w:sz w:val="20"/>
          <w:szCs w:val="20"/>
          <w:color w:val="auto"/>
        </w:rPr>
      </w:pPr>
      <w:r>
        <w:rPr>
          <w:rFonts w:ascii="Arial" w:cs="Arial" w:eastAsia="Arial" w:hAnsi="Arial"/>
          <w:sz w:val="18"/>
          <w:szCs w:val="18"/>
          <w:color w:val="auto"/>
        </w:rPr>
        <w:t>Our compensation program is aligned with short-and long-term Company performance and includes best practices designed to reflect sound corporate governance and support the following objectives:</w:t>
      </w:r>
    </w:p>
    <w:p>
      <w:pPr>
        <w:spacing w:after="0" w:line="71" w:lineRule="exact"/>
        <w:rPr>
          <w:sz w:val="20"/>
          <w:szCs w:val="20"/>
          <w:color w:val="auto"/>
        </w:rPr>
      </w:pPr>
    </w:p>
    <w:p>
      <w:pPr>
        <w:ind w:left="1420" w:right="80" w:hanging="280"/>
        <w:spacing w:after="0" w:line="318"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Attract and retain highly qualified, motivated and experienced executives</w:t>
      </w:r>
    </w:p>
    <w:p>
      <w:pPr>
        <w:spacing w:after="0" w:line="31" w:lineRule="exact"/>
        <w:rPr>
          <w:rFonts w:ascii="Arial" w:cs="Arial" w:eastAsia="Arial" w:hAnsi="Arial"/>
          <w:sz w:val="18"/>
          <w:szCs w:val="18"/>
          <w:color w:val="BF5B5A"/>
        </w:rPr>
      </w:pPr>
    </w:p>
    <w:p>
      <w:pPr>
        <w:ind w:left="1420" w:right="340" w:hanging="280"/>
        <w:spacing w:after="0" w:line="303"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Provide total compensation opportunities that are competitive</w:t>
      </w:r>
    </w:p>
    <w:p>
      <w:pPr>
        <w:spacing w:after="0" w:line="44" w:lineRule="exact"/>
        <w:rPr>
          <w:rFonts w:ascii="Arial" w:cs="Arial" w:eastAsia="Arial" w:hAnsi="Arial"/>
          <w:sz w:val="18"/>
          <w:szCs w:val="18"/>
          <w:color w:val="BF5B5A"/>
        </w:rPr>
      </w:pPr>
    </w:p>
    <w:p>
      <w:pPr>
        <w:ind w:left="1420" w:right="220" w:hanging="280"/>
        <w:spacing w:after="0" w:line="303"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Pay our executives for performance based on corporate and business unit measures</w:t>
      </w:r>
    </w:p>
    <w:p>
      <w:pPr>
        <w:spacing w:after="0" w:line="44" w:lineRule="exact"/>
        <w:rPr>
          <w:rFonts w:ascii="Arial" w:cs="Arial" w:eastAsia="Arial" w:hAnsi="Arial"/>
          <w:sz w:val="18"/>
          <w:szCs w:val="18"/>
          <w:color w:val="BF5B5A"/>
        </w:rPr>
      </w:pPr>
    </w:p>
    <w:p>
      <w:pPr>
        <w:ind w:left="1420" w:right="300" w:hanging="280"/>
        <w:spacing w:after="0" w:line="318"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Link corporate compensation goals to the interests of stockholders</w:t>
      </w:r>
    </w:p>
    <w:p>
      <w:pPr>
        <w:spacing w:after="0" w:line="31" w:lineRule="exact"/>
        <w:rPr>
          <w:rFonts w:ascii="Arial" w:cs="Arial" w:eastAsia="Arial" w:hAnsi="Arial"/>
          <w:sz w:val="18"/>
          <w:szCs w:val="18"/>
          <w:color w:val="BF5B5A"/>
        </w:rPr>
      </w:pPr>
    </w:p>
    <w:p>
      <w:pPr>
        <w:ind w:left="1420" w:hanging="280"/>
        <w:spacing w:after="0" w:line="303"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Recognize and reward outstanding Company and individual performance</w:t>
      </w:r>
    </w:p>
    <w:p>
      <w:pPr>
        <w:spacing w:after="0" w:line="44" w:lineRule="exact"/>
        <w:rPr>
          <w:rFonts w:ascii="Arial" w:cs="Arial" w:eastAsia="Arial" w:hAnsi="Arial"/>
          <w:sz w:val="18"/>
          <w:szCs w:val="18"/>
          <w:color w:val="BF5B5A"/>
        </w:rPr>
      </w:pPr>
    </w:p>
    <w:p>
      <w:pPr>
        <w:ind w:left="1420" w:right="140" w:hanging="280"/>
        <w:spacing w:after="0" w:line="303" w:lineRule="auto"/>
        <w:tabs>
          <w:tab w:leader="none" w:pos="1420" w:val="left"/>
        </w:tabs>
        <w:numPr>
          <w:ilvl w:val="0"/>
          <w:numId w:val="94"/>
        </w:numPr>
        <w:rPr>
          <w:rFonts w:ascii="Arial" w:cs="Arial" w:eastAsia="Arial" w:hAnsi="Arial"/>
          <w:sz w:val="18"/>
          <w:szCs w:val="18"/>
          <w:color w:val="BF5B5A"/>
        </w:rPr>
      </w:pPr>
      <w:r>
        <w:rPr>
          <w:rFonts w:ascii="Arial" w:cs="Arial" w:eastAsia="Arial" w:hAnsi="Arial"/>
          <w:sz w:val="18"/>
          <w:szCs w:val="18"/>
          <w:color w:val="auto"/>
        </w:rPr>
        <w:t>Ensure our stockholders clearly understand our rewards program</w:t>
      </w:r>
    </w:p>
    <w:p>
      <w:pPr>
        <w:spacing w:after="0" w:line="264" w:lineRule="exact"/>
        <w:rPr>
          <w:sz w:val="20"/>
          <w:szCs w:val="20"/>
          <w:color w:val="auto"/>
        </w:rPr>
      </w:pPr>
    </w:p>
    <w:p>
      <w:pPr>
        <w:ind w:left="820" w:right="180"/>
        <w:spacing w:after="0" w:line="285" w:lineRule="auto"/>
        <w:rPr>
          <w:sz w:val="20"/>
          <w:szCs w:val="20"/>
          <w:color w:val="auto"/>
        </w:rPr>
      </w:pPr>
      <w:r>
        <w:rPr>
          <w:rFonts w:ascii="Arial" w:cs="Arial" w:eastAsia="Arial" w:hAnsi="Arial"/>
          <w:sz w:val="22"/>
          <w:szCs w:val="22"/>
          <w:b w:val="1"/>
          <w:bCs w:val="1"/>
          <w:color w:val="auto"/>
        </w:rPr>
        <w:t>Using Executive Compensation Design to Achieve Corporate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27603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72" w:lineRule="exact"/>
        <w:rPr>
          <w:sz w:val="20"/>
          <w:szCs w:val="20"/>
          <w:color w:val="auto"/>
        </w:rPr>
      </w:pPr>
    </w:p>
    <w:p>
      <w:pPr>
        <w:ind w:left="780" w:right="120"/>
        <w:spacing w:after="0" w:line="267" w:lineRule="auto"/>
        <w:rPr>
          <w:sz w:val="20"/>
          <w:szCs w:val="20"/>
          <w:color w:val="auto"/>
        </w:rPr>
      </w:pPr>
      <w:r>
        <w:rPr>
          <w:rFonts w:ascii="Arial" w:cs="Arial" w:eastAsia="Arial" w:hAnsi="Arial"/>
          <w:sz w:val="18"/>
          <w:szCs w:val="18"/>
          <w:color w:val="auto"/>
        </w:rPr>
        <w:t>The Committee designed our executive compensation structure to incentivize the achievement of goals and performance targets that it believes align with, and promote achievement of, the Company’s long-term strategic goals, which are highly correlated with stockholder value creation:</w:t>
      </w:r>
    </w:p>
    <w:p>
      <w:pPr>
        <w:spacing w:after="0" w:line="90" w:lineRule="exact"/>
        <w:rPr>
          <w:sz w:val="20"/>
          <w:szCs w:val="20"/>
          <w:color w:val="auto"/>
        </w:rPr>
      </w:pPr>
    </w:p>
    <w:p>
      <w:pPr>
        <w:ind w:left="1420" w:right="40" w:hanging="280"/>
        <w:spacing w:after="0" w:line="283" w:lineRule="auto"/>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Focus on serving customers in our core markets in Hawaii, Guam and Saipan, while deploying excess liquidity into mainland loan growth</w:t>
      </w:r>
    </w:p>
    <w:p>
      <w:pPr>
        <w:spacing w:after="0" w:line="63" w:lineRule="exact"/>
        <w:rPr>
          <w:rFonts w:ascii="Arial" w:cs="Arial" w:eastAsia="Arial" w:hAnsi="Arial"/>
          <w:sz w:val="18"/>
          <w:szCs w:val="18"/>
          <w:color w:val="BF5B5A"/>
        </w:rPr>
      </w:pPr>
    </w:p>
    <w:p>
      <w:pPr>
        <w:ind w:left="1420" w:right="120" w:hanging="280"/>
        <w:spacing w:after="0" w:line="303" w:lineRule="auto"/>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Employ a disciplined lending strategy, while maintaining asset quality</w:t>
      </w:r>
    </w:p>
    <w:p>
      <w:pPr>
        <w:spacing w:after="0" w:line="44" w:lineRule="exact"/>
        <w:rPr>
          <w:rFonts w:ascii="Arial" w:cs="Arial" w:eastAsia="Arial" w:hAnsi="Arial"/>
          <w:sz w:val="18"/>
          <w:szCs w:val="18"/>
          <w:color w:val="BF5B5A"/>
        </w:rPr>
      </w:pPr>
    </w:p>
    <w:p>
      <w:pPr>
        <w:ind w:left="1420" w:right="60" w:hanging="280"/>
        <w:spacing w:after="0" w:line="318" w:lineRule="auto"/>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Use our relationship strategy to drive growth in loans, deposits and non-interest income</w:t>
      </w:r>
    </w:p>
    <w:p>
      <w:pPr>
        <w:spacing w:after="0" w:line="31" w:lineRule="exact"/>
        <w:rPr>
          <w:rFonts w:ascii="Arial" w:cs="Arial" w:eastAsia="Arial" w:hAnsi="Arial"/>
          <w:sz w:val="18"/>
          <w:szCs w:val="18"/>
          <w:color w:val="BF5B5A"/>
        </w:rPr>
      </w:pPr>
    </w:p>
    <w:p>
      <w:pPr>
        <w:ind w:left="1420" w:hanging="280"/>
        <w:spacing w:after="0"/>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Manage expenses responsibly</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Maintain strong capital and liquidity levels</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Allocate capital efficiently to drive profitability</w:t>
      </w:r>
    </w:p>
    <w:p>
      <w:pPr>
        <w:spacing w:after="0" w:line="130" w:lineRule="exact"/>
        <w:rPr>
          <w:rFonts w:ascii="Arial" w:cs="Arial" w:eastAsia="Arial" w:hAnsi="Arial"/>
          <w:sz w:val="18"/>
          <w:szCs w:val="18"/>
          <w:color w:val="BF5B5A"/>
        </w:rPr>
      </w:pPr>
    </w:p>
    <w:p>
      <w:pPr>
        <w:ind w:left="1420" w:right="80" w:hanging="280"/>
        <w:spacing w:after="0" w:line="318" w:lineRule="auto"/>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Retain sufficient capital to fund growth while returning excess capital to stockholders</w:t>
      </w:r>
    </w:p>
    <w:p>
      <w:pPr>
        <w:spacing w:after="0" w:line="31" w:lineRule="exact"/>
        <w:rPr>
          <w:rFonts w:ascii="Arial" w:cs="Arial" w:eastAsia="Arial" w:hAnsi="Arial"/>
          <w:sz w:val="18"/>
          <w:szCs w:val="18"/>
          <w:color w:val="BF5B5A"/>
        </w:rPr>
      </w:pPr>
    </w:p>
    <w:p>
      <w:pPr>
        <w:ind w:left="1420" w:hanging="280"/>
        <w:spacing w:after="0" w:line="303" w:lineRule="auto"/>
        <w:tabs>
          <w:tab w:leader="none" w:pos="1420" w:val="left"/>
        </w:tabs>
        <w:numPr>
          <w:ilvl w:val="0"/>
          <w:numId w:val="95"/>
        </w:numPr>
        <w:rPr>
          <w:rFonts w:ascii="Arial" w:cs="Arial" w:eastAsia="Arial" w:hAnsi="Arial"/>
          <w:sz w:val="18"/>
          <w:szCs w:val="18"/>
          <w:color w:val="BF5B5A"/>
        </w:rPr>
      </w:pPr>
      <w:r>
        <w:rPr>
          <w:rFonts w:ascii="Arial" w:cs="Arial" w:eastAsia="Arial" w:hAnsi="Arial"/>
          <w:sz w:val="18"/>
          <w:szCs w:val="18"/>
          <w:color w:val="auto"/>
        </w:rPr>
        <w:t>Support long-term stockholder value creation through sustainable business practices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Committee also takes into account, among other factors, the recommendation of its compensation consultant, the voting results on the say-on pay proposal at our most recent annual meeting of stockholders and the views expressed by investors during our annual stockholder outreach. For 2023, after considering the recommendations of the compensation consultant and the CEO, the Compensation Committee elected to replace the relative efficiency ratio metric, which accounted for 20% of the target payout under the 2022 annual bonus plan, with an asset quality metric. The asset quality metric the Committee selected is (average non-performing assets plus loans and leases</w:t>
      </w:r>
    </w:p>
    <w:p>
      <w:pPr>
        <w:ind w:right="40"/>
        <w:spacing w:after="0" w:line="262" w:lineRule="auto"/>
        <w:rPr>
          <w:sz w:val="20"/>
          <w:szCs w:val="20"/>
          <w:color w:val="auto"/>
        </w:rPr>
      </w:pPr>
      <w:r>
        <w:rPr>
          <w:rFonts w:ascii="Arial" w:cs="Arial" w:eastAsia="Arial" w:hAnsi="Arial"/>
          <w:sz w:val="18"/>
          <w:szCs w:val="18"/>
          <w:color w:val="auto"/>
        </w:rPr>
        <w:t>90 days or more delinquent but still accruing) divided by (average loans and leases) (the “Asset Quality Metric”). The Compensation Committee felt that the Asset Quality Metric was especially important for 2023 in light of prevailing macroeconomic conditions and that, to some extent, efficiency performance would be reflected in the core net income metric that comprised 50% of the target payout under the annual bonus plan. Consistent with investor feedback, which was generally supportive of our compensation programs with no specific criticisms raised, and given the greater than 98% approval received on our say-on-pay proposal at the 2023 annual meeting of stockholders, the Committee did not make any other changes for 2023.</w:t>
      </w:r>
    </w:p>
    <w:p>
      <w:pPr>
        <w:spacing w:after="0" w:line="35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With respect to the performance-based component of long-term equity compensation, the Committee set relative performance targets tied to core return on tangible equity (ROATE) (70%) and core return on average tangible assets (ROATA) (30%). In choosing these metrics, the Committee wanted to promote the thoughtful allocation of capital and also sought to incentivize the return of excess capital. Financial institutions with high ROATEs generally are deploying their capital in a manner to generate strong returns, while returning to stockholders capital that does not generate robust returns. ROATA is a measure of risk management. To generate a competitive ROATA, management must be thoughtful about the types of assets placed on the balance sheet, balancing risk weightings of assets with expected returns. The Committee elected to use core measures of ROATE and ROATA to reward steady, enduring performance and to ensure that the management team was not unduly rewarded or penalized for one-time events, which often are outside of their control. The Committee believes the</w:t>
      </w:r>
    </w:p>
    <w:p>
      <w:pPr>
        <w:spacing w:after="0" w:line="200" w:lineRule="exact"/>
        <w:rPr>
          <w:sz w:val="20"/>
          <w:szCs w:val="20"/>
          <w:color w:val="auto"/>
        </w:rPr>
      </w:pPr>
    </w:p>
    <w:p>
      <w:pPr>
        <w:sectPr>
          <w:pgSz w:w="11900" w:h="16838" w:orient="portrait"/>
          <w:cols w:equalWidth="0" w:num="2">
            <w:col w:w="5120" w:space="500"/>
            <w:col w:w="4340"/>
          </w:cols>
          <w:pgMar w:left="580" w:top="97" w:right="1359" w:bottom="1440" w:gutter="0" w:footer="0" w:header="0"/>
        </w:sectPr>
      </w:pPr>
    </w:p>
    <w:p>
      <w:pPr>
        <w:spacing w:after="0" w:line="23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43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279"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use of core ROATE and core ROATA to reward long-term performance would incentivize management to seek strong returns while appropriately considering risk and disincentivizing excessive leverage. Core ROATE and core ROATA are non-GAAP measures; please see Annex A for an explanation and reconciliation of these measures to GAAP.</w:t>
      </w:r>
    </w:p>
    <w:p>
      <w:pPr>
        <w:spacing w:after="0" w:line="110"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In addition, the Committee elected to subject performance-based awards to a total shareholder return (“TSR”) modifier, whereby LTIP awards will be increased or decreased by up to 25% based on First Hawaiian’s total shareholder return relative to the total shareholder return of peer companies. The Committee felt that use of this measure would incentivize the management team to be mindful of how their decisions would be perceived by our investors and, therefore, would help to align management’s compensation with investors’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addition to promoting achievement of the Company’s long-term strategic goals, the Committee also felt it was important that management be incentivized to achieve critical short-term priorities and, therefore, tied annual bonus payouts to the achievement of core net income, asset quality and individual performance goals. Achievement of annual core net income targets demonstrates management’s ability to manage the business on a day-to-day basis so as to achieve appropriate budget targets. Moreover, the Committee felt it important that management be mindful of asset quality and risk management as it makes lending decisions. As a result, it prioritized these two objectives in setting annual bonus metrics. In addition, the Committee wanted to incentivize the CEO and the other NEOs to achieve individual performance goals set at the beginning of each year and, therefore, maintained an individual performance component in the annual bonus formula.</w:t>
      </w:r>
    </w:p>
    <w:p>
      <w:pPr>
        <w:spacing w:after="0" w:line="200" w:lineRule="exact"/>
        <w:rPr>
          <w:sz w:val="20"/>
          <w:szCs w:val="20"/>
          <w:color w:val="auto"/>
        </w:rPr>
      </w:pPr>
    </w:p>
    <w:p>
      <w:pPr>
        <w:sectPr>
          <w:pgSz w:w="11900" w:h="16838" w:orient="portrait"/>
          <w:cols w:equalWidth="0" w:num="2">
            <w:col w:w="5100" w:space="520"/>
            <w:col w:w="432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Compensation Framework</w:t>
      </w:r>
    </w:p>
    <w:p>
      <w:pPr>
        <w:spacing w:after="0" w:line="177" w:lineRule="exact"/>
        <w:rPr>
          <w:sz w:val="20"/>
          <w:szCs w:val="20"/>
          <w:color w:val="auto"/>
        </w:rPr>
      </w:pPr>
    </w:p>
    <w:p>
      <w:pPr>
        <w:ind w:left="780" w:right="160"/>
        <w:spacing w:after="0" w:line="283" w:lineRule="auto"/>
        <w:rPr>
          <w:sz w:val="20"/>
          <w:szCs w:val="20"/>
          <w:color w:val="auto"/>
        </w:rPr>
      </w:pPr>
      <w:r>
        <w:rPr>
          <w:rFonts w:ascii="Arial" w:cs="Arial" w:eastAsia="Arial" w:hAnsi="Arial"/>
          <w:sz w:val="18"/>
          <w:szCs w:val="18"/>
          <w:color w:val="auto"/>
        </w:rPr>
        <w:t>First Hawaiian’s executive compensation program is designed to attract, retain, motivate and reward senior leaders and promote the long-term success of the Company. The Compensation Committee has primary responsibility over the compensation program for our executive officers, including our NEOs. In designing and administering the program for 2023, the Committee focused on the following principles:</w:t>
      </w:r>
    </w:p>
    <w:p>
      <w:pPr>
        <w:sectPr>
          <w:pgSz w:w="11900" w:h="16838" w:orient="portrait"/>
          <w:cols w:equalWidth="0" w:num="1">
            <w:col w:w="9960"/>
          </w:cols>
          <w:pgMar w:left="580" w:top="97" w:right="1359" w:bottom="1440" w:gutter="0" w:footer="0" w:header="0"/>
        </w:sectPr>
      </w:pPr>
    </w:p>
    <w:p>
      <w:pPr>
        <w:spacing w:after="0" w:line="51" w:lineRule="exact"/>
        <w:rPr>
          <w:sz w:val="20"/>
          <w:szCs w:val="20"/>
          <w:color w:val="auto"/>
        </w:rPr>
      </w:pPr>
    </w:p>
    <w:p>
      <w:pPr>
        <w:ind w:left="1500" w:hanging="720"/>
        <w:spacing w:after="0"/>
        <w:tabs>
          <w:tab w:leader="none" w:pos="1500" w:val="left"/>
        </w:tabs>
        <w:numPr>
          <w:ilvl w:val="0"/>
          <w:numId w:val="96"/>
        </w:numPr>
        <w:rPr>
          <w:rFonts w:ascii="Arial" w:cs="Arial" w:eastAsia="Arial" w:hAnsi="Arial"/>
          <w:sz w:val="32"/>
          <w:szCs w:val="32"/>
          <w:color w:val="auto"/>
          <w:vertAlign w:val="superscript"/>
        </w:rPr>
      </w:pPr>
      <w:r>
        <w:rPr>
          <w:rFonts w:ascii="Arial" w:cs="Arial" w:eastAsia="Arial" w:hAnsi="Arial"/>
          <w:sz w:val="32"/>
          <w:szCs w:val="32"/>
          <w:color w:val="000000"/>
          <w:vertAlign w:val="superscript"/>
        </w:rPr>
        <w:t>​​</w:t>
      </w:r>
      <w:r>
        <w:rPr>
          <w:rFonts w:ascii="Arial" w:cs="Arial" w:eastAsia="Arial" w:hAnsi="Arial"/>
          <w:sz w:val="25"/>
          <w:szCs w:val="25"/>
          <w:b w:val="1"/>
          <w:bCs w:val="1"/>
          <w:color w:val="BF5B5A"/>
        </w:rPr>
        <w:t xml:space="preserve">1. </w:t>
      </w:r>
      <w:r>
        <w:rPr>
          <w:rFonts w:ascii="Arial" w:cs="Arial" w:eastAsia="Arial" w:hAnsi="Arial"/>
          <w:sz w:val="32"/>
          <w:szCs w:val="32"/>
          <w:color w:val="000000"/>
          <w:vertAlign w:val="superscript"/>
        </w:rPr>
        <w:t>​​</w:t>
      </w:r>
      <w:r>
        <w:rPr>
          <w:rFonts w:ascii="Arial" w:cs="Arial" w:eastAsia="Arial" w:hAnsi="Arial"/>
          <w:sz w:val="32"/>
          <w:szCs w:val="32"/>
          <w:b w:val="1"/>
          <w:bCs w:val="1"/>
          <w:color w:val="000000"/>
          <w:vertAlign w:val="subscript"/>
        </w:rPr>
        <w:t>PERFORMANCE</w:t>
      </w:r>
      <w:r>
        <w:rPr>
          <w:rFonts w:ascii="Arial" w:cs="Arial" w:eastAsia="Arial" w:hAnsi="Arial"/>
          <w:sz w:val="25"/>
          <w:szCs w:val="25"/>
          <w:b w:val="1"/>
          <w:bCs w:val="1"/>
          <w:color w:val="BF5B5A"/>
        </w:rPr>
        <w:t xml:space="preserve"> </w:t>
      </w:r>
      <w:r>
        <w:rPr>
          <w:rFonts w:ascii="Arial" w:cs="Arial" w:eastAsia="Arial" w:hAnsi="Arial"/>
          <w:sz w:val="32"/>
          <w:szCs w:val="32"/>
          <w:color w:val="000000"/>
          <w:vertAlign w:val="superscript"/>
        </w:rPr>
        <w:t>​ ​</w:t>
      </w:r>
      <w:r>
        <w:rPr>
          <w:rFonts w:ascii="Arial" w:cs="Arial" w:eastAsia="Arial" w:hAnsi="Arial"/>
          <w:sz w:val="25"/>
          <w:szCs w:val="25"/>
          <w:b w:val="1"/>
          <w:bCs w:val="1"/>
          <w:color w:val="BF5B5A"/>
        </w:rPr>
        <w:t xml:space="preserve"> </w:t>
      </w:r>
      <w:r>
        <w:rPr>
          <w:rFonts w:ascii="Arial" w:cs="Arial" w:eastAsia="Arial" w:hAnsi="Arial"/>
          <w:sz w:val="16"/>
          <w:szCs w:val="16"/>
          <w:color w:val="000000"/>
        </w:rPr>
        <w:t>Establishes appropriate, yet challenging, performance goals for our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-161290</wp:posOffset>
            </wp:positionV>
            <wp:extent cx="58293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wp:posOffset>
            </wp:positionH>
            <wp:positionV relativeFrom="paragraph">
              <wp:posOffset>-109855</wp:posOffset>
            </wp:positionV>
            <wp:extent cx="300355" cy="283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tbl>
      <w:tblPr>
        <w:tblLayout w:type="fixed"/>
        <w:tblInd w:w="78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FOCUS</w:t>
            </w:r>
          </w:p>
        </w:tc>
        <w:tc>
          <w:tcPr>
            <w:tcW w:w="6680" w:type="dxa"/>
            <w:vAlign w:val="bottom"/>
          </w:tcPr>
          <w:p>
            <w:pPr>
              <w:ind w:left="300"/>
              <w:spacing w:after="0"/>
              <w:rPr>
                <w:sz w:val="20"/>
                <w:szCs w:val="20"/>
                <w:color w:val="auto"/>
              </w:rPr>
            </w:pPr>
            <w:r>
              <w:rPr>
                <w:rFonts w:ascii="Arial" w:cs="Arial" w:eastAsia="Arial" w:hAnsi="Arial"/>
                <w:sz w:val="16"/>
                <w:szCs w:val="16"/>
                <w:color w:val="auto"/>
              </w:rPr>
              <w:t>and implements plans that motivate leadership to achieve consistent, long-term</w:t>
            </w:r>
          </w:p>
        </w:tc>
        <w:tc>
          <w:tcPr>
            <w:tcW w:w="0" w:type="dxa"/>
            <w:vAlign w:val="bottom"/>
          </w:tcPr>
          <w:p>
            <w:pPr>
              <w:spacing w:after="0"/>
              <w:rPr>
                <w:sz w:val="1"/>
                <w:szCs w:val="1"/>
                <w:color w:val="auto"/>
              </w:rPr>
            </w:pPr>
          </w:p>
        </w:tc>
      </w:tr>
      <w:tr>
        <w:trPr>
          <w:trHeight w:val="60"/>
        </w:trPr>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6680" w:type="dxa"/>
            <w:vAlign w:val="bottom"/>
            <w:vMerge w:val="restart"/>
          </w:tcPr>
          <w:p>
            <w:pPr>
              <w:ind w:left="30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spacing w:after="0" w:line="391"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45"/>
                <w:szCs w:val="45"/>
                <w:b w:val="1"/>
                <w:bCs w:val="1"/>
                <w:color w:val="BF5B5A"/>
                <w:vertAlign w:val="subscript"/>
              </w:rPr>
              <w:t>2.</w:t>
            </w:r>
          </w:p>
        </w:tc>
        <w:tc>
          <w:tcPr>
            <w:tcW w:w="1340" w:type="dxa"/>
            <w:vAlign w:val="bottom"/>
          </w:tcPr>
          <w:p>
            <w:pPr>
              <w:ind w:left="20"/>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RISK</w:t>
            </w:r>
          </w:p>
        </w:tc>
        <w:tc>
          <w:tcPr>
            <w:tcW w:w="6680" w:type="dxa"/>
            <w:vAlign w:val="bottom"/>
          </w:tcPr>
          <w:p>
            <w:pPr>
              <w:ind w:left="100"/>
              <w:spacing w:after="0"/>
              <w:rPr>
                <w:sz w:val="20"/>
                <w:szCs w:val="20"/>
                <w:color w:val="auto"/>
              </w:rPr>
            </w:pPr>
            <w:r>
              <w:rPr>
                <w:rFonts w:ascii="Arial" w:cs="Arial" w:eastAsia="Arial" w:hAnsi="Arial"/>
                <w:sz w:val="32"/>
                <w:szCs w:val="32"/>
                <w:b w:val="1"/>
                <w:bCs w:val="1"/>
                <w:color w:val="auto"/>
                <w:vertAlign w:val="superscript"/>
              </w:rPr>
              <w:t>​ ​</w:t>
            </w:r>
            <w:r>
              <w:rPr>
                <w:rFonts w:ascii="Arial" w:cs="Arial" w:eastAsia="Arial" w:hAnsi="Arial"/>
                <w:sz w:val="16"/>
                <w:szCs w:val="16"/>
                <w:color w:val="auto"/>
              </w:rPr>
              <w:t xml:space="preserve"> Encourages sustainable performance over time and discourages excessive risk-taking</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MANAGEMENT</w:t>
            </w:r>
          </w:p>
        </w:tc>
        <w:tc>
          <w:tcPr>
            <w:tcW w:w="6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25"/>
                <w:szCs w:val="25"/>
                <w:b w:val="1"/>
                <w:bCs w:val="1"/>
                <w:color w:val="BF5B5A"/>
                <w:w w:val="86"/>
              </w:rPr>
              <w:t>3.</w:t>
            </w:r>
          </w:p>
        </w:tc>
        <w:tc>
          <w:tcPr>
            <w:tcW w:w="1340" w:type="dxa"/>
            <w:vAlign w:val="bottom"/>
          </w:tcPr>
          <w:p>
            <w:pPr>
              <w:ind w:left="20"/>
              <w:spacing w:after="0"/>
              <w:rPr>
                <w:sz w:val="20"/>
                <w:szCs w:val="20"/>
                <w:color w:val="auto"/>
              </w:rPr>
            </w:pPr>
            <w:r>
              <w:rPr>
                <w:rFonts w:ascii="Arial" w:cs="Arial" w:eastAsia="Arial" w:hAnsi="Arial"/>
                <w:sz w:val="16"/>
                <w:szCs w:val="16"/>
                <w:color w:val="auto"/>
              </w:rPr>
              <w:t>​​</w:t>
            </w:r>
          </w:p>
        </w:tc>
        <w:tc>
          <w:tcPr>
            <w:tcW w:w="6680" w:type="dxa"/>
            <w:vAlign w:val="bottom"/>
          </w:tcPr>
          <w:p>
            <w:pPr>
              <w:ind w:left="100"/>
              <w:spacing w:after="0" w:line="304"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Utilizes incentive plan components that are quantitative and linked to stockholder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BALANCE</w:t>
            </w:r>
          </w:p>
        </w:tc>
        <w:tc>
          <w:tcPr>
            <w:tcW w:w="6680" w:type="dxa"/>
            <w:vAlign w:val="bottom"/>
            <w:vMerge w:val="restart"/>
          </w:tcPr>
          <w:p>
            <w:pPr>
              <w:ind w:left="300"/>
              <w:spacing w:after="0"/>
              <w:rPr>
                <w:sz w:val="20"/>
                <w:szCs w:val="20"/>
                <w:color w:val="auto"/>
              </w:rPr>
            </w:pPr>
            <w:r>
              <w:rPr>
                <w:rFonts w:ascii="Arial" w:cs="Arial" w:eastAsia="Arial" w:hAnsi="Arial"/>
                <w:sz w:val="16"/>
                <w:szCs w:val="16"/>
                <w:color w:val="auto"/>
              </w:rPr>
              <w:t>return and financial results and are balanced by key individual performance objectives</w:t>
            </w:r>
          </w:p>
        </w:tc>
        <w:tc>
          <w:tcPr>
            <w:tcW w:w="0" w:type="dxa"/>
            <w:vAlign w:val="bottom"/>
          </w:tcPr>
          <w:p>
            <w:pPr>
              <w:spacing w:after="0"/>
              <w:rPr>
                <w:sz w:val="1"/>
                <w:szCs w:val="1"/>
                <w:color w:val="auto"/>
              </w:rPr>
            </w:pPr>
          </w:p>
        </w:tc>
      </w:tr>
      <w:tr>
        <w:trPr>
          <w:trHeight w:val="52"/>
        </w:trPr>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6"/>
                <w:szCs w:val="16"/>
                <w:color w:val="auto"/>
              </w:rPr>
              <w:t>qualitatively evaluated by our Compensation Committee</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25"/>
                <w:szCs w:val="25"/>
                <w:b w:val="1"/>
                <w:bCs w:val="1"/>
                <w:color w:val="BF5B5A"/>
                <w:w w:val="86"/>
              </w:rPr>
              <w:t>4.</w:t>
            </w:r>
          </w:p>
        </w:tc>
        <w:tc>
          <w:tcPr>
            <w:tcW w:w="1340" w:type="dxa"/>
            <w:vAlign w:val="bottom"/>
          </w:tcPr>
          <w:p>
            <w:pPr>
              <w:ind w:left="20"/>
              <w:spacing w:after="0"/>
              <w:rPr>
                <w:sz w:val="20"/>
                <w:szCs w:val="20"/>
                <w:color w:val="auto"/>
              </w:rPr>
            </w:pPr>
            <w:r>
              <w:rPr>
                <w:rFonts w:ascii="Arial" w:cs="Arial" w:eastAsia="Arial" w:hAnsi="Arial"/>
                <w:sz w:val="16"/>
                <w:szCs w:val="16"/>
                <w:color w:val="auto"/>
              </w:rPr>
              <w:t>​​</w:t>
            </w:r>
          </w:p>
        </w:tc>
        <w:tc>
          <w:tcPr>
            <w:tcW w:w="6680" w:type="dxa"/>
            <w:vAlign w:val="bottom"/>
          </w:tcPr>
          <w:p>
            <w:pPr>
              <w:ind w:left="100"/>
              <w:spacing w:after="0" w:line="245"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Provides a competitive pay program that is forward-looking and that will attract and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COMPETITIVE</w:t>
            </w:r>
          </w:p>
        </w:tc>
        <w:tc>
          <w:tcPr>
            <w:tcW w:w="6680" w:type="dxa"/>
            <w:vAlign w:val="bottom"/>
            <w:vMerge w:val="restart"/>
          </w:tcPr>
          <w:p>
            <w:pPr>
              <w:ind w:left="300"/>
              <w:spacing w:after="0"/>
              <w:rPr>
                <w:sz w:val="20"/>
                <w:szCs w:val="20"/>
                <w:color w:val="auto"/>
              </w:rPr>
            </w:pPr>
            <w:r>
              <w:rPr>
                <w:rFonts w:ascii="Arial" w:cs="Arial" w:eastAsia="Arial" w:hAnsi="Arial"/>
                <w:sz w:val="16"/>
                <w:szCs w:val="16"/>
                <w:color w:val="auto"/>
              </w:rPr>
              <w:t>retain high-quality executives who can produce outstanding results for the Company</w:t>
            </w:r>
          </w:p>
        </w:tc>
        <w:tc>
          <w:tcPr>
            <w:tcW w:w="0" w:type="dxa"/>
            <w:vAlign w:val="bottom"/>
          </w:tcPr>
          <w:p>
            <w:pPr>
              <w:spacing w:after="0"/>
              <w:rPr>
                <w:sz w:val="1"/>
                <w:szCs w:val="1"/>
                <w:color w:val="auto"/>
              </w:rPr>
            </w:pPr>
          </w:p>
        </w:tc>
      </w:tr>
      <w:tr>
        <w:trPr>
          <w:trHeight w:val="52"/>
        </w:trPr>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0"/>
                <w:szCs w:val="20"/>
                <w:color w:val="auto"/>
              </w:rPr>
            </w:pPr>
            <w:r>
              <w:rPr>
                <w:rFonts w:ascii="Arial" w:cs="Arial" w:eastAsia="Arial" w:hAnsi="Arial"/>
                <w:sz w:val="16"/>
                <w:szCs w:val="16"/>
                <w:color w:val="auto"/>
              </w:rPr>
              <w: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spacing w:after="0"/>
              <w:rPr>
                <w:sz w:val="20"/>
                <w:szCs w:val="20"/>
                <w:color w:val="auto"/>
              </w:rPr>
            </w:pPr>
            <w:r>
              <w:rPr>
                <w:rFonts w:ascii="Arial" w:cs="Arial" w:eastAsia="Arial" w:hAnsi="Arial"/>
                <w:sz w:val="25"/>
                <w:szCs w:val="25"/>
                <w:b w:val="1"/>
                <w:bCs w:val="1"/>
                <w:color w:val="BF5B5A"/>
                <w:w w:val="86"/>
              </w:rPr>
              <w:t>5.</w:t>
            </w:r>
          </w:p>
        </w:tc>
        <w:tc>
          <w:tcPr>
            <w:tcW w:w="1340" w:type="dxa"/>
            <w:vAlign w:val="bottom"/>
          </w:tcPr>
          <w:p>
            <w:pPr>
              <w:ind w:left="20"/>
              <w:spacing w:after="0"/>
              <w:rPr>
                <w:sz w:val="20"/>
                <w:szCs w:val="20"/>
                <w:color w:val="auto"/>
              </w:rPr>
            </w:pPr>
            <w:r>
              <w:rPr>
                <w:rFonts w:ascii="Arial" w:cs="Arial" w:eastAsia="Arial" w:hAnsi="Arial"/>
                <w:sz w:val="16"/>
                <w:szCs w:val="16"/>
                <w:color w:val="auto"/>
              </w:rPr>
              <w:t>​​</w:t>
            </w:r>
          </w:p>
        </w:tc>
        <w:tc>
          <w:tcPr>
            <w:tcW w:w="6680" w:type="dxa"/>
            <w:vAlign w:val="bottom"/>
          </w:tcPr>
          <w:p>
            <w:pPr>
              <w:ind w:left="100"/>
              <w:spacing w:after="0" w:line="367"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Focuses on the performance of the Company as a whole, as well as individual goals,</w:t>
            </w:r>
          </w:p>
        </w:tc>
        <w:tc>
          <w:tcPr>
            <w:tcW w:w="0" w:type="dxa"/>
            <w:vAlign w:val="bottom"/>
          </w:tcPr>
          <w:p>
            <w:pPr>
              <w:spacing w:after="0"/>
              <w:rPr>
                <w:sz w:val="1"/>
                <w:szCs w:val="1"/>
                <w:color w:val="auto"/>
              </w:rPr>
            </w:pPr>
          </w:p>
        </w:tc>
      </w:tr>
      <w:tr>
        <w:trPr>
          <w:trHeight w:val="69"/>
        </w:trPr>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tcPr>
          <w:p>
            <w:pPr>
              <w:ind w:left="140"/>
              <w:spacing w:after="0" w:line="70" w:lineRule="exact"/>
              <w:rPr>
                <w:sz w:val="20"/>
                <w:szCs w:val="20"/>
                <w:color w:val="auto"/>
              </w:rPr>
            </w:pPr>
            <w:r>
              <w:rPr>
                <w:rFonts w:ascii="Arial" w:cs="Arial" w:eastAsia="Arial" w:hAnsi="Arial"/>
                <w:sz w:val="8"/>
                <w:szCs w:val="8"/>
                <w:b w:val="1"/>
                <w:bCs w:val="1"/>
                <w:color w:val="auto"/>
              </w:rPr>
              <w:t>STEWARDSHIP</w:t>
            </w:r>
          </w:p>
        </w:tc>
        <w:tc>
          <w:tcPr>
            <w:tcW w:w="6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-197485</wp:posOffset>
            </wp:positionV>
            <wp:extent cx="58293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-600710</wp:posOffset>
            </wp:positionV>
            <wp:extent cx="58293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-1063625</wp:posOffset>
            </wp:positionV>
            <wp:extent cx="582930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-1492250</wp:posOffset>
            </wp:positionV>
            <wp:extent cx="58293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-1440815</wp:posOffset>
            </wp:positionV>
            <wp:extent cx="316865" cy="3346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6865" cy="33464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-1012190</wp:posOffset>
            </wp:positionV>
            <wp:extent cx="386080" cy="283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6080" cy="28321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-549275</wp:posOffset>
            </wp:positionV>
            <wp:extent cx="308610" cy="3086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-146050</wp:posOffset>
            </wp:positionV>
            <wp:extent cx="316865" cy="283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6865" cy="28321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6"/>
          <w:szCs w:val="16"/>
          <w:color w:val="auto"/>
        </w:rPr>
        <w:t>while promoting our culture and rewarding adherence to our risk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62230</wp:posOffset>
            </wp:positionV>
            <wp:extent cx="58293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13" w:lineRule="exact"/>
        <w:rPr>
          <w:sz w:val="20"/>
          <w:szCs w:val="20"/>
          <w:color w:val="auto"/>
        </w:rPr>
      </w:pPr>
    </w:p>
    <w:p>
      <w:pPr>
        <w:sectPr>
          <w:pgSz w:w="11900" w:h="16838" w:orient="portrait"/>
          <w:cols w:equalWidth="0" w:num="2">
            <w:col w:w="9840" w:space="80"/>
            <w:col w:w="40"/>
          </w:cols>
          <w:pgMar w:left="580" w:top="97" w:right="1359" w:bottom="1440" w:gutter="0" w:footer="0" w:header="0"/>
          <w:type w:val="continuous"/>
        </w:sectPr>
      </w:pPr>
    </w:p>
    <w:p>
      <w:pPr>
        <w:spacing w:after="0" w:line="22"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Compensation Governance Practices</w:t>
      </w:r>
    </w:p>
    <w:p>
      <w:pPr>
        <w:spacing w:after="0" w:line="110" w:lineRule="exact"/>
        <w:rPr>
          <w:sz w:val="20"/>
          <w:szCs w:val="20"/>
          <w:color w:val="auto"/>
        </w:rPr>
      </w:pPr>
    </w:p>
    <w:p>
      <w:pPr>
        <w:ind w:left="780" w:right="80"/>
        <w:spacing w:after="0" w:line="284" w:lineRule="auto"/>
        <w:rPr>
          <w:sz w:val="20"/>
          <w:szCs w:val="20"/>
          <w:color w:val="auto"/>
        </w:rPr>
      </w:pPr>
      <w:r>
        <w:rPr>
          <w:rFonts w:ascii="Arial" w:cs="Arial" w:eastAsia="Arial" w:hAnsi="Arial"/>
          <w:sz w:val="18"/>
          <w:szCs w:val="18"/>
          <w:color w:val="auto"/>
        </w:rPr>
        <w:t>In addition to our performance-sensitive direct compensation structure, the Company has strong compensation governance practices. Over the past several years, we have refined many of our governance practices as a result of feedback obtained through our ongoing engagement with stockholders.</w:t>
      </w:r>
    </w:p>
    <w:p>
      <w:pPr>
        <w:spacing w:after="0" w:line="48" w:lineRule="exact"/>
        <w:rPr>
          <w:sz w:val="20"/>
          <w:szCs w:val="20"/>
          <w:color w:val="auto"/>
        </w:rPr>
      </w:pPr>
    </w:p>
    <w:p>
      <w:pPr>
        <w:ind w:left="780" w:right="120"/>
        <w:spacing w:after="0" w:line="318" w:lineRule="auto"/>
        <w:rPr>
          <w:sz w:val="20"/>
          <w:szCs w:val="20"/>
          <w:color w:val="auto"/>
        </w:rPr>
      </w:pPr>
      <w:r>
        <w:rPr>
          <w:rFonts w:ascii="Arial" w:cs="Arial" w:eastAsia="Arial" w:hAnsi="Arial"/>
          <w:sz w:val="18"/>
          <w:szCs w:val="18"/>
          <w:color w:val="auto"/>
        </w:rPr>
        <w:t>We believe that our executive compensation program includes key features that drive performance and avoids features we do not believe serve the long-term interests of our shareholders, as follows:</w:t>
      </w:r>
    </w:p>
    <w:p>
      <w:pPr>
        <w:sectPr>
          <w:pgSz w:w="11900" w:h="16838" w:orient="portrait"/>
          <w:cols w:equalWidth="0" w:num="1">
            <w:col w:w="9960"/>
          </w:cols>
          <w:pgMar w:left="580" w:top="97" w:right="1359" w:bottom="1440" w:gutter="0" w:footer="0" w:header="0"/>
          <w:type w:val="continuous"/>
        </w:sectPr>
      </w:pPr>
    </w:p>
    <w:p>
      <w:pPr>
        <w:spacing w:after="0" w:line="37"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4320" w:type="dxa"/>
            <w:vAlign w:val="bottom"/>
            <w:gridSpan w:val="2"/>
            <w:shd w:val="clear" w:color="auto" w:fill="BF5B5A"/>
          </w:tcPr>
          <w:p>
            <w:pPr>
              <w:spacing w:after="0"/>
              <w:rPr>
                <w:sz w:val="20"/>
                <w:szCs w:val="20"/>
                <w:color w:val="auto"/>
              </w:rPr>
            </w:pPr>
            <w:r>
              <w:rPr>
                <w:rFonts w:ascii="Arial" w:cs="Arial" w:eastAsia="Arial" w:hAnsi="Arial"/>
                <w:sz w:val="16"/>
                <w:szCs w:val="16"/>
                <w:b w:val="1"/>
                <w:bCs w:val="1"/>
                <w:color w:val="FFFFFF"/>
              </w:rPr>
              <w:t>​     Practices We Employ</w:t>
            </w:r>
          </w:p>
        </w:tc>
        <w:tc>
          <w:tcPr>
            <w:tcW w:w="5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73"/>
        </w:trPr>
        <w:tc>
          <w:tcPr>
            <w:tcW w:w="30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4020" w:type="dxa"/>
            <w:vAlign w:val="bottom"/>
            <w:vMerge w:val="restart"/>
          </w:tcPr>
          <w:p>
            <w:pPr>
              <w:ind w:left="240"/>
              <w:spacing w:after="0"/>
              <w:rPr>
                <w:sz w:val="20"/>
                <w:szCs w:val="20"/>
                <w:color w:val="auto"/>
              </w:rPr>
            </w:pPr>
            <w:r>
              <w:rPr>
                <w:rFonts w:ascii="Arial" w:cs="Arial" w:eastAsia="Arial" w:hAnsi="Arial"/>
                <w:sz w:val="14"/>
                <w:szCs w:val="14"/>
                <w:color w:val="auto"/>
              </w:rPr>
              <w:t>Substantial portion of pay in the form of variable,</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7"/>
        </w:trPr>
        <w:tc>
          <w:tcPr>
            <w:tcW w:w="30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-139065</wp:posOffset>
            </wp:positionV>
            <wp:extent cx="16256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4"/>
          <w:szCs w:val="14"/>
          <w:color w:val="auto"/>
        </w:rPr>
        <w:t>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41275</wp:posOffset>
            </wp:positionV>
            <wp:extent cx="16256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1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60% of long-term incentives in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35560</wp:posOffset>
            </wp:positionV>
            <wp:extent cx="16256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13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56% of CEO’s 2023 compensation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35560</wp:posOffset>
            </wp:positionV>
            <wp:extent cx="16256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30" w:lineRule="exact"/>
        <w:rPr>
          <w:sz w:val="20"/>
          <w:szCs w:val="20"/>
          <w:color w:val="auto"/>
        </w:rPr>
      </w:pPr>
    </w:p>
    <w:p>
      <w:pPr>
        <w:ind w:left="1320" w:right="800"/>
        <w:spacing w:after="0" w:line="289" w:lineRule="auto"/>
        <w:rPr>
          <w:sz w:val="20"/>
          <w:szCs w:val="20"/>
          <w:color w:val="auto"/>
        </w:rPr>
      </w:pPr>
      <w:r>
        <w:rPr>
          <w:rFonts w:ascii="Arial" w:cs="Arial" w:eastAsia="Arial" w:hAnsi="Arial"/>
          <w:sz w:val="14"/>
          <w:szCs w:val="14"/>
          <w:color w:val="auto"/>
        </w:rPr>
        <w:t>Stock ownership guidelines for our executives and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11430</wp:posOffset>
            </wp:positionV>
            <wp:extent cx="162560" cy="145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Engage with stockholders on governance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52705</wp:posOffset>
            </wp:positionV>
            <wp:extent cx="162560"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103" w:lineRule="exact"/>
        <w:rPr>
          <w:sz w:val="20"/>
          <w:szCs w:val="20"/>
          <w:color w:val="auto"/>
        </w:rPr>
      </w:pPr>
    </w:p>
    <w:p>
      <w:pPr>
        <w:ind w:left="1320" w:right="920"/>
        <w:spacing w:after="0" w:line="289" w:lineRule="auto"/>
        <w:rPr>
          <w:sz w:val="20"/>
          <w:szCs w:val="20"/>
          <w:color w:val="auto"/>
        </w:rPr>
      </w:pPr>
      <w:r>
        <w:rPr>
          <w:rFonts w:ascii="Arial" w:cs="Arial" w:eastAsia="Arial" w:hAnsi="Arial"/>
          <w:sz w:val="14"/>
          <w:szCs w:val="14"/>
          <w:color w:val="auto"/>
        </w:rPr>
        <w:t>Double-trigger vesting for executive change-in-control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11430</wp:posOffset>
            </wp:positionV>
            <wp:extent cx="16256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38" w:lineRule="exact"/>
        <w:rPr>
          <w:sz w:val="20"/>
          <w:szCs w:val="20"/>
          <w:color w:val="auto"/>
        </w:rPr>
      </w:pPr>
    </w:p>
    <w:p>
      <w:pPr>
        <w:ind w:left="1320" w:right="1300"/>
        <w:spacing w:after="0" w:line="289" w:lineRule="auto"/>
        <w:rPr>
          <w:sz w:val="20"/>
          <w:szCs w:val="20"/>
          <w:color w:val="auto"/>
        </w:rPr>
      </w:pPr>
      <w:r>
        <w:rPr>
          <w:rFonts w:ascii="Arial" w:cs="Arial" w:eastAsia="Arial" w:hAnsi="Arial"/>
          <w:sz w:val="14"/>
          <w:szCs w:val="14"/>
          <w:color w:val="auto"/>
        </w:rPr>
        <w:t>Clawback policies that apply to cash and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11430</wp:posOffset>
            </wp:positionV>
            <wp:extent cx="16256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62560" cy="146050"/>
                    </a:xfrm>
                    <a:prstGeom prst="rect">
                      <a:avLst/>
                    </a:prstGeom>
                    <a:noFill/>
                  </pic:spPr>
                </pic:pic>
              </a:graphicData>
            </a:graphic>
          </wp:anchor>
        </w:drawing>
      </w:r>
    </w:p>
    <w:p>
      <w:pPr>
        <w:spacing w:after="0" w:line="38" w:lineRule="exact"/>
        <w:rPr>
          <w:sz w:val="20"/>
          <w:szCs w:val="20"/>
          <w:color w:val="auto"/>
        </w:rPr>
      </w:pPr>
    </w:p>
    <w:p>
      <w:pPr>
        <w:ind w:left="1320" w:right="800"/>
        <w:spacing w:after="0" w:line="289" w:lineRule="auto"/>
        <w:rPr>
          <w:sz w:val="20"/>
          <w:szCs w:val="20"/>
          <w:color w:val="auto"/>
        </w:rPr>
      </w:pPr>
      <w:r>
        <w:rPr>
          <w:rFonts w:ascii="Arial" w:cs="Arial" w:eastAsia="Arial" w:hAnsi="Arial"/>
          <w:sz w:val="14"/>
          <w:szCs w:val="14"/>
          <w:color w:val="auto"/>
        </w:rPr>
        <w:t>Independent compensation consultant and independent Board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11430</wp:posOffset>
            </wp:positionV>
            <wp:extent cx="162560" cy="1454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Annual risk assessment of compensation policies and</w:t>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35560</wp:posOffset>
            </wp:positionV>
            <wp:extent cx="162560" cy="145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7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Annual evaluation of our peer group to ensure ongoing</w:t>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relevance of each peer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43815</wp:posOffset>
            </wp:positionV>
            <wp:extent cx="162560" cy="145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Strong risk and control policies and consideration of risk</w:t>
      </w:r>
    </w:p>
    <w:p>
      <w:pPr>
        <w:spacing w:after="0" w:line="1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management factors in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15875</wp:posOffset>
            </wp:positionV>
            <wp:extent cx="27514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80" w:type="dxa"/>
            <w:vAlign w:val="bottom"/>
            <w:gridSpan w:val="2"/>
            <w:shd w:val="clear" w:color="auto" w:fill="BF5B5A"/>
          </w:tcPr>
          <w:p>
            <w:pPr>
              <w:spacing w:after="0"/>
              <w:rPr>
                <w:sz w:val="20"/>
                <w:szCs w:val="20"/>
                <w:color w:val="auto"/>
              </w:rPr>
            </w:pPr>
            <w:r>
              <w:rPr>
                <w:rFonts w:ascii="Arial" w:cs="Arial" w:eastAsia="Arial" w:hAnsi="Arial"/>
                <w:sz w:val="16"/>
                <w:szCs w:val="16"/>
                <w:b w:val="1"/>
                <w:bCs w:val="1"/>
                <w:color w:val="FFFFFF"/>
              </w:rPr>
              <w:t>​      Practices We Avoid</w:t>
            </w:r>
          </w:p>
        </w:tc>
        <w:tc>
          <w:tcPr>
            <w:tcW w:w="280" w:type="dxa"/>
            <w:vAlign w:val="bottom"/>
            <w:shd w:val="clear" w:color="auto" w:fill="BF5B5A"/>
          </w:tcPr>
          <w:p>
            <w:pPr>
              <w:ind w:left="24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20"/>
                <w:szCs w:val="20"/>
                <w:color w:val="auto"/>
              </w:rPr>
            </w:pPr>
            <w:r>
              <w:rPr>
                <w:rFonts w:ascii="Arial" w:cs="Arial" w:eastAsia="Arial" w:hAnsi="Arial"/>
                <w:sz w:val="14"/>
                <w:szCs w:val="14"/>
                <w:color w:val="auto"/>
              </w:rPr>
              <w:t>​</w:t>
            </w:r>
          </w:p>
        </w:tc>
        <w:tc>
          <w:tcPr>
            <w:tcW w:w="3800" w:type="dxa"/>
            <w:vAlign w:val="bottom"/>
            <w:vMerge w:val="restart"/>
          </w:tcPr>
          <w:p>
            <w:pPr>
              <w:ind w:left="260"/>
              <w:spacing w:after="0"/>
              <w:rPr>
                <w:sz w:val="20"/>
                <w:szCs w:val="20"/>
                <w:color w:val="auto"/>
              </w:rPr>
            </w:pPr>
            <w:r>
              <w:rPr>
                <w:rFonts w:ascii="Arial" w:cs="Arial" w:eastAsia="Arial" w:hAnsi="Arial"/>
                <w:sz w:val="14"/>
                <w:szCs w:val="14"/>
                <w:color w:val="auto"/>
              </w:rPr>
              <w:t>Hedging, speculative trading or pledging of shares of</w:t>
            </w: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-139065</wp:posOffset>
            </wp:positionV>
            <wp:extent cx="111125" cy="111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Company stock held by employees or directors is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41275</wp:posOffset>
            </wp:positionV>
            <wp:extent cx="111125" cy="1111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85" w:lineRule="exact"/>
        <w:rPr>
          <w:sz w:val="20"/>
          <w:szCs w:val="20"/>
          <w:color w:val="auto"/>
        </w:rPr>
      </w:pPr>
    </w:p>
    <w:p>
      <w:pPr>
        <w:ind w:left="540" w:right="200"/>
        <w:spacing w:after="0" w:line="289" w:lineRule="auto"/>
        <w:rPr>
          <w:sz w:val="20"/>
          <w:szCs w:val="20"/>
          <w:color w:val="auto"/>
        </w:rPr>
      </w:pPr>
      <w:r>
        <w:rPr>
          <w:rFonts w:ascii="Arial" w:cs="Arial" w:eastAsia="Arial" w:hAnsi="Arial"/>
          <w:sz w:val="14"/>
          <w:szCs w:val="14"/>
          <w:color w:val="auto"/>
        </w:rPr>
        <w:t>No gross-up of severance payments or benefits for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11430</wp:posOffset>
            </wp:positionV>
            <wp:extent cx="111125" cy="1117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 dividends paid on unearned performance units 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43815</wp:posOffset>
            </wp:positionV>
            <wp:extent cx="111125" cy="1117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89" w:lineRule="exact"/>
        <w:rPr>
          <w:sz w:val="20"/>
          <w:szCs w:val="20"/>
          <w:color w:val="auto"/>
        </w:rPr>
      </w:pPr>
    </w:p>
    <w:p>
      <w:pPr>
        <w:ind w:left="540" w:right="440"/>
        <w:spacing w:after="0" w:line="289" w:lineRule="auto"/>
        <w:rPr>
          <w:sz w:val="20"/>
          <w:szCs w:val="20"/>
          <w:color w:val="auto"/>
        </w:rPr>
      </w:pPr>
      <w:r>
        <w:rPr>
          <w:rFonts w:ascii="Arial" w:cs="Arial" w:eastAsia="Arial" w:hAnsi="Arial"/>
          <w:sz w:val="14"/>
          <w:szCs w:val="14"/>
          <w:color w:val="auto"/>
        </w:rPr>
        <w:t>No discounting, reloading or repricing of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11430</wp:posOffset>
            </wp:positionV>
            <wp:extent cx="111125" cy="1111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8" w:lineRule="exact"/>
        <w:rPr>
          <w:sz w:val="20"/>
          <w:szCs w:val="20"/>
          <w:color w:val="auto"/>
        </w:rPr>
      </w:pPr>
    </w:p>
    <w:p>
      <w:pPr>
        <w:ind w:left="540" w:right="80"/>
        <w:spacing w:after="0" w:line="309" w:lineRule="auto"/>
        <w:rPr>
          <w:sz w:val="20"/>
          <w:szCs w:val="20"/>
          <w:color w:val="auto"/>
        </w:rPr>
      </w:pPr>
      <w:r>
        <w:rPr>
          <w:rFonts w:ascii="Arial" w:cs="Arial" w:eastAsia="Arial" w:hAnsi="Arial"/>
          <w:sz w:val="14"/>
          <w:szCs w:val="14"/>
          <w:color w:val="auto"/>
        </w:rPr>
        <w:t>No automatic share replenishment (evergreen) provisions in any share-based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-5080</wp:posOffset>
            </wp:positionV>
            <wp:extent cx="111125" cy="1111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1" w:lineRule="exact"/>
        <w:rPr>
          <w:sz w:val="20"/>
          <w:szCs w:val="20"/>
          <w:color w:val="auto"/>
        </w:rPr>
      </w:pPr>
    </w:p>
    <w:p>
      <w:pPr>
        <w:ind w:left="540" w:right="300"/>
        <w:spacing w:after="0" w:line="309" w:lineRule="auto"/>
        <w:rPr>
          <w:sz w:val="20"/>
          <w:szCs w:val="20"/>
          <w:color w:val="auto"/>
        </w:rPr>
      </w:pPr>
      <w:r>
        <w:rPr>
          <w:rFonts w:ascii="Arial" w:cs="Arial" w:eastAsia="Arial" w:hAnsi="Arial"/>
          <w:sz w:val="14"/>
          <w:szCs w:val="14"/>
          <w:color w:val="auto"/>
        </w:rPr>
        <w:t>No single-trigger vesting of equity-based awards held by executives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3175</wp:posOffset>
            </wp:positionV>
            <wp:extent cx="111125" cy="1117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No new benefit accruals under executive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35560</wp:posOffset>
            </wp:positionV>
            <wp:extent cx="111125" cy="1111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62" w:lineRule="exact"/>
        <w:rPr>
          <w:sz w:val="20"/>
          <w:szCs w:val="20"/>
          <w:color w:val="auto"/>
        </w:rPr>
      </w:pPr>
    </w:p>
    <w:p>
      <w:pPr>
        <w:ind w:left="540" w:right="660"/>
        <w:spacing w:after="0" w:line="309" w:lineRule="auto"/>
        <w:rPr>
          <w:sz w:val="20"/>
          <w:szCs w:val="20"/>
          <w:color w:val="auto"/>
        </w:rPr>
      </w:pPr>
      <w:r>
        <w:rPr>
          <w:rFonts w:ascii="Arial" w:cs="Arial" w:eastAsia="Arial" w:hAnsi="Arial"/>
          <w:sz w:val="14"/>
          <w:szCs w:val="14"/>
          <w:color w:val="auto"/>
        </w:rPr>
        <w:t>No multi-year compensation guarantees that could incentivize imprudent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817245</wp:posOffset>
            </wp:positionV>
            <wp:extent cx="27686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462" w:lineRule="exact"/>
        <w:rPr>
          <w:sz w:val="20"/>
          <w:szCs w:val="20"/>
          <w:color w:val="auto"/>
        </w:rPr>
      </w:pPr>
    </w:p>
    <w:p>
      <w:pPr>
        <w:sectPr>
          <w:pgSz w:w="11900" w:h="16838" w:orient="portrait"/>
          <w:cols w:equalWidth="0" w:num="2">
            <w:col w:w="5600" w:space="0"/>
            <w:col w:w="4360"/>
          </w:cols>
          <w:pgMar w:left="580" w:top="97" w:right="1359" w:bottom="1440" w:gutter="0" w:footer="0" w:header="0"/>
          <w:type w:val="continuous"/>
        </w:sectPr>
      </w:pPr>
    </w:p>
    <w:p>
      <w:pPr>
        <w:spacing w:after="0" w:line="94"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45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Compensation Governance Process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7" w:lineRule="exact"/>
        <w:rPr>
          <w:sz w:val="20"/>
          <w:szCs w:val="20"/>
          <w:color w:val="auto"/>
        </w:rPr>
      </w:pPr>
    </w:p>
    <w:p>
      <w:pPr>
        <w:ind w:left="780"/>
        <w:spacing w:after="0" w:line="268" w:lineRule="auto"/>
        <w:rPr>
          <w:sz w:val="20"/>
          <w:szCs w:val="20"/>
          <w:color w:val="auto"/>
        </w:rPr>
      </w:pPr>
      <w:r>
        <w:rPr>
          <w:rFonts w:ascii="Arial" w:cs="Arial" w:eastAsia="Arial" w:hAnsi="Arial"/>
          <w:sz w:val="18"/>
          <w:szCs w:val="18"/>
          <w:color w:val="auto"/>
        </w:rPr>
        <w:t>The Compensation Committee is responsible for discharging the responsibilities of our Board relating to compensation of our executives and directors and sets compensation levels for executives and directors. Among other things, the Compensation Committee:</w:t>
      </w:r>
    </w:p>
    <w:p>
      <w:pPr>
        <w:spacing w:after="0" w:line="302" w:lineRule="exact"/>
        <w:rPr>
          <w:sz w:val="20"/>
          <w:szCs w:val="20"/>
          <w:color w:val="auto"/>
        </w:rPr>
      </w:pPr>
    </w:p>
    <w:p>
      <w:pPr>
        <w:ind w:left="1420" w:right="20" w:hanging="280"/>
        <w:spacing w:after="0" w:line="283"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Reviews and approves our compensation programs, awards and other compensation structures for all executive officers, including for our NEOs</w:t>
      </w:r>
    </w:p>
    <w:p>
      <w:pPr>
        <w:spacing w:after="0" w:line="63" w:lineRule="exact"/>
        <w:rPr>
          <w:rFonts w:ascii="Arial" w:cs="Arial" w:eastAsia="Arial" w:hAnsi="Arial"/>
          <w:sz w:val="18"/>
          <w:szCs w:val="18"/>
          <w:color w:val="BF5B5A"/>
        </w:rPr>
      </w:pPr>
    </w:p>
    <w:p>
      <w:pPr>
        <w:ind w:left="1420" w:right="900" w:hanging="280"/>
        <w:spacing w:after="0" w:line="303"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Reviews and approves our overall compensation philosophy</w:t>
      </w:r>
    </w:p>
    <w:p>
      <w:pPr>
        <w:spacing w:after="0" w:line="44" w:lineRule="exact"/>
        <w:rPr>
          <w:rFonts w:ascii="Arial" w:cs="Arial" w:eastAsia="Arial" w:hAnsi="Arial"/>
          <w:sz w:val="18"/>
          <w:szCs w:val="18"/>
          <w:color w:val="BF5B5A"/>
        </w:rPr>
      </w:pPr>
    </w:p>
    <w:p>
      <w:pPr>
        <w:ind w:left="1420" w:right="220" w:hanging="280"/>
        <w:spacing w:after="0" w:line="283"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Reviews and approves the forms and amounts of compensation under our non-employee director compensation program and sets or recommends to the Board any changes thereto</w:t>
      </w:r>
    </w:p>
    <w:p>
      <w:pPr>
        <w:spacing w:after="0" w:line="62" w:lineRule="exact"/>
        <w:rPr>
          <w:rFonts w:ascii="Arial" w:cs="Arial" w:eastAsia="Arial" w:hAnsi="Arial"/>
          <w:sz w:val="18"/>
          <w:szCs w:val="18"/>
          <w:color w:val="BF5B5A"/>
        </w:rPr>
      </w:pPr>
    </w:p>
    <w:p>
      <w:pPr>
        <w:ind w:left="1420" w:right="120" w:hanging="280"/>
        <w:spacing w:after="0" w:line="284"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Reviews and approves corporate goals and objectives relevant to the compensation of our CEO</w:t>
      </w:r>
    </w:p>
    <w:p>
      <w:pPr>
        <w:spacing w:after="0" w:line="61" w:lineRule="exact"/>
        <w:rPr>
          <w:rFonts w:ascii="Arial" w:cs="Arial" w:eastAsia="Arial" w:hAnsi="Arial"/>
          <w:sz w:val="18"/>
          <w:szCs w:val="18"/>
          <w:color w:val="BF5B5A"/>
        </w:rPr>
      </w:pPr>
    </w:p>
    <w:p>
      <w:pPr>
        <w:ind w:left="1420" w:right="260" w:hanging="280"/>
        <w:spacing w:after="0" w:line="279"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Reviews and discusses with the CEO and reports to the Board plans for executive officer development and corporate succession plans for the CEO and other executive officers</w:t>
      </w:r>
    </w:p>
    <w:p>
      <w:pPr>
        <w:spacing w:after="0" w:line="65" w:lineRule="exact"/>
        <w:rPr>
          <w:rFonts w:ascii="Arial" w:cs="Arial" w:eastAsia="Arial" w:hAnsi="Arial"/>
          <w:sz w:val="18"/>
          <w:szCs w:val="18"/>
          <w:color w:val="BF5B5A"/>
        </w:rPr>
      </w:pPr>
    </w:p>
    <w:p>
      <w:pPr>
        <w:ind w:left="1420" w:right="40" w:hanging="280"/>
        <w:spacing w:after="0" w:line="292" w:lineRule="auto"/>
        <w:tabs>
          <w:tab w:leader="none" w:pos="1420" w:val="left"/>
        </w:tabs>
        <w:numPr>
          <w:ilvl w:val="0"/>
          <w:numId w:val="97"/>
        </w:numPr>
        <w:rPr>
          <w:rFonts w:ascii="Arial" w:cs="Arial" w:eastAsia="Arial" w:hAnsi="Arial"/>
          <w:sz w:val="18"/>
          <w:szCs w:val="18"/>
          <w:color w:val="BF5B5A"/>
        </w:rPr>
      </w:pPr>
      <w:r>
        <w:rPr>
          <w:rFonts w:ascii="Arial" w:cs="Arial" w:eastAsia="Arial" w:hAnsi="Arial"/>
          <w:sz w:val="18"/>
          <w:szCs w:val="18"/>
          <w:color w:val="auto"/>
        </w:rPr>
        <w:t>Oversees, in consultation with management, regulatory compliance with respect to compensation matters</w:t>
      </w:r>
    </w:p>
    <w:p>
      <w:pPr>
        <w:spacing w:after="0" w:line="82"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Compensation Committee annually reviews and approves the corporate goals relevant to the CEO’s incentive compensation and additional individual performance goals. The Compensation Committee is responsible for approving the achievement of the incentive plan goals. In addition, the Compensation Committee considers the results of the CEO’s performance evaluation conducted by the Board and makes recommendations to the Board regarding the CEO’s compensation based on that evaluation. The Compensation Committee considers compensation market data from the compensation peer group when determining the types and amounts of compensation for the CEO. The Board is responsible for approving the CEO’s compensation structure and amounts. Similar procedures are followed in determining the compensation for the rest of the NEOs, but the Compensation Committee takes into consideration recommendations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00"/>
        <w:spacing w:after="0" w:line="306" w:lineRule="auto"/>
        <w:rPr>
          <w:sz w:val="20"/>
          <w:szCs w:val="20"/>
          <w:color w:val="auto"/>
        </w:rPr>
      </w:pPr>
      <w:r>
        <w:rPr>
          <w:rFonts w:ascii="Arial" w:cs="Arial" w:eastAsia="Arial" w:hAnsi="Arial"/>
          <w:sz w:val="18"/>
          <w:szCs w:val="18"/>
          <w:color w:val="auto"/>
        </w:rPr>
        <w:t>by Mr. Harrison in setting the compensation for NEOs other than Mr. Harrison.</w:t>
      </w:r>
      <w:r>
        <w:rPr>
          <w:rFonts w:ascii="Times New Roman" w:cs="Times New Roman" w:eastAsia="Times New Roman" w:hAnsi="Times New Roman"/>
          <w:sz w:val="21"/>
          <w:szCs w:val="21"/>
          <w:color w:val="auto"/>
        </w:rPr>
        <w:t>​</w:t>
      </w:r>
    </w:p>
    <w:p>
      <w:pPr>
        <w:spacing w:after="0" w:line="268" w:lineRule="exact"/>
        <w:rPr>
          <w:sz w:val="20"/>
          <w:szCs w:val="20"/>
          <w:color w:val="auto"/>
        </w:rPr>
      </w:pPr>
    </w:p>
    <w:p>
      <w:pPr>
        <w:ind w:left="40" w:right="180"/>
        <w:spacing w:after="0" w:line="298" w:lineRule="auto"/>
        <w:rPr>
          <w:sz w:val="20"/>
          <w:szCs w:val="20"/>
          <w:color w:val="auto"/>
        </w:rPr>
      </w:pPr>
      <w:r>
        <w:rPr>
          <w:rFonts w:ascii="Arial" w:cs="Arial" w:eastAsia="Arial" w:hAnsi="Arial"/>
          <w:sz w:val="22"/>
          <w:szCs w:val="22"/>
          <w:b w:val="1"/>
          <w:bCs w:val="1"/>
          <w:color w:val="auto"/>
        </w:rPr>
        <w:t>Role of the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27603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Our Chairman and Chief Executive Officer develops recommendations regarding the appropriate level of compensation for our other NEOs and presents them to the Compensation Committee for recommendation to the full Board. He does not review or recommend compensation for himself.</w:t>
      </w:r>
    </w:p>
    <w:p>
      <w:pPr>
        <w:spacing w:after="0" w:line="109"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color w:val="auto"/>
        </w:rPr>
        <w:t>When making such recommendations, our Chief Executive Officer considers:</w:t>
      </w:r>
    </w:p>
    <w:p>
      <w:pPr>
        <w:spacing w:after="0" w:line="58" w:lineRule="exact"/>
        <w:rPr>
          <w:sz w:val="20"/>
          <w:szCs w:val="20"/>
          <w:color w:val="auto"/>
        </w:rPr>
      </w:pPr>
    </w:p>
    <w:p>
      <w:pPr>
        <w:ind w:left="620" w:right="840" w:hanging="267"/>
        <w:spacing w:after="0" w:line="303" w:lineRule="auto"/>
        <w:tabs>
          <w:tab w:leader="none" w:pos="620" w:val="left"/>
        </w:tabs>
        <w:numPr>
          <w:ilvl w:val="0"/>
          <w:numId w:val="98"/>
        </w:numPr>
        <w:rPr>
          <w:rFonts w:ascii="Arial" w:cs="Arial" w:eastAsia="Arial" w:hAnsi="Arial"/>
          <w:sz w:val="18"/>
          <w:szCs w:val="18"/>
          <w:color w:val="BF5B5A"/>
        </w:rPr>
      </w:pPr>
      <w:r>
        <w:rPr>
          <w:rFonts w:ascii="Arial" w:cs="Arial" w:eastAsia="Arial" w:hAnsi="Arial"/>
          <w:sz w:val="18"/>
          <w:szCs w:val="18"/>
          <w:color w:val="auto"/>
        </w:rPr>
        <w:t>the objectives of our compensation philosophy,</w:t>
      </w:r>
    </w:p>
    <w:p>
      <w:pPr>
        <w:spacing w:after="0" w:line="44" w:lineRule="exact"/>
        <w:rPr>
          <w:rFonts w:ascii="Arial" w:cs="Arial" w:eastAsia="Arial" w:hAnsi="Arial"/>
          <w:sz w:val="18"/>
          <w:szCs w:val="18"/>
          <w:color w:val="BF5B5A"/>
        </w:rPr>
      </w:pPr>
    </w:p>
    <w:p>
      <w:pPr>
        <w:ind w:left="620" w:hanging="267"/>
        <w:spacing w:after="0"/>
        <w:tabs>
          <w:tab w:leader="none" w:pos="620" w:val="left"/>
        </w:tabs>
        <w:numPr>
          <w:ilvl w:val="0"/>
          <w:numId w:val="98"/>
        </w:numPr>
        <w:rPr>
          <w:rFonts w:ascii="Arial" w:cs="Arial" w:eastAsia="Arial" w:hAnsi="Arial"/>
          <w:sz w:val="18"/>
          <w:szCs w:val="18"/>
          <w:color w:val="BF5B5A"/>
        </w:rPr>
      </w:pPr>
      <w:r>
        <w:rPr>
          <w:rFonts w:ascii="Arial" w:cs="Arial" w:eastAsia="Arial" w:hAnsi="Arial"/>
          <w:sz w:val="18"/>
          <w:szCs w:val="18"/>
          <w:color w:val="auto"/>
        </w:rPr>
        <w:t>competitive market data, and</w:t>
      </w:r>
    </w:p>
    <w:p>
      <w:pPr>
        <w:spacing w:after="0" w:line="144" w:lineRule="exact"/>
        <w:rPr>
          <w:rFonts w:ascii="Arial" w:cs="Arial" w:eastAsia="Arial" w:hAnsi="Arial"/>
          <w:sz w:val="18"/>
          <w:szCs w:val="18"/>
          <w:color w:val="BF5B5A"/>
        </w:rPr>
      </w:pPr>
    </w:p>
    <w:p>
      <w:pPr>
        <w:ind w:left="620" w:right="40" w:hanging="267"/>
        <w:spacing w:after="0" w:line="303" w:lineRule="auto"/>
        <w:tabs>
          <w:tab w:leader="none" w:pos="620" w:val="left"/>
        </w:tabs>
        <w:numPr>
          <w:ilvl w:val="0"/>
          <w:numId w:val="98"/>
        </w:numPr>
        <w:rPr>
          <w:rFonts w:ascii="Arial" w:cs="Arial" w:eastAsia="Arial" w:hAnsi="Arial"/>
          <w:sz w:val="18"/>
          <w:szCs w:val="18"/>
          <w:color w:val="BF5B5A"/>
        </w:rPr>
      </w:pPr>
      <w:r>
        <w:rPr>
          <w:rFonts w:ascii="Arial" w:cs="Arial" w:eastAsia="Arial" w:hAnsi="Arial"/>
          <w:sz w:val="18"/>
          <w:szCs w:val="18"/>
          <w:color w:val="auto"/>
        </w:rPr>
        <w:t>the range of compensation programs authorized by the Compensation Committee.</w:t>
      </w:r>
    </w:p>
    <w:p>
      <w:pPr>
        <w:spacing w:after="0" w:line="264" w:lineRule="exact"/>
        <w:rPr>
          <w:sz w:val="20"/>
          <w:szCs w:val="20"/>
          <w:color w:val="auto"/>
        </w:rPr>
      </w:pPr>
    </w:p>
    <w:p>
      <w:pPr>
        <w:ind w:left="40" w:right="160"/>
        <w:spacing w:after="0" w:line="298" w:lineRule="auto"/>
        <w:rPr>
          <w:sz w:val="20"/>
          <w:szCs w:val="20"/>
          <w:color w:val="auto"/>
        </w:rPr>
      </w:pPr>
      <w:r>
        <w:rPr>
          <w:rFonts w:ascii="Arial" w:cs="Arial" w:eastAsia="Arial" w:hAnsi="Arial"/>
          <w:sz w:val="22"/>
          <w:szCs w:val="22"/>
          <w:b w:val="1"/>
          <w:bCs w:val="1"/>
          <w:color w:val="auto"/>
        </w:rPr>
        <w:t>Role of the Compensation Consultant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27603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2023, the Compensation Committee retained the services of Pay Governance as a compensation consultant to provide independent counsel and advice on compensation matters. Pay Governance provided the following services to the Compensation Committee in 2023:</w:t>
      </w:r>
    </w:p>
    <w:p>
      <w:pPr>
        <w:spacing w:after="0" w:line="84" w:lineRule="exact"/>
        <w:rPr>
          <w:sz w:val="20"/>
          <w:szCs w:val="20"/>
          <w:color w:val="auto"/>
        </w:rPr>
      </w:pPr>
    </w:p>
    <w:p>
      <w:pPr>
        <w:jc w:val="both"/>
        <w:ind w:left="620" w:right="440" w:hanging="267"/>
        <w:spacing w:after="0" w:line="292" w:lineRule="auto"/>
        <w:tabs>
          <w:tab w:leader="none" w:pos="620" w:val="left"/>
        </w:tabs>
        <w:numPr>
          <w:ilvl w:val="0"/>
          <w:numId w:val="99"/>
        </w:numPr>
        <w:rPr>
          <w:rFonts w:ascii="Arial" w:cs="Arial" w:eastAsia="Arial" w:hAnsi="Arial"/>
          <w:sz w:val="18"/>
          <w:szCs w:val="18"/>
          <w:color w:val="BF5B5A"/>
        </w:rPr>
      </w:pPr>
      <w:r>
        <w:rPr>
          <w:rFonts w:ascii="Arial" w:cs="Arial" w:eastAsia="Arial" w:hAnsi="Arial"/>
          <w:sz w:val="18"/>
          <w:szCs w:val="18"/>
          <w:color w:val="auto"/>
        </w:rPr>
        <w:t>Reviewed the benchmarking approach, including recommending changes to the custom industry peer group</w:t>
      </w:r>
    </w:p>
    <w:p>
      <w:pPr>
        <w:spacing w:after="0" w:line="54" w:lineRule="exact"/>
        <w:rPr>
          <w:rFonts w:ascii="Arial" w:cs="Arial" w:eastAsia="Arial" w:hAnsi="Arial"/>
          <w:sz w:val="18"/>
          <w:szCs w:val="18"/>
          <w:color w:val="BF5B5A"/>
        </w:rPr>
      </w:pPr>
    </w:p>
    <w:p>
      <w:pPr>
        <w:ind w:left="620" w:hanging="267"/>
        <w:spacing w:after="0" w:line="281" w:lineRule="auto"/>
        <w:tabs>
          <w:tab w:leader="none" w:pos="620" w:val="left"/>
        </w:tabs>
        <w:numPr>
          <w:ilvl w:val="0"/>
          <w:numId w:val="99"/>
        </w:numPr>
        <w:rPr>
          <w:rFonts w:ascii="Arial" w:cs="Arial" w:eastAsia="Arial" w:hAnsi="Arial"/>
          <w:sz w:val="18"/>
          <w:szCs w:val="18"/>
          <w:color w:val="BF5B5A"/>
        </w:rPr>
      </w:pPr>
      <w:r>
        <w:rPr>
          <w:rFonts w:ascii="Arial" w:cs="Arial" w:eastAsia="Arial" w:hAnsi="Arial"/>
          <w:sz w:val="18"/>
          <w:szCs w:val="18"/>
          <w:color w:val="auto"/>
        </w:rPr>
        <w:t>Conducted a competitive market assessment of First Hawaiian’s non-employee director and executive compensation levels and structure, including an examination of market trends and best practices in the banking industry</w:t>
      </w:r>
    </w:p>
    <w:p>
      <w:pPr>
        <w:spacing w:after="0" w:line="300" w:lineRule="exact"/>
        <w:rPr>
          <w:rFonts w:ascii="Arial" w:cs="Arial" w:eastAsia="Arial" w:hAnsi="Arial"/>
          <w:sz w:val="18"/>
          <w:szCs w:val="18"/>
          <w:color w:val="BF5B5A"/>
        </w:rPr>
      </w:pPr>
    </w:p>
    <w:p>
      <w:pPr>
        <w:ind w:left="620" w:right="220" w:hanging="267"/>
        <w:spacing w:after="0" w:line="279" w:lineRule="auto"/>
        <w:tabs>
          <w:tab w:leader="none" w:pos="620" w:val="left"/>
        </w:tabs>
        <w:numPr>
          <w:ilvl w:val="0"/>
          <w:numId w:val="99"/>
        </w:numPr>
        <w:rPr>
          <w:rFonts w:ascii="Arial" w:cs="Arial" w:eastAsia="Arial" w:hAnsi="Arial"/>
          <w:sz w:val="18"/>
          <w:szCs w:val="18"/>
          <w:color w:val="BF5B5A"/>
        </w:rPr>
      </w:pPr>
      <w:r>
        <w:rPr>
          <w:rFonts w:ascii="Arial" w:cs="Arial" w:eastAsia="Arial" w:hAnsi="Arial"/>
          <w:sz w:val="18"/>
          <w:szCs w:val="18"/>
          <w:color w:val="auto"/>
        </w:rPr>
        <w:t>Advised on the design and structure of the incentive compensation programs for executives, including with respect to total cash compensation, equity compensation, assessment of perquisites, retirement benefits and bonuses for NEOs</w:t>
      </w:r>
    </w:p>
    <w:p>
      <w:pPr>
        <w:spacing w:after="0" w:line="68" w:lineRule="exact"/>
        <w:rPr>
          <w:rFonts w:ascii="Arial" w:cs="Arial" w:eastAsia="Arial" w:hAnsi="Arial"/>
          <w:sz w:val="18"/>
          <w:szCs w:val="18"/>
          <w:color w:val="BF5B5A"/>
        </w:rPr>
      </w:pPr>
    </w:p>
    <w:p>
      <w:pPr>
        <w:ind w:left="620" w:right="160" w:hanging="267"/>
        <w:spacing w:after="0" w:line="292" w:lineRule="auto"/>
        <w:tabs>
          <w:tab w:leader="none" w:pos="620" w:val="left"/>
        </w:tabs>
        <w:numPr>
          <w:ilvl w:val="0"/>
          <w:numId w:val="99"/>
        </w:numPr>
        <w:rPr>
          <w:rFonts w:ascii="Arial" w:cs="Arial" w:eastAsia="Arial" w:hAnsi="Arial"/>
          <w:sz w:val="18"/>
          <w:szCs w:val="18"/>
          <w:color w:val="BF5B5A"/>
        </w:rPr>
      </w:pPr>
      <w:r>
        <w:rPr>
          <w:rFonts w:ascii="Arial" w:cs="Arial" w:eastAsia="Arial" w:hAnsi="Arial"/>
          <w:sz w:val="18"/>
          <w:szCs w:val="18"/>
          <w:color w:val="auto"/>
        </w:rPr>
        <w:t>Administered the annual CEO performance evaluation on behalf of the Board of Directors</w:t>
      </w:r>
    </w:p>
    <w:p>
      <w:pPr>
        <w:spacing w:after="0" w:line="167" w:lineRule="exact"/>
        <w:rPr>
          <w:sz w:val="20"/>
          <w:szCs w:val="20"/>
          <w:color w:val="auto"/>
        </w:rPr>
      </w:pPr>
    </w:p>
    <w:p>
      <w:pPr>
        <w:sectPr>
          <w:pgSz w:w="11900" w:h="16838" w:orient="portrait"/>
          <w:cols w:equalWidth="0" w:num="2">
            <w:col w:w="5100" w:space="520"/>
            <w:col w:w="4340"/>
          </w:cols>
          <w:pgMar w:left="580" w:top="97" w:right="1359" w:bottom="1440" w:gutter="0" w:footer="0" w:header="0"/>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color w:val="auto"/>
        </w:rPr>
        <w:t>Pay Governance provides the Company with annual executive market assessments and periodic Board market assessments that include, but are not limited to, assessments of First Hawaiian’s financial performance and compensation programs relative to its peers and a review of equity compensation and Board and committee compensation. The annual executive and director compensation assessments provided by Pay Governance provide the Compensation Committee with a broad array of information from which to assess the competitiveness of our compensation programs and serve as a foundation for compensation decisions.</w:t>
      </w:r>
    </w:p>
    <w:p>
      <w:pPr>
        <w:spacing w:after="0" w:line="116" w:lineRule="exact"/>
        <w:rPr>
          <w:sz w:val="20"/>
          <w:szCs w:val="20"/>
          <w:color w:val="auto"/>
        </w:rPr>
      </w:pPr>
    </w:p>
    <w:p>
      <w:pPr>
        <w:ind w:left="780" w:right="60"/>
        <w:spacing w:after="0" w:line="273" w:lineRule="auto"/>
        <w:rPr>
          <w:sz w:val="20"/>
          <w:szCs w:val="20"/>
          <w:color w:val="auto"/>
        </w:rPr>
      </w:pPr>
      <w:r>
        <w:rPr>
          <w:rFonts w:ascii="Arial" w:cs="Arial" w:eastAsia="Arial" w:hAnsi="Arial"/>
          <w:sz w:val="18"/>
          <w:szCs w:val="18"/>
          <w:color w:val="auto"/>
        </w:rPr>
        <w:t>Pay Governance also attends Compensation Committee meetings upon request. While the Compensation Committee considers input from Pay Governance when making compensation decisions,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91" w:lineRule="exact"/>
        <w:rPr>
          <w:sz w:val="20"/>
          <w:szCs w:val="20"/>
          <w:color w:val="auto"/>
        </w:rPr>
      </w:pPr>
    </w:p>
    <w:p>
      <w:pPr>
        <w:ind w:right="540"/>
        <w:spacing w:after="0" w:line="318" w:lineRule="auto"/>
        <w:rPr>
          <w:sz w:val="20"/>
          <w:szCs w:val="20"/>
          <w:color w:val="auto"/>
        </w:rPr>
      </w:pPr>
      <w:r>
        <w:rPr>
          <w:rFonts w:ascii="Arial" w:cs="Arial" w:eastAsia="Arial" w:hAnsi="Arial"/>
          <w:sz w:val="18"/>
          <w:szCs w:val="18"/>
          <w:color w:val="auto"/>
        </w:rPr>
        <w:t>the Compensation Committee’s final decisions reflect many factors and considerations.</w:t>
      </w:r>
    </w:p>
    <w:p>
      <w:pPr>
        <w:spacing w:after="0" w:line="86"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During 2023, Pay Governance did not provide any additional services to the Company or the Bank other than providing advice or recommendations on the amount or form of executive and director compensation.</w:t>
      </w:r>
    </w:p>
    <w:p>
      <w:pPr>
        <w:spacing w:after="0" w:line="95"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The Compensation Committee annually reviews the independence of its compensation consultant. In 2023 the Compensation Committee considered First Hawaiian’s relationship with Pay Governance, assessed the independence of Pay Governance pursuant to NASDAQ and Exchange Act rules, and concluded that there are no conflicts of interest that would preclude Pay Governance from independently representing the Compensation Committee.</w:t>
      </w:r>
    </w:p>
    <w:p>
      <w:pPr>
        <w:spacing w:after="0" w:line="200" w:lineRule="exact"/>
        <w:rPr>
          <w:sz w:val="20"/>
          <w:szCs w:val="20"/>
          <w:color w:val="auto"/>
        </w:rPr>
      </w:pPr>
    </w:p>
    <w:p>
      <w:pPr>
        <w:sectPr>
          <w:pgSz w:w="11900" w:h="16838" w:orient="portrait"/>
          <w:cols w:equalWidth="0" w:num="2">
            <w:col w:w="5080" w:space="540"/>
            <w:col w:w="4340"/>
          </w:cols>
          <w:pgMar w:left="580" w:top="97" w:right="1359" w:bottom="1440" w:gutter="0" w:footer="0" w:header="0"/>
        </w:sectPr>
      </w:pPr>
    </w:p>
    <w:p>
      <w:pPr>
        <w:spacing w:after="0" w:line="1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Benchmarking Compensation</w:t>
      </w:r>
    </w:p>
    <w:p>
      <w:pPr>
        <w:spacing w:after="0" w:line="258"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Competitive market data serves as a reference point in evaluating our executive compensation levels and practices. We use this data to understand how similarly situated companies in the banking industry deliver pay. However, we do not set the compensation of our executives to specifically target a precise percentile or range of compensation in the market. Rather, the market data is evaluated in conjunction with other factors, such as internal equity considerations, individual performance and experience in role, in setting target compensation levels for our NEOs.</w:t>
      </w:r>
    </w:p>
    <w:p>
      <w:pPr>
        <w:spacing w:after="0" w:line="97" w:lineRule="exact"/>
        <w:rPr>
          <w:sz w:val="20"/>
          <w:szCs w:val="20"/>
          <w:color w:val="auto"/>
        </w:rPr>
      </w:pPr>
    </w:p>
    <w:p>
      <w:pPr>
        <w:ind w:left="780" w:right="220"/>
        <w:spacing w:after="0" w:line="318" w:lineRule="auto"/>
        <w:rPr>
          <w:sz w:val="20"/>
          <w:szCs w:val="20"/>
          <w:color w:val="auto"/>
        </w:rPr>
      </w:pPr>
      <w:r>
        <w:rPr>
          <w:rFonts w:ascii="Arial" w:cs="Arial" w:eastAsia="Arial" w:hAnsi="Arial"/>
          <w:sz w:val="18"/>
          <w:szCs w:val="18"/>
          <w:color w:val="auto"/>
        </w:rPr>
        <w:t>The Compensation Committee approved the 2023 peer group in October 2022 based upon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recommendation from Pay Governance of the compensation provided by our peer group for purposes of making compensation decisions for 2023. We identified our 2023 peer group based on the following characteristics:</w:t>
      </w:r>
    </w:p>
    <w:p>
      <w:pPr>
        <w:spacing w:after="0" w:line="79" w:lineRule="exact"/>
        <w:rPr>
          <w:sz w:val="20"/>
          <w:szCs w:val="20"/>
          <w:color w:val="auto"/>
        </w:rPr>
      </w:pPr>
    </w:p>
    <w:p>
      <w:pPr>
        <w:ind w:left="620" w:right="100" w:hanging="267"/>
        <w:spacing w:after="0" w:line="292" w:lineRule="auto"/>
        <w:tabs>
          <w:tab w:leader="none" w:pos="620" w:val="left"/>
        </w:tabs>
        <w:numPr>
          <w:ilvl w:val="0"/>
          <w:numId w:val="100"/>
        </w:numPr>
        <w:rPr>
          <w:rFonts w:ascii="Arial" w:cs="Arial" w:eastAsia="Arial" w:hAnsi="Arial"/>
          <w:sz w:val="18"/>
          <w:szCs w:val="18"/>
          <w:color w:val="BF5B5A"/>
        </w:rPr>
      </w:pPr>
      <w:r>
        <w:rPr>
          <w:rFonts w:ascii="Arial" w:cs="Arial" w:eastAsia="Arial" w:hAnsi="Arial"/>
          <w:sz w:val="18"/>
          <w:szCs w:val="18"/>
          <w:color w:val="auto"/>
        </w:rPr>
        <w:t>Banks of comparable size, with total assets, net income, and total deposits generally between 0.5x to 2.0x of First Hawaiian</w:t>
      </w:r>
    </w:p>
    <w:p>
      <w:pPr>
        <w:spacing w:after="0" w:line="54" w:lineRule="exact"/>
        <w:rPr>
          <w:rFonts w:ascii="Arial" w:cs="Arial" w:eastAsia="Arial" w:hAnsi="Arial"/>
          <w:sz w:val="18"/>
          <w:szCs w:val="18"/>
          <w:color w:val="BF5B5A"/>
        </w:rPr>
      </w:pPr>
    </w:p>
    <w:p>
      <w:pPr>
        <w:ind w:left="620" w:right="100" w:hanging="267"/>
        <w:spacing w:after="0" w:line="318" w:lineRule="auto"/>
        <w:tabs>
          <w:tab w:leader="none" w:pos="620" w:val="left"/>
        </w:tabs>
        <w:numPr>
          <w:ilvl w:val="0"/>
          <w:numId w:val="100"/>
        </w:numPr>
        <w:rPr>
          <w:rFonts w:ascii="Arial" w:cs="Arial" w:eastAsia="Arial" w:hAnsi="Arial"/>
          <w:sz w:val="18"/>
          <w:szCs w:val="18"/>
          <w:color w:val="BF5B5A"/>
        </w:rPr>
      </w:pPr>
      <w:r>
        <w:rPr>
          <w:rFonts w:ascii="Arial" w:cs="Arial" w:eastAsia="Arial" w:hAnsi="Arial"/>
          <w:sz w:val="18"/>
          <w:szCs w:val="18"/>
          <w:color w:val="auto"/>
        </w:rPr>
        <w:t>Banks of comparable financial leverage and performance</w:t>
      </w:r>
    </w:p>
    <w:p>
      <w:pPr>
        <w:spacing w:after="0" w:line="31" w:lineRule="exact"/>
        <w:rPr>
          <w:rFonts w:ascii="Arial" w:cs="Arial" w:eastAsia="Arial" w:hAnsi="Arial"/>
          <w:sz w:val="18"/>
          <w:szCs w:val="18"/>
          <w:color w:val="BF5B5A"/>
        </w:rPr>
      </w:pPr>
    </w:p>
    <w:p>
      <w:pPr>
        <w:jc w:val="both"/>
        <w:ind w:left="620" w:right="120" w:hanging="267"/>
        <w:spacing w:after="0" w:line="292" w:lineRule="auto"/>
        <w:tabs>
          <w:tab w:leader="none" w:pos="620" w:val="left"/>
        </w:tabs>
        <w:numPr>
          <w:ilvl w:val="0"/>
          <w:numId w:val="100"/>
        </w:numPr>
        <w:rPr>
          <w:rFonts w:ascii="Arial" w:cs="Arial" w:eastAsia="Arial" w:hAnsi="Arial"/>
          <w:sz w:val="18"/>
          <w:szCs w:val="18"/>
          <w:color w:val="BF5B5A"/>
        </w:rPr>
      </w:pPr>
      <w:r>
        <w:rPr>
          <w:rFonts w:ascii="Arial" w:cs="Arial" w:eastAsia="Arial" w:hAnsi="Arial"/>
          <w:sz w:val="18"/>
          <w:szCs w:val="18"/>
          <w:color w:val="auto"/>
        </w:rPr>
        <w:t>In some cases, companies with comparable business model, operations and geographic locations</w:t>
      </w:r>
    </w:p>
    <w:p>
      <w:pPr>
        <w:spacing w:after="0" w:line="257"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ind w:left="780" w:right="40"/>
        <w:spacing w:after="0" w:line="287" w:lineRule="auto"/>
        <w:rPr>
          <w:sz w:val="20"/>
          <w:szCs w:val="20"/>
          <w:color w:val="auto"/>
        </w:rPr>
      </w:pPr>
      <w:r>
        <w:rPr>
          <w:rFonts w:ascii="Arial" w:cs="Arial" w:eastAsia="Arial" w:hAnsi="Arial"/>
          <w:sz w:val="18"/>
          <w:szCs w:val="18"/>
          <w:color w:val="auto"/>
        </w:rPr>
        <w:t>Based on this review, the Compensation Committee approved the removal of Webster Financial Corporation, Western Alliance Bancorporation and East West Bancorp due to their large total asset size and market capitalization relative to those of FHI. In addition, the Company approved the removal from the peer group of International Bancshares Corporation because their year-end reporting occurred too late in the cycle for us to factor their performance into our long-term LTIP calculations, which are based on our performance with respect to certain metrics relative to peer performance. The Compensation Committee also removed Great Western Bancorp, Inc., which was acquired by another institution. The Compensation Committee approved the addition of CVB Financial Corp. and WaFd, Inc. due to their financial alignment and West Coast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109220</wp:posOffset>
            </wp:positionV>
            <wp:extent cx="3068955" cy="162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068955" cy="162560"/>
                    </a:xfrm>
                    <a:prstGeom prst="rect">
                      <a:avLst/>
                    </a:prstGeom>
                    <a:noFill/>
                  </pic:spPr>
                </pic:pic>
              </a:graphicData>
            </a:graphic>
          </wp:anchor>
        </w:drawing>
      </w:r>
    </w:p>
    <w:p>
      <w:pPr>
        <w:spacing w:after="0" w:line="152"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3540" w:type="dxa"/>
            <w:vAlign w:val="bottom"/>
            <w:gridSpan w:val="2"/>
          </w:tcPr>
          <w:p>
            <w:pPr>
              <w:spacing w:after="0"/>
              <w:rPr>
                <w:sz w:val="20"/>
                <w:szCs w:val="20"/>
                <w:color w:val="auto"/>
              </w:rPr>
            </w:pPr>
            <w:r>
              <w:rPr>
                <w:rFonts w:ascii="Arial" w:cs="Arial" w:eastAsia="Arial" w:hAnsi="Arial"/>
                <w:sz w:val="14"/>
                <w:szCs w:val="14"/>
                <w:b w:val="1"/>
                <w:bCs w:val="1"/>
                <w:color w:val="FFFFFF"/>
              </w:rPr>
              <w:t>​  –  5 removed</w:t>
            </w:r>
          </w:p>
        </w:tc>
        <w:tc>
          <w:tcPr>
            <w:tcW w:w="1280" w:type="dxa"/>
            <w:vAlign w:val="bottom"/>
          </w:tcPr>
          <w:p>
            <w:pPr>
              <w:ind w:left="780"/>
              <w:spacing w:after="0"/>
              <w:rPr>
                <w:sz w:val="20"/>
                <w:szCs w:val="20"/>
                <w:color w:val="auto"/>
              </w:rPr>
            </w:pPr>
            <w:r>
              <w:rPr>
                <w:rFonts w:ascii="Arial" w:cs="Arial" w:eastAsia="Arial" w:hAnsi="Arial"/>
                <w:sz w:val="14"/>
                <w:szCs w:val="14"/>
                <w:b w:val="1"/>
                <w:bCs w:val="1"/>
                <w:color w:val="FFFFFF"/>
              </w:rPr>
              <w:t>​</w:t>
            </w:r>
          </w:p>
        </w:tc>
        <w:tc>
          <w:tcPr>
            <w:tcW w:w="3020" w:type="dxa"/>
            <w:vAlign w:val="bottom"/>
            <w:gridSpan w:val="2"/>
            <w:shd w:val="clear" w:color="auto" w:fill="BF5B5A"/>
          </w:tcPr>
          <w:p>
            <w:pPr>
              <w:ind w:left="20"/>
              <w:spacing w:after="0"/>
              <w:rPr>
                <w:sz w:val="20"/>
                <w:szCs w:val="20"/>
                <w:color w:val="auto"/>
              </w:rPr>
            </w:pPr>
            <w:r>
              <w:rPr>
                <w:rFonts w:ascii="Arial" w:cs="Arial" w:eastAsia="Arial" w:hAnsi="Arial"/>
                <w:sz w:val="14"/>
                <w:szCs w:val="14"/>
                <w:b w:val="1"/>
                <w:bCs w:val="1"/>
                <w:color w:val="FFFFFF"/>
              </w:rPr>
              <w:t>​ + 2 added</w:t>
            </w:r>
          </w:p>
        </w:tc>
        <w:tc>
          <w:tcPr>
            <w:tcW w:w="1340" w:type="dxa"/>
            <w:vAlign w:val="bottom"/>
            <w:shd w:val="clear" w:color="auto" w:fill="BF5B5A"/>
          </w:tcPr>
          <w:p>
            <w:pPr>
              <w:ind w:left="1240"/>
              <w:spacing w:after="0"/>
              <w:rPr>
                <w:sz w:val="20"/>
                <w:szCs w:val="20"/>
                <w:color w:val="auto"/>
              </w:rPr>
            </w:pPr>
            <w:r>
              <w:rPr>
                <w:rFonts w:ascii="Arial" w:cs="Arial" w:eastAsia="Arial" w:hAnsi="Arial"/>
                <w:sz w:val="14"/>
                <w:szCs w:val="14"/>
                <w:b w:val="1"/>
                <w:bCs w:val="1"/>
                <w:color w:val="FFFFFF"/>
              </w:rPr>
              <w:t>​</w:t>
            </w:r>
          </w:p>
        </w:tc>
      </w:tr>
      <w:tr>
        <w:trPr>
          <w:trHeight w:val="310"/>
        </w:trPr>
        <w:tc>
          <w:tcPr>
            <w:tcW w:w="280" w:type="dxa"/>
            <w:vAlign w:val="bottom"/>
          </w:tcPr>
          <w:p>
            <w:pPr>
              <w:jc w:val="right"/>
              <w:spacing w:after="0" w:line="31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3260" w:type="dxa"/>
            <w:vAlign w:val="bottom"/>
          </w:tcPr>
          <w:p>
            <w:pPr>
              <w:ind w:left="40"/>
              <w:spacing w:after="0"/>
              <w:rPr>
                <w:sz w:val="20"/>
                <w:szCs w:val="20"/>
                <w:color w:val="auto"/>
              </w:rPr>
            </w:pPr>
            <w:r>
              <w:rPr>
                <w:rFonts w:ascii="Arial" w:cs="Arial" w:eastAsia="Arial" w:hAnsi="Arial"/>
                <w:sz w:val="16"/>
                <w:szCs w:val="16"/>
                <w:color w:val="auto"/>
              </w:rPr>
              <w:t>Webster Financial Corporation</w:t>
            </w:r>
          </w:p>
        </w:tc>
        <w:tc>
          <w:tcPr>
            <w:tcW w:w="1280" w:type="dxa"/>
            <w:vAlign w:val="bottom"/>
          </w:tcPr>
          <w:p>
            <w:pPr>
              <w:ind w:left="78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line="31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BF5B5A"/>
                <w:vertAlign w:val="subscript"/>
              </w:rPr>
              <w:t>•</w:t>
            </w:r>
          </w:p>
        </w:tc>
        <w:tc>
          <w:tcPr>
            <w:tcW w:w="2800" w:type="dxa"/>
            <w:vAlign w:val="bottom"/>
          </w:tcPr>
          <w:p>
            <w:pPr>
              <w:ind w:left="60"/>
              <w:spacing w:after="0"/>
              <w:rPr>
                <w:sz w:val="20"/>
                <w:szCs w:val="20"/>
                <w:color w:val="auto"/>
              </w:rPr>
            </w:pPr>
            <w:r>
              <w:rPr>
                <w:rFonts w:ascii="Arial" w:cs="Arial" w:eastAsia="Arial" w:hAnsi="Arial"/>
                <w:sz w:val="16"/>
                <w:szCs w:val="16"/>
                <w:color w:val="auto"/>
              </w:rPr>
              <w:t>CVB Financial Corp.</w:t>
            </w:r>
          </w:p>
        </w:tc>
        <w:tc>
          <w:tcPr>
            <w:tcW w:w="1340" w:type="dxa"/>
            <w:vAlign w:val="bottom"/>
          </w:tcPr>
          <w:p>
            <w:pPr>
              <w:ind w:left="1240"/>
              <w:spacing w:after="0"/>
              <w:rPr>
                <w:sz w:val="20"/>
                <w:szCs w:val="20"/>
                <w:color w:val="auto"/>
              </w:rPr>
            </w:pPr>
            <w:r>
              <w:rPr>
                <w:rFonts w:ascii="Arial" w:cs="Arial" w:eastAsia="Arial" w:hAnsi="Arial"/>
                <w:sz w:val="16"/>
                <w:szCs w:val="16"/>
                <w:color w:val="auto"/>
              </w:rPr>
              <w:t>​</w:t>
            </w:r>
          </w:p>
        </w:tc>
      </w:tr>
      <w:tr>
        <w:trPr>
          <w:trHeight w:val="215"/>
        </w:trPr>
        <w:tc>
          <w:tcPr>
            <w:tcW w:w="280" w:type="dxa"/>
            <w:vAlign w:val="bottom"/>
          </w:tcPr>
          <w:p>
            <w:pPr>
              <w:jc w:val="right"/>
              <w:spacing w:after="0"/>
              <w:rPr>
                <w:sz w:val="20"/>
                <w:szCs w:val="20"/>
                <w:color w:val="auto"/>
              </w:rPr>
            </w:pPr>
            <w:r>
              <w:rPr>
                <w:rFonts w:ascii="Arial" w:cs="Arial" w:eastAsia="Arial" w:hAnsi="Arial"/>
                <w:sz w:val="16"/>
                <w:szCs w:val="16"/>
                <w:color w:val="BF5B5A"/>
              </w:rPr>
              <w:t>•</w:t>
            </w:r>
          </w:p>
        </w:tc>
        <w:tc>
          <w:tcPr>
            <w:tcW w:w="3260" w:type="dxa"/>
            <w:vAlign w:val="bottom"/>
          </w:tcPr>
          <w:p>
            <w:pPr>
              <w:ind w:left="40"/>
              <w:spacing w:after="0"/>
              <w:rPr>
                <w:sz w:val="20"/>
                <w:szCs w:val="20"/>
                <w:color w:val="auto"/>
              </w:rPr>
            </w:pPr>
            <w:r>
              <w:rPr>
                <w:rFonts w:ascii="Arial" w:cs="Arial" w:eastAsia="Arial" w:hAnsi="Arial"/>
                <w:sz w:val="16"/>
                <w:szCs w:val="16"/>
                <w:color w:val="auto"/>
              </w:rPr>
              <w:t>Western Alliance Bancorporation</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BF5B5A"/>
              </w:rPr>
              <w:t>•</w:t>
            </w:r>
          </w:p>
        </w:tc>
        <w:tc>
          <w:tcPr>
            <w:tcW w:w="2800" w:type="dxa"/>
            <w:vAlign w:val="bottom"/>
          </w:tcPr>
          <w:p>
            <w:pPr>
              <w:ind w:left="60"/>
              <w:spacing w:after="0"/>
              <w:rPr>
                <w:sz w:val="20"/>
                <w:szCs w:val="20"/>
                <w:color w:val="auto"/>
              </w:rPr>
            </w:pPr>
            <w:r>
              <w:rPr>
                <w:rFonts w:ascii="Arial" w:cs="Arial" w:eastAsia="Arial" w:hAnsi="Arial"/>
                <w:sz w:val="16"/>
                <w:szCs w:val="16"/>
                <w:color w:val="auto"/>
              </w:rPr>
              <w:t>WaFd, Inc.</w:t>
            </w:r>
          </w:p>
        </w:tc>
        <w:tc>
          <w:tcPr>
            <w:tcW w:w="1340" w:type="dxa"/>
            <w:vAlign w:val="bottom"/>
          </w:tcPr>
          <w:p>
            <w:pPr>
              <w:spacing w:after="0"/>
              <w:rPr>
                <w:sz w:val="18"/>
                <w:szCs w:val="18"/>
                <w:color w:val="auto"/>
              </w:rPr>
            </w:pPr>
          </w:p>
        </w:tc>
      </w:tr>
    </w:tbl>
    <w:p>
      <w:pPr>
        <w:spacing w:after="0" w:line="55" w:lineRule="exact"/>
        <w:rPr>
          <w:sz w:val="20"/>
          <w:szCs w:val="20"/>
          <w:color w:val="auto"/>
        </w:rPr>
      </w:pPr>
    </w:p>
    <w:p>
      <w:pPr>
        <w:ind w:left="1100" w:hanging="153"/>
        <w:spacing w:after="0"/>
        <w:tabs>
          <w:tab w:leader="none" w:pos="1100" w:val="left"/>
        </w:tabs>
        <w:numPr>
          <w:ilvl w:val="0"/>
          <w:numId w:val="101"/>
        </w:numPr>
        <w:rPr>
          <w:rFonts w:ascii="Arial" w:cs="Arial" w:eastAsia="Arial" w:hAnsi="Arial"/>
          <w:sz w:val="16"/>
          <w:szCs w:val="16"/>
          <w:color w:val="BF5B5A"/>
        </w:rPr>
      </w:pPr>
      <w:r>
        <w:rPr>
          <w:rFonts w:ascii="Arial" w:cs="Arial" w:eastAsia="Arial" w:hAnsi="Arial"/>
          <w:sz w:val="16"/>
          <w:szCs w:val="16"/>
          <w:color w:val="auto"/>
        </w:rPr>
        <w:t>East West Bancorp</w:t>
      </w:r>
    </w:p>
    <w:p>
      <w:pPr>
        <w:spacing w:after="0" w:line="86" w:lineRule="exact"/>
        <w:rPr>
          <w:rFonts w:ascii="Arial" w:cs="Arial" w:eastAsia="Arial" w:hAnsi="Arial"/>
          <w:sz w:val="16"/>
          <w:szCs w:val="16"/>
          <w:color w:val="BF5B5A"/>
        </w:rPr>
      </w:pPr>
    </w:p>
    <w:p>
      <w:pPr>
        <w:ind w:left="1100" w:hanging="153"/>
        <w:spacing w:after="0"/>
        <w:tabs>
          <w:tab w:leader="none" w:pos="1100" w:val="left"/>
        </w:tabs>
        <w:numPr>
          <w:ilvl w:val="0"/>
          <w:numId w:val="101"/>
        </w:numPr>
        <w:rPr>
          <w:rFonts w:ascii="Arial" w:cs="Arial" w:eastAsia="Arial" w:hAnsi="Arial"/>
          <w:sz w:val="16"/>
          <w:szCs w:val="16"/>
          <w:color w:val="BF5B5A"/>
        </w:rPr>
      </w:pPr>
      <w:r>
        <w:rPr>
          <w:rFonts w:ascii="Arial" w:cs="Arial" w:eastAsia="Arial" w:hAnsi="Arial"/>
          <w:sz w:val="16"/>
          <w:szCs w:val="16"/>
          <w:color w:val="auto"/>
        </w:rPr>
        <w:t>International Bancshares Corporation</w:t>
      </w:r>
    </w:p>
    <w:p>
      <w:pPr>
        <w:spacing w:after="0" w:line="86" w:lineRule="exact"/>
        <w:rPr>
          <w:rFonts w:ascii="Arial" w:cs="Arial" w:eastAsia="Arial" w:hAnsi="Arial"/>
          <w:sz w:val="16"/>
          <w:szCs w:val="16"/>
          <w:color w:val="BF5B5A"/>
        </w:rPr>
      </w:pPr>
    </w:p>
    <w:p>
      <w:pPr>
        <w:ind w:left="1100" w:hanging="153"/>
        <w:spacing w:after="0"/>
        <w:tabs>
          <w:tab w:leader="none" w:pos="1100" w:val="left"/>
        </w:tabs>
        <w:numPr>
          <w:ilvl w:val="0"/>
          <w:numId w:val="101"/>
        </w:numPr>
        <w:rPr>
          <w:rFonts w:ascii="Arial" w:cs="Arial" w:eastAsia="Arial" w:hAnsi="Arial"/>
          <w:sz w:val="16"/>
          <w:szCs w:val="16"/>
          <w:color w:val="BF5B5A"/>
        </w:rPr>
      </w:pPr>
      <w:r>
        <w:rPr>
          <w:rFonts w:ascii="Arial" w:cs="Arial" w:eastAsia="Arial" w:hAnsi="Arial"/>
          <w:sz w:val="16"/>
          <w:szCs w:val="16"/>
          <w:color w:val="auto"/>
        </w:rPr>
        <w:t>Great Western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20955</wp:posOffset>
            </wp:positionV>
            <wp:extent cx="58293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96"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47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33" w:lineRule="exact"/>
        <w:rPr>
          <w:sz w:val="20"/>
          <w:szCs w:val="20"/>
          <w:color w:val="auto"/>
        </w:rPr>
      </w:pPr>
    </w:p>
    <w:p>
      <w:pPr>
        <w:ind w:left="780" w:right="240"/>
        <w:spacing w:after="0" w:line="303" w:lineRule="auto"/>
        <w:rPr>
          <w:sz w:val="20"/>
          <w:szCs w:val="20"/>
          <w:color w:val="auto"/>
        </w:rPr>
      </w:pPr>
      <w:r>
        <w:rPr>
          <w:rFonts w:ascii="Arial" w:cs="Arial" w:eastAsia="Arial" w:hAnsi="Arial"/>
          <w:sz w:val="18"/>
          <w:szCs w:val="18"/>
          <w:color w:val="auto"/>
        </w:rPr>
        <w:t>The peer group used for benchmarking compensation for 2023 pay decisions consisted of the companies set forth in the table below:</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BF5B5A"/>
        </w:rPr>
        <w:t>2023 COMPENSATION PEER GROUP</w:t>
      </w:r>
    </w:p>
    <w:p>
      <w:pPr>
        <w:spacing w:after="0" w:line="108" w:lineRule="exact"/>
        <w:rPr>
          <w:sz w:val="20"/>
          <w:szCs w:val="20"/>
          <w:color w:val="auto"/>
        </w:rPr>
      </w:pPr>
    </w:p>
    <w:tbl>
      <w:tblPr>
        <w:tblLayout w:type="fixed"/>
        <w:tblInd w:w="780" w:type="dxa"/>
        <w:tblCellMar>
          <w:top w:w="0" w:type="dxa"/>
          <w:left w:w="0" w:type="dxa"/>
          <w:bottom w:w="0" w:type="dxa"/>
          <w:right w:w="0" w:type="dxa"/>
        </w:tblCellMar>
      </w:tblPr>
      <w:tr>
        <w:trPr>
          <w:trHeight w:val="28"/>
        </w:trPr>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BF5B5A"/>
              </w:rPr>
              <w:t>•</w:t>
            </w:r>
          </w:p>
        </w:tc>
        <w:tc>
          <w:tcPr>
            <w:tcW w:w="3140" w:type="dxa"/>
            <w:vAlign w:val="bottom"/>
            <w:vMerge w:val="restart"/>
          </w:tcPr>
          <w:p>
            <w:pPr>
              <w:ind w:left="60"/>
              <w:spacing w:after="0"/>
              <w:rPr>
                <w:sz w:val="20"/>
                <w:szCs w:val="20"/>
                <w:color w:val="auto"/>
              </w:rPr>
            </w:pPr>
            <w:r>
              <w:rPr>
                <w:rFonts w:ascii="Arial" w:cs="Arial" w:eastAsia="Arial" w:hAnsi="Arial"/>
                <w:sz w:val="16"/>
                <w:szCs w:val="16"/>
                <w:color w:val="auto"/>
              </w:rPr>
              <w:t>Bank of Hawaii Corporation</w:t>
            </w:r>
          </w:p>
        </w:tc>
        <w:tc>
          <w:tcPr>
            <w:tcW w:w="1060" w:type="dxa"/>
            <w:vAlign w:val="bottom"/>
            <w:vMerge w:val="restart"/>
          </w:tcPr>
          <w:p>
            <w:pPr>
              <w:ind w:left="9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BF5B5A"/>
              </w:rPr>
              <w:t>•</w:t>
            </w:r>
          </w:p>
        </w:tc>
        <w:tc>
          <w:tcPr>
            <w:tcW w:w="3220" w:type="dxa"/>
            <w:vAlign w:val="bottom"/>
            <w:vMerge w:val="restart"/>
          </w:tcPr>
          <w:p>
            <w:pPr>
              <w:ind w:left="60"/>
              <w:spacing w:after="0"/>
              <w:rPr>
                <w:sz w:val="20"/>
                <w:szCs w:val="20"/>
                <w:color w:val="auto"/>
              </w:rPr>
            </w:pPr>
            <w:r>
              <w:rPr>
                <w:rFonts w:ascii="Arial" w:cs="Arial" w:eastAsia="Arial" w:hAnsi="Arial"/>
                <w:sz w:val="16"/>
                <w:szCs w:val="16"/>
                <w:color w:val="auto"/>
              </w:rPr>
              <w:t>Pacific Premier Bancorp</w:t>
            </w:r>
          </w:p>
        </w:tc>
        <w:tc>
          <w:tcPr>
            <w:tcW w:w="1000" w:type="dxa"/>
            <w:vAlign w:val="bottom"/>
            <w:vMerge w:val="restart"/>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87"/>
        </w:trPr>
        <w:tc>
          <w:tcPr>
            <w:tcW w:w="1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1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2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7F7F7F"/>
            </w:tcBorders>
          </w:tcPr>
          <w:p>
            <w:pPr>
              <w:spacing w:after="0"/>
              <w:rPr>
                <w:sz w:val="10"/>
                <w:szCs w:val="10"/>
                <w:color w:val="auto"/>
              </w:rPr>
            </w:pPr>
          </w:p>
        </w:tc>
        <w:tc>
          <w:tcPr>
            <w:tcW w:w="220" w:type="dxa"/>
            <w:vAlign w:val="bottom"/>
            <w:tcBorders>
              <w:bottom w:val="single" w:sz="8" w:color="7F7F7F"/>
            </w:tcBorders>
            <w:vMerge w:val="continue"/>
          </w:tcPr>
          <w:p>
            <w:pPr>
              <w:spacing w:after="0"/>
              <w:rPr>
                <w:sz w:val="10"/>
                <w:szCs w:val="10"/>
                <w:color w:val="auto"/>
              </w:rPr>
            </w:pPr>
          </w:p>
        </w:tc>
        <w:tc>
          <w:tcPr>
            <w:tcW w:w="3140" w:type="dxa"/>
            <w:vAlign w:val="bottom"/>
            <w:tcBorders>
              <w:bottom w:val="single" w:sz="8" w:color="7F7F7F"/>
            </w:tcBorders>
            <w:vMerge w:val="continue"/>
          </w:tcPr>
          <w:p>
            <w:pPr>
              <w:spacing w:after="0"/>
              <w:rPr>
                <w:sz w:val="10"/>
                <w:szCs w:val="10"/>
                <w:color w:val="auto"/>
              </w:rPr>
            </w:pPr>
          </w:p>
        </w:tc>
        <w:tc>
          <w:tcPr>
            <w:tcW w:w="1060" w:type="dxa"/>
            <w:vAlign w:val="bottom"/>
            <w:tcBorders>
              <w:bottom w:val="single" w:sz="8" w:color="7F7F7F"/>
            </w:tcBorders>
          </w:tcPr>
          <w:p>
            <w:pPr>
              <w:spacing w:after="0"/>
              <w:rPr>
                <w:sz w:val="10"/>
                <w:szCs w:val="10"/>
                <w:color w:val="auto"/>
              </w:rPr>
            </w:pPr>
          </w:p>
        </w:tc>
        <w:tc>
          <w:tcPr>
            <w:tcW w:w="20" w:type="dxa"/>
            <w:vAlign w:val="bottom"/>
            <w:tcBorders>
              <w:bottom w:val="single" w:sz="8" w:color="7F7F7F"/>
            </w:tcBorders>
            <w:shd w:val="clear" w:color="auto" w:fill="F2F2F2"/>
          </w:tcPr>
          <w:p>
            <w:pPr>
              <w:spacing w:after="0"/>
              <w:rPr>
                <w:sz w:val="10"/>
                <w:szCs w:val="10"/>
                <w:color w:val="auto"/>
              </w:rPr>
            </w:pPr>
          </w:p>
        </w:tc>
        <w:tc>
          <w:tcPr>
            <w:tcW w:w="160" w:type="dxa"/>
            <w:vAlign w:val="bottom"/>
            <w:tcBorders>
              <w:bottom w:val="single" w:sz="8" w:color="7F7F7F"/>
            </w:tcBorders>
          </w:tcPr>
          <w:p>
            <w:pPr>
              <w:spacing w:after="0"/>
              <w:rPr>
                <w:sz w:val="10"/>
                <w:szCs w:val="10"/>
                <w:color w:val="auto"/>
              </w:rPr>
            </w:pPr>
          </w:p>
        </w:tc>
        <w:tc>
          <w:tcPr>
            <w:tcW w:w="200" w:type="dxa"/>
            <w:vAlign w:val="bottom"/>
            <w:tcBorders>
              <w:bottom w:val="single" w:sz="8" w:color="7F7F7F"/>
            </w:tcBorders>
            <w:vMerge w:val="continue"/>
          </w:tcPr>
          <w:p>
            <w:pPr>
              <w:spacing w:after="0"/>
              <w:rPr>
                <w:sz w:val="10"/>
                <w:szCs w:val="10"/>
                <w:color w:val="auto"/>
              </w:rPr>
            </w:pPr>
          </w:p>
        </w:tc>
        <w:tc>
          <w:tcPr>
            <w:tcW w:w="3220" w:type="dxa"/>
            <w:vAlign w:val="bottom"/>
            <w:tcBorders>
              <w:bottom w:val="single" w:sz="8" w:color="7F7F7F"/>
            </w:tcBorders>
            <w:vMerge w:val="continue"/>
          </w:tcPr>
          <w:p>
            <w:pPr>
              <w:spacing w:after="0"/>
              <w:rPr>
                <w:sz w:val="10"/>
                <w:szCs w:val="10"/>
                <w:color w:val="auto"/>
              </w:rPr>
            </w:pPr>
          </w:p>
        </w:tc>
        <w:tc>
          <w:tcPr>
            <w:tcW w:w="100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Pr>
          <w:p>
            <w:pPr>
              <w:ind w:left="60"/>
              <w:spacing w:after="0"/>
              <w:rPr>
                <w:sz w:val="20"/>
                <w:szCs w:val="20"/>
                <w:color w:val="auto"/>
              </w:rPr>
            </w:pPr>
            <w:r>
              <w:rPr>
                <w:rFonts w:ascii="Arial" w:cs="Arial" w:eastAsia="Arial" w:hAnsi="Arial"/>
                <w:sz w:val="16"/>
                <w:szCs w:val="16"/>
                <w:color w:val="auto"/>
              </w:rPr>
              <w:t>BankUnited, Inc.</w:t>
            </w:r>
          </w:p>
        </w:tc>
        <w:tc>
          <w:tcPr>
            <w:tcW w:w="1060" w:type="dxa"/>
            <w:vAlign w:val="bottom"/>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F2F2F2"/>
            </w:tcBorders>
            <w:shd w:val="clear" w:color="auto" w:fill="F2F2F2"/>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Pr>
          <w:p>
            <w:pPr>
              <w:ind w:left="60"/>
              <w:spacing w:after="0"/>
              <w:rPr>
                <w:sz w:val="20"/>
                <w:szCs w:val="20"/>
                <w:color w:val="auto"/>
              </w:rPr>
            </w:pPr>
            <w:r>
              <w:rPr>
                <w:rFonts w:ascii="Arial" w:cs="Arial" w:eastAsia="Arial" w:hAnsi="Arial"/>
                <w:sz w:val="16"/>
                <w:szCs w:val="16"/>
                <w:color w:val="auto"/>
              </w:rPr>
              <w:t>PacWest Bancorp</w:t>
            </w:r>
          </w:p>
        </w:tc>
        <w:tc>
          <w:tcPr>
            <w:tcW w:w="1000" w:type="dxa"/>
            <w:vAlign w:val="bottom"/>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Banner Corporation</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Prosperity Bancshares, Inc.</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Cathay General Bancorp</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Trustmark Corporation</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Columbia Banking System</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UMB Financial</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Commerce Bancshares, Inc.</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Umpqua Holdings Corporation</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CVB Financial Corp.</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United Bankshares, Inc.</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F.N.B. Corporation</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2"/>
                <w:szCs w:val="22"/>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WaFd, Inc.</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7F7F7F"/>
              <w:bottom w:val="single" w:sz="8" w:color="7F7F7F"/>
            </w:tcBorders>
          </w:tcPr>
          <w:p>
            <w:pPr>
              <w:ind w:left="120"/>
              <w:spacing w:after="0"/>
              <w:rPr>
                <w:sz w:val="20"/>
                <w:szCs w:val="20"/>
                <w:color w:val="auto"/>
              </w:rPr>
            </w:pPr>
            <w:r>
              <w:rPr>
                <w:rFonts w:ascii="Arial" w:cs="Arial" w:eastAsia="Arial" w:hAnsi="Arial"/>
                <w:sz w:val="16"/>
                <w:szCs w:val="16"/>
                <w:color w:val="BF5B5A"/>
              </w:rPr>
              <w:t>•</w:t>
            </w:r>
          </w:p>
        </w:tc>
        <w:tc>
          <w:tcPr>
            <w:tcW w:w="314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Hope Bancorp</w:t>
            </w:r>
          </w:p>
        </w:tc>
        <w:tc>
          <w:tcPr>
            <w:tcW w:w="1060" w:type="dxa"/>
            <w:vAlign w:val="bottom"/>
            <w:tcBorders>
              <w:top w:val="single" w:sz="8" w:color="7F7F7F"/>
            </w:tcBorders>
          </w:tcPr>
          <w:p>
            <w:pPr>
              <w:ind w:left="9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7F7F7F"/>
              <w:bottom w:val="single" w:sz="8" w:color="F2F2F2"/>
            </w:tcBorders>
            <w:shd w:val="clear" w:color="auto" w:fill="F2F2F2"/>
          </w:tcPr>
          <w:p>
            <w:pPr>
              <w:spacing w:after="0"/>
              <w:rPr>
                <w:sz w:val="21"/>
                <w:szCs w:val="21"/>
                <w:color w:val="auto"/>
              </w:rPr>
            </w:pPr>
          </w:p>
        </w:tc>
        <w:tc>
          <w:tcPr>
            <w:tcW w:w="160" w:type="dxa"/>
            <w:vAlign w:val="bottom"/>
            <w:tcBorders>
              <w:top w:val="single" w:sz="8" w:color="7F7F7F"/>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6"/>
                <w:szCs w:val="16"/>
                <w:color w:val="BF5B5A"/>
              </w:rPr>
              <w:t>•</w:t>
            </w:r>
          </w:p>
        </w:tc>
        <w:tc>
          <w:tcPr>
            <w:tcW w:w="32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6"/>
                <w:szCs w:val="16"/>
                <w:color w:val="auto"/>
              </w:rPr>
              <w:t>Wintrust Financial Corporation</w:t>
            </w:r>
          </w:p>
        </w:tc>
        <w:tc>
          <w:tcPr>
            <w:tcW w:w="1000" w:type="dxa"/>
            <w:vAlign w:val="bottom"/>
            <w:tcBorders>
              <w:top w:val="single" w:sz="8" w:color="7F7F7F"/>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160" w:type="dxa"/>
            <w:vAlign w:val="bottom"/>
            <w:shd w:val="clear" w:color="auto" w:fill="BF5B5A"/>
          </w:tcPr>
          <w:p>
            <w:pPr>
              <w:spacing w:after="0" w:line="20" w:lineRule="exact"/>
              <w:rPr>
                <w:sz w:val="1"/>
                <w:szCs w:val="1"/>
                <w:color w:val="auto"/>
              </w:rPr>
            </w:pPr>
          </w:p>
        </w:tc>
        <w:tc>
          <w:tcPr>
            <w:tcW w:w="220" w:type="dxa"/>
            <w:vAlign w:val="bottom"/>
            <w:shd w:val="clear" w:color="auto" w:fill="BF5B5A"/>
          </w:tcPr>
          <w:p>
            <w:pPr>
              <w:spacing w:after="0" w:line="20" w:lineRule="exact"/>
              <w:rPr>
                <w:sz w:val="1"/>
                <w:szCs w:val="1"/>
                <w:color w:val="auto"/>
              </w:rPr>
            </w:pPr>
          </w:p>
        </w:tc>
        <w:tc>
          <w:tcPr>
            <w:tcW w:w="3140" w:type="dxa"/>
            <w:vAlign w:val="bottom"/>
            <w:shd w:val="clear" w:color="auto" w:fill="BF5B5A"/>
          </w:tcPr>
          <w:p>
            <w:pPr>
              <w:spacing w:after="0" w:line="20" w:lineRule="exact"/>
              <w:rPr>
                <w:sz w:val="1"/>
                <w:szCs w:val="1"/>
                <w:color w:val="auto"/>
              </w:rPr>
            </w:pPr>
          </w:p>
        </w:tc>
        <w:tc>
          <w:tcPr>
            <w:tcW w:w="1060" w:type="dxa"/>
            <w:vAlign w:val="bottom"/>
            <w:shd w:val="clear" w:color="auto" w:fill="BF5B5A"/>
          </w:tcPr>
          <w:p>
            <w:pPr>
              <w:spacing w:after="0" w:line="20" w:lineRule="exact"/>
              <w:rPr>
                <w:sz w:val="1"/>
                <w:szCs w:val="1"/>
                <w:color w:val="auto"/>
              </w:rPr>
            </w:pPr>
          </w:p>
        </w:tc>
        <w:tc>
          <w:tcPr>
            <w:tcW w:w="20" w:type="dxa"/>
            <w:vAlign w:val="bottom"/>
            <w:shd w:val="clear" w:color="auto" w:fill="BF5B5A"/>
          </w:tcPr>
          <w:p>
            <w:pPr>
              <w:spacing w:after="0" w:line="20" w:lineRule="exact"/>
              <w:rPr>
                <w:sz w:val="1"/>
                <w:szCs w:val="1"/>
                <w:color w:val="auto"/>
              </w:rPr>
            </w:pPr>
          </w:p>
        </w:tc>
        <w:tc>
          <w:tcPr>
            <w:tcW w:w="160" w:type="dxa"/>
            <w:vAlign w:val="bottom"/>
            <w:shd w:val="clear" w:color="auto" w:fill="BF5B5A"/>
          </w:tcPr>
          <w:p>
            <w:pPr>
              <w:spacing w:after="0" w:line="20" w:lineRule="exact"/>
              <w:rPr>
                <w:sz w:val="1"/>
                <w:szCs w:val="1"/>
                <w:color w:val="auto"/>
              </w:rPr>
            </w:pPr>
          </w:p>
        </w:tc>
        <w:tc>
          <w:tcPr>
            <w:tcW w:w="200" w:type="dxa"/>
            <w:vAlign w:val="bottom"/>
            <w:shd w:val="clear" w:color="auto" w:fill="BF5B5A"/>
          </w:tcPr>
          <w:p>
            <w:pPr>
              <w:spacing w:after="0" w:line="20" w:lineRule="exact"/>
              <w:rPr>
                <w:sz w:val="1"/>
                <w:szCs w:val="1"/>
                <w:color w:val="auto"/>
              </w:rPr>
            </w:pPr>
          </w:p>
        </w:tc>
        <w:tc>
          <w:tcPr>
            <w:tcW w:w="3220" w:type="dxa"/>
            <w:vAlign w:val="bottom"/>
            <w:shd w:val="clear" w:color="auto" w:fill="BF5B5A"/>
          </w:tcPr>
          <w:p>
            <w:pPr>
              <w:spacing w:after="0" w:line="20" w:lineRule="exact"/>
              <w:rPr>
                <w:sz w:val="1"/>
                <w:szCs w:val="1"/>
                <w:color w:val="auto"/>
              </w:rPr>
            </w:pPr>
          </w:p>
        </w:tc>
        <w:tc>
          <w:tcPr>
            <w:tcW w:w="1000" w:type="dxa"/>
            <w:vAlign w:val="bottom"/>
            <w:shd w:val="clear" w:color="auto" w:fill="BF5B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BF5B5A"/>
        </w:rPr>
        <w:t>FIRST HAWAIIAN PERCENTILE RANKING VS. COMPENSATION PEER GROUP</w:t>
      </w:r>
      <w:r>
        <w:rPr>
          <w:rFonts w:ascii="Arial" w:cs="Arial" w:eastAsia="Arial" w:hAnsi="Arial"/>
          <w:sz w:val="26"/>
          <w:szCs w:val="26"/>
          <w:b w:val="1"/>
          <w:bCs w:val="1"/>
          <w:color w:val="BF5B5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119380</wp:posOffset>
            </wp:positionV>
            <wp:extent cx="5520690" cy="20834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20690" cy="208343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40" w:hanging="360"/>
        <w:spacing w:after="0"/>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As of December 31, 2022.</w:t>
      </w:r>
    </w:p>
    <w:p>
      <w:pPr>
        <w:spacing w:after="0" w:line="243"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In addition to data from the custom peer group, the Compensation Committee also reviews data from proprietary industry survey sources to gain a broader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perspective on pay levels and practices for specific positions, particularly positions below the NEO level.</w:t>
      </w:r>
    </w:p>
    <w:p>
      <w:pPr>
        <w:spacing w:after="0" w:line="627" w:lineRule="exact"/>
        <w:rPr>
          <w:sz w:val="20"/>
          <w:szCs w:val="20"/>
          <w:color w:val="auto"/>
        </w:rPr>
      </w:pPr>
    </w:p>
    <w:p>
      <w:pPr>
        <w:sectPr>
          <w:pgSz w:w="11900" w:h="16838" w:orient="portrait"/>
          <w:cols w:equalWidth="0" w:num="2">
            <w:col w:w="4960" w:space="66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48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2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CEO Compensation</w:t>
      </w:r>
    </w:p>
    <w:p>
      <w:pPr>
        <w:spacing w:after="0" w:line="177"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The framework for the compensation of our CEO is based on a strong alignment with stockholder interests and a consistency with market practices. For 2023, First Hawaiian’s CEO pay mix was aligned with the average pay mix across the peer group. For more information on our peer group, please see “—</w:t>
      </w:r>
      <w:r>
        <w:rPr>
          <w:rFonts w:ascii="Arial" w:cs="Arial" w:eastAsia="Arial" w:hAnsi="Arial"/>
          <w:sz w:val="18"/>
          <w:szCs w:val="18"/>
          <w:i w:val="1"/>
          <w:iCs w:val="1"/>
          <w:color w:val="auto"/>
        </w:rPr>
        <w:t>Benchmarking</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above. The following graphs compare our CEO’s target pay mix for 2023 to the average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2022 pay mix for CEO’s of our peer group.</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BF5B5A"/>
        </w:rPr>
        <w:t>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146050</wp:posOffset>
            </wp:positionV>
            <wp:extent cx="5237480" cy="20999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37480" cy="20999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80" w:right="20"/>
        <w:spacing w:after="0" w:line="273" w:lineRule="auto"/>
        <w:rPr>
          <w:sz w:val="20"/>
          <w:szCs w:val="20"/>
          <w:color w:val="auto"/>
        </w:rPr>
      </w:pPr>
      <w:r>
        <w:rPr>
          <w:rFonts w:ascii="Arial" w:cs="Arial" w:eastAsia="Arial" w:hAnsi="Arial"/>
          <w:sz w:val="18"/>
          <w:szCs w:val="18"/>
          <w:color w:val="auto"/>
        </w:rPr>
        <w:t>For 2023, the Compensation Committee and its independent compensation consultant, Pay Governance, discussed market trends and reviewed benchmarking reports as discussed above under “— Benchmarking Compensation.” As part of this review, when setting Mr. Harrison’s compensation based on his performance during 2022, the Compensation Committee considered the Company’s performance results for fiscal year 2022, sustained historical performance results, external market references (including absolute and relative performance against peers) and internal compensation references. Mr. Harrison was not involved in setting his own compensation and was not present during the review of his performance or approval of his compensation.</w:t>
      </w:r>
    </w:p>
    <w:p>
      <w:pPr>
        <w:spacing w:after="0" w:line="356"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The Compensation Committee set the CEO’s base salary for 2023 at $1,037,993 and maintained the target bonus for 2023 at 100% of base salary. A significant portion of the CEO’s fiscal year 2023 bonus was based on a formula, with 50% of the bonus opportunity tied to the achievement of core net income goals and 20% tied to the Asset Quality Metric. The remaining 30% is based on achievement of individual goals. The CEO received a 2023 bonus award of $638,366 representing 62% of his target award. For 2023, the Compensation Committee increased the target value of long-term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awards for the CEO from $2,000,000 to $2,300,000. For further discussion of the Compensation Committee’s rationale for its decisions regarding the CEO’s 2023 bonus and 2023 target long-term equity awards, see “</w:t>
      </w:r>
      <w:r>
        <w:rPr>
          <w:rFonts w:ascii="Arial" w:cs="Arial" w:eastAsia="Arial" w:hAnsi="Arial"/>
          <w:sz w:val="18"/>
          <w:szCs w:val="18"/>
          <w:i w:val="1"/>
          <w:iCs w:val="1"/>
          <w:color w:val="auto"/>
        </w:rPr>
        <w:t>—Key Components of Compensation</w:t>
      </w:r>
      <w:r>
        <w:rPr>
          <w:rFonts w:ascii="Arial" w:cs="Arial" w:eastAsia="Arial" w:hAnsi="Arial"/>
          <w:sz w:val="18"/>
          <w:szCs w:val="18"/>
          <w:color w:val="auto"/>
        </w:rPr>
        <w:t>.”</w:t>
      </w:r>
    </w:p>
    <w:p>
      <w:pPr>
        <w:spacing w:after="0" w:line="100" w:lineRule="exact"/>
        <w:rPr>
          <w:sz w:val="20"/>
          <w:szCs w:val="20"/>
          <w:color w:val="auto"/>
        </w:rPr>
      </w:pPr>
    </w:p>
    <w:p>
      <w:pPr>
        <w:ind w:left="20" w:right="120"/>
        <w:spacing w:after="0" w:line="264" w:lineRule="auto"/>
        <w:rPr>
          <w:sz w:val="20"/>
          <w:szCs w:val="20"/>
          <w:color w:val="auto"/>
        </w:rPr>
      </w:pPr>
      <w:r>
        <w:rPr>
          <w:rFonts w:ascii="Arial" w:cs="Arial" w:eastAsia="Arial" w:hAnsi="Arial"/>
          <w:sz w:val="18"/>
          <w:szCs w:val="18"/>
          <w:color w:val="auto"/>
        </w:rPr>
        <w:t>In 2023, 76% of Mr. Harrison’s target total direct compensation was variable and at-risk based on annual and long-term performance, and 52% of Mr. Harrison’s target total direct compensation was based on long-term performance, in line with such percentages for average peer group CEOs. The material elements of total direct compensation are base salary, annual cash incentives and equity incentives.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BF5B5A"/>
        </w:rPr>
        <w:t>2023 Stockholder Outreach</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Every year we reach out to the holders of a</w:t>
      </w:r>
    </w:p>
    <w:p>
      <w:pPr>
        <w:spacing w:after="0" w:line="32"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large percentage of our outstanding stock to request engagement on matters of governance and executive compensation, as well as any other matters on which they would like to offer feedback. In 2023 we sought feedback from our stockholder community regarding all aspects of our corporate governance as well as the design of our compensation program, suggestions on how to improve the compensation program from a</w:t>
      </w:r>
    </w:p>
    <w:p>
      <w:pPr>
        <w:spacing w:after="0" w:line="809" w:lineRule="exact"/>
        <w:rPr>
          <w:sz w:val="20"/>
          <w:szCs w:val="20"/>
          <w:color w:val="auto"/>
        </w:rPr>
      </w:pPr>
    </w:p>
    <w:p>
      <w:pPr>
        <w:sectPr>
          <w:pgSz w:w="11900" w:h="16838" w:orient="portrait"/>
          <w:cols w:equalWidth="0" w:num="2">
            <w:col w:w="5100" w:space="500"/>
            <w:col w:w="4320"/>
          </w:cols>
          <w:pgMar w:left="580" w:top="97" w:right="1399" w:bottom="1440" w:gutter="0" w:footer="0" w:header="0"/>
          <w:type w:val="continuous"/>
        </w:sectPr>
      </w:pPr>
    </w:p>
    <w:p>
      <w:pPr>
        <w:spacing w:after="0" w:line="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49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279" w:lineRule="exact"/>
        <w:rPr>
          <w:sz w:val="20"/>
          <w:szCs w:val="20"/>
          <w:color w:val="auto"/>
        </w:rPr>
      </w:pPr>
    </w:p>
    <w:p>
      <w:pPr>
        <w:ind w:left="780" w:right="40"/>
        <w:spacing w:after="0" w:line="300" w:lineRule="auto"/>
        <w:rPr>
          <w:sz w:val="20"/>
          <w:szCs w:val="20"/>
          <w:color w:val="auto"/>
        </w:rPr>
      </w:pPr>
      <w:r>
        <w:rPr>
          <w:rFonts w:ascii="Arial" w:cs="Arial" w:eastAsia="Arial" w:hAnsi="Arial"/>
          <w:sz w:val="18"/>
          <w:szCs w:val="18"/>
          <w:color w:val="auto"/>
        </w:rPr>
        <w:t>stockholder viewpoint and ideas on how to enhance the transparency of our disclosure regarding our compensation program and strategy going forward.</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Our 2023 outreach efforts consisted of the following:</w:t>
      </w:r>
    </w:p>
    <w:p>
      <w:pPr>
        <w:spacing w:after="0" w:line="144" w:lineRule="exact"/>
        <w:rPr>
          <w:sz w:val="20"/>
          <w:szCs w:val="20"/>
          <w:color w:val="auto"/>
        </w:rPr>
      </w:pPr>
    </w:p>
    <w:p>
      <w:pPr>
        <w:ind w:left="1420" w:right="200" w:hanging="280"/>
        <w:spacing w:after="0" w:line="303" w:lineRule="auto"/>
        <w:tabs>
          <w:tab w:leader="none" w:pos="1420" w:val="left"/>
        </w:tabs>
        <w:numPr>
          <w:ilvl w:val="0"/>
          <w:numId w:val="103"/>
        </w:numPr>
        <w:rPr>
          <w:rFonts w:ascii="Arial" w:cs="Arial" w:eastAsia="Arial" w:hAnsi="Arial"/>
          <w:sz w:val="18"/>
          <w:szCs w:val="18"/>
          <w:color w:val="BF5B5A"/>
        </w:rPr>
      </w:pPr>
      <w:r>
        <w:rPr>
          <w:rFonts w:ascii="Arial" w:cs="Arial" w:eastAsia="Arial" w:hAnsi="Arial"/>
          <w:sz w:val="18"/>
          <w:szCs w:val="18"/>
          <w:color w:val="auto"/>
        </w:rPr>
        <w:t>We contacted the holders of 84% of our outstanding stock to request engagement.</w:t>
      </w:r>
    </w:p>
    <w:p>
      <w:pPr>
        <w:spacing w:after="0" w:line="84" w:lineRule="exact"/>
        <w:rPr>
          <w:rFonts w:ascii="Arial" w:cs="Arial" w:eastAsia="Arial" w:hAnsi="Arial"/>
          <w:sz w:val="18"/>
          <w:szCs w:val="18"/>
          <w:color w:val="BF5B5A"/>
        </w:rPr>
      </w:pPr>
    </w:p>
    <w:p>
      <w:pPr>
        <w:ind w:left="1420" w:right="280" w:hanging="280"/>
        <w:spacing w:after="0" w:line="292" w:lineRule="auto"/>
        <w:tabs>
          <w:tab w:leader="none" w:pos="1420" w:val="left"/>
        </w:tabs>
        <w:numPr>
          <w:ilvl w:val="0"/>
          <w:numId w:val="103"/>
        </w:numPr>
        <w:rPr>
          <w:rFonts w:ascii="Arial" w:cs="Arial" w:eastAsia="Arial" w:hAnsi="Arial"/>
          <w:sz w:val="18"/>
          <w:szCs w:val="18"/>
          <w:color w:val="BF5B5A"/>
        </w:rPr>
      </w:pPr>
      <w:r>
        <w:rPr>
          <w:rFonts w:ascii="Arial" w:cs="Arial" w:eastAsia="Arial" w:hAnsi="Arial"/>
          <w:sz w:val="18"/>
          <w:szCs w:val="18"/>
          <w:color w:val="auto"/>
        </w:rPr>
        <w:t>Five stockholders, who in aggregate held approximately 17.4% of our shares, accepted meetings with us.</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Company Participants: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right="120" w:hanging="267"/>
        <w:spacing w:after="0" w:line="303" w:lineRule="auto"/>
        <w:tabs>
          <w:tab w:leader="none" w:pos="620" w:val="left"/>
        </w:tabs>
        <w:numPr>
          <w:ilvl w:val="0"/>
          <w:numId w:val="104"/>
        </w:numPr>
        <w:rPr>
          <w:rFonts w:ascii="Arial" w:cs="Arial" w:eastAsia="Arial" w:hAnsi="Arial"/>
          <w:sz w:val="18"/>
          <w:szCs w:val="18"/>
          <w:color w:val="BF5B5A"/>
        </w:rPr>
      </w:pPr>
      <w:r>
        <w:rPr>
          <w:rFonts w:ascii="Arial" w:cs="Arial" w:eastAsia="Arial" w:hAnsi="Arial"/>
          <w:sz w:val="18"/>
          <w:szCs w:val="18"/>
          <w:color w:val="auto"/>
        </w:rPr>
        <w:t>Executive Vice President, General Counsel and Secretary</w:t>
      </w:r>
    </w:p>
    <w:p>
      <w:pPr>
        <w:spacing w:after="0" w:line="57" w:lineRule="exact"/>
        <w:rPr>
          <w:rFonts w:ascii="Arial" w:cs="Arial" w:eastAsia="Arial" w:hAnsi="Arial"/>
          <w:sz w:val="18"/>
          <w:szCs w:val="18"/>
          <w:color w:val="BF5B5A"/>
        </w:rPr>
      </w:pPr>
    </w:p>
    <w:p>
      <w:pPr>
        <w:ind w:left="620" w:hanging="267"/>
        <w:spacing w:after="0"/>
        <w:tabs>
          <w:tab w:leader="none" w:pos="620" w:val="left"/>
        </w:tabs>
        <w:numPr>
          <w:ilvl w:val="0"/>
          <w:numId w:val="104"/>
        </w:numPr>
        <w:rPr>
          <w:rFonts w:ascii="Arial" w:cs="Arial" w:eastAsia="Arial" w:hAnsi="Arial"/>
          <w:sz w:val="18"/>
          <w:szCs w:val="18"/>
          <w:color w:val="BF5B5A"/>
        </w:rPr>
      </w:pPr>
      <w:r>
        <w:rPr>
          <w:rFonts w:ascii="Arial" w:cs="Arial" w:eastAsia="Arial" w:hAnsi="Arial"/>
          <w:sz w:val="18"/>
          <w:szCs w:val="18"/>
          <w:color w:val="auto"/>
        </w:rPr>
        <w:t>Head of Investor Relations</w:t>
      </w:r>
    </w:p>
    <w:p>
      <w:pPr>
        <w:spacing w:after="0" w:line="144" w:lineRule="exact"/>
        <w:rPr>
          <w:rFonts w:ascii="Arial" w:cs="Arial" w:eastAsia="Arial" w:hAnsi="Arial"/>
          <w:sz w:val="18"/>
          <w:szCs w:val="18"/>
          <w:color w:val="BF5B5A"/>
        </w:rPr>
      </w:pPr>
    </w:p>
    <w:p>
      <w:pPr>
        <w:ind w:left="620" w:hanging="267"/>
        <w:spacing w:after="0"/>
        <w:tabs>
          <w:tab w:leader="none" w:pos="620" w:val="left"/>
        </w:tabs>
        <w:numPr>
          <w:ilvl w:val="0"/>
          <w:numId w:val="104"/>
        </w:numPr>
        <w:rPr>
          <w:rFonts w:ascii="Arial" w:cs="Arial" w:eastAsia="Arial" w:hAnsi="Arial"/>
          <w:sz w:val="18"/>
          <w:szCs w:val="18"/>
          <w:color w:val="BF5B5A"/>
        </w:rPr>
      </w:pPr>
      <w:r>
        <w:rPr>
          <w:rFonts w:ascii="Arial" w:cs="Arial" w:eastAsia="Arial" w:hAnsi="Arial"/>
          <w:sz w:val="18"/>
          <w:szCs w:val="18"/>
          <w:color w:val="auto"/>
        </w:rPr>
        <w:t>Chief Risk Officer participated in one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Feedback Received:</w:t>
      </w:r>
    </w:p>
    <w:p>
      <w:pPr>
        <w:spacing w:after="0" w:line="131" w:lineRule="exact"/>
        <w:rPr>
          <w:sz w:val="20"/>
          <w:szCs w:val="20"/>
          <w:color w:val="auto"/>
        </w:rPr>
      </w:pPr>
    </w:p>
    <w:p>
      <w:pPr>
        <w:ind w:left="620" w:right="220" w:hanging="267"/>
        <w:spacing w:after="0" w:line="318" w:lineRule="auto"/>
        <w:tabs>
          <w:tab w:leader="none" w:pos="620" w:val="left"/>
        </w:tabs>
        <w:numPr>
          <w:ilvl w:val="0"/>
          <w:numId w:val="105"/>
        </w:numPr>
        <w:rPr>
          <w:rFonts w:ascii="Arial" w:cs="Arial" w:eastAsia="Arial" w:hAnsi="Arial"/>
          <w:sz w:val="18"/>
          <w:szCs w:val="18"/>
          <w:color w:val="BF5B5A"/>
        </w:rPr>
      </w:pPr>
      <w:r>
        <w:rPr>
          <w:rFonts w:ascii="Arial" w:cs="Arial" w:eastAsia="Arial" w:hAnsi="Arial"/>
          <w:sz w:val="18"/>
          <w:szCs w:val="18"/>
          <w:color w:val="auto"/>
        </w:rPr>
        <w:t>Stockholders generally were supportive of our overall compensation structure.</w:t>
      </w:r>
    </w:p>
    <w:p>
      <w:pPr>
        <w:spacing w:after="0" w:line="72"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 Compensation Committee considers investor feedback, among other considerations, as it makes design decisions with respect to the compensation program.</w:t>
      </w:r>
    </w:p>
    <w:p>
      <w:pPr>
        <w:spacing w:after="0" w:line="200" w:lineRule="exact"/>
        <w:rPr>
          <w:sz w:val="20"/>
          <w:szCs w:val="20"/>
          <w:color w:val="auto"/>
        </w:rPr>
      </w:pPr>
    </w:p>
    <w:p>
      <w:pPr>
        <w:sectPr>
          <w:pgSz w:w="11900" w:h="16838" w:orient="portrait"/>
          <w:cols w:equalWidth="0" w:num="2">
            <w:col w:w="5080" w:space="540"/>
            <w:col w:w="430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50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Key Components of Compensation</w:t>
      </w: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BF5B5A"/>
        </w:rPr>
        <w:t>2023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146050</wp:posOffset>
            </wp:positionV>
            <wp:extent cx="5812155" cy="42519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812155"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02" w:lineRule="exact"/>
        <w:rPr>
          <w:sz w:val="20"/>
          <w:szCs w:val="20"/>
          <w:color w:val="auto"/>
        </w:rPr>
      </w:pPr>
    </w:p>
    <w:p>
      <w:pPr>
        <w:ind w:left="780"/>
        <w:spacing w:after="0" w:line="276" w:lineRule="auto"/>
        <w:rPr>
          <w:sz w:val="20"/>
          <w:szCs w:val="20"/>
          <w:color w:val="auto"/>
        </w:rPr>
      </w:pPr>
      <w:r>
        <w:rPr>
          <w:rFonts w:ascii="Arial" w:cs="Arial" w:eastAsia="Arial" w:hAnsi="Arial"/>
          <w:sz w:val="18"/>
          <w:szCs w:val="18"/>
          <w:color w:val="auto"/>
        </w:rPr>
        <w:t>Base salaries for our NEOs are reviewed annually by our Compensation Committee following the completion of our fiscal year end. Occasionally, we may make adjustments to base salaries during the year in response to significant changes in an executive’s responsibilities or events that would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affect the long-term retention of a key executive. Salaries are established at levels commensurate with each executive’s role and responsibilities, experience level, performance and relevant market data for similar roles.</w:t>
      </w:r>
    </w:p>
    <w:p>
      <w:pPr>
        <w:spacing w:after="0" w:line="373" w:lineRule="exact"/>
        <w:rPr>
          <w:sz w:val="20"/>
          <w:szCs w:val="20"/>
          <w:color w:val="auto"/>
        </w:rPr>
      </w:pPr>
    </w:p>
    <w:p>
      <w:pPr>
        <w:sectPr>
          <w:pgSz w:w="11900" w:h="16838" w:orient="portrait"/>
          <w:cols w:equalWidth="0" w:num="2">
            <w:col w:w="4960" w:space="660"/>
            <w:col w:w="430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51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33" w:lineRule="exact"/>
        <w:rPr>
          <w:sz w:val="20"/>
          <w:szCs w:val="20"/>
          <w:color w:val="auto"/>
        </w:rPr>
      </w:pPr>
    </w:p>
    <w:p>
      <w:pPr>
        <w:ind w:left="780" w:right="80"/>
        <w:spacing w:after="0" w:line="303" w:lineRule="auto"/>
        <w:rPr>
          <w:sz w:val="20"/>
          <w:szCs w:val="20"/>
          <w:color w:val="auto"/>
        </w:rPr>
      </w:pPr>
      <w:r>
        <w:rPr>
          <w:rFonts w:ascii="Arial" w:cs="Arial" w:eastAsia="Arial" w:hAnsi="Arial"/>
          <w:sz w:val="18"/>
          <w:szCs w:val="18"/>
          <w:color w:val="auto"/>
        </w:rPr>
        <w:t>After reviewing all relevant items, the Compensation Committee approved the following base salaries for 2023, effective March 2023:</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2220" w:type="dxa"/>
            <w:vAlign w:val="bottom"/>
            <w:shd w:val="clear" w:color="auto" w:fill="BF5B5A"/>
          </w:tcPr>
          <w:p>
            <w:pPr>
              <w:spacing w:after="0"/>
              <w:rPr>
                <w:sz w:val="16"/>
                <w:szCs w:val="16"/>
                <w:color w:val="auto"/>
              </w:rPr>
            </w:pPr>
          </w:p>
        </w:tc>
        <w:tc>
          <w:tcPr>
            <w:tcW w:w="580" w:type="dxa"/>
            <w:vAlign w:val="bottom"/>
            <w:shd w:val="clear" w:color="auto" w:fill="BF5B5A"/>
          </w:tcPr>
          <w:p>
            <w:pPr>
              <w:spacing w:after="0"/>
              <w:rPr>
                <w:sz w:val="16"/>
                <w:szCs w:val="16"/>
                <w:color w:val="auto"/>
              </w:rPr>
            </w:pPr>
          </w:p>
        </w:tc>
        <w:tc>
          <w:tcPr>
            <w:tcW w:w="320" w:type="dxa"/>
            <w:vAlign w:val="bottom"/>
            <w:shd w:val="clear" w:color="auto" w:fill="BF5B5A"/>
          </w:tcPr>
          <w:p>
            <w:pPr>
              <w:spacing w:after="0"/>
              <w:rPr>
                <w:sz w:val="16"/>
                <w:szCs w:val="16"/>
                <w:color w:val="auto"/>
              </w:rPr>
            </w:pPr>
          </w:p>
        </w:tc>
        <w:tc>
          <w:tcPr>
            <w:tcW w:w="140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rPr>
              <w:t>Base Salary 2022</w:t>
            </w:r>
          </w:p>
        </w:tc>
        <w:tc>
          <w:tcPr>
            <w:tcW w:w="160" w:type="dxa"/>
            <w:vAlign w:val="bottom"/>
            <w:shd w:val="clear" w:color="auto" w:fill="BF5B5A"/>
          </w:tcPr>
          <w:p>
            <w:pPr>
              <w:spacing w:after="0"/>
              <w:rPr>
                <w:sz w:val="16"/>
                <w:szCs w:val="16"/>
                <w:color w:val="auto"/>
              </w:rPr>
            </w:pPr>
          </w:p>
        </w:tc>
        <w:tc>
          <w:tcPr>
            <w:tcW w:w="320" w:type="dxa"/>
            <w:vAlign w:val="bottom"/>
            <w:shd w:val="clear" w:color="auto" w:fill="BF5B5A"/>
          </w:tcPr>
          <w:p>
            <w:pPr>
              <w:spacing w:after="0"/>
              <w:rPr>
                <w:sz w:val="16"/>
                <w:szCs w:val="16"/>
                <w:color w:val="auto"/>
              </w:rPr>
            </w:pPr>
          </w:p>
        </w:tc>
        <w:tc>
          <w:tcPr>
            <w:tcW w:w="320" w:type="dxa"/>
            <w:vAlign w:val="bottom"/>
            <w:shd w:val="clear" w:color="auto" w:fill="BF5B5A"/>
          </w:tcPr>
          <w:p>
            <w:pPr>
              <w:spacing w:after="0"/>
              <w:rPr>
                <w:sz w:val="16"/>
                <w:szCs w:val="16"/>
                <w:color w:val="auto"/>
              </w:rPr>
            </w:pPr>
          </w:p>
        </w:tc>
        <w:tc>
          <w:tcPr>
            <w:tcW w:w="140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rPr>
              <w:t>Base Salary 2023</w:t>
            </w:r>
          </w:p>
        </w:tc>
        <w:tc>
          <w:tcPr>
            <w:tcW w:w="160" w:type="dxa"/>
            <w:vAlign w:val="bottom"/>
            <w:shd w:val="clear" w:color="auto" w:fill="BF5B5A"/>
          </w:tcPr>
          <w:p>
            <w:pPr>
              <w:spacing w:after="0"/>
              <w:rPr>
                <w:sz w:val="16"/>
                <w:szCs w:val="16"/>
                <w:color w:val="auto"/>
              </w:rPr>
            </w:pPr>
          </w:p>
        </w:tc>
        <w:tc>
          <w:tcPr>
            <w:tcW w:w="320" w:type="dxa"/>
            <w:vAlign w:val="bottom"/>
            <w:shd w:val="clear" w:color="auto" w:fill="BF5B5A"/>
          </w:tcPr>
          <w:p>
            <w:pPr>
              <w:spacing w:after="0"/>
              <w:rPr>
                <w:sz w:val="16"/>
                <w:szCs w:val="16"/>
                <w:color w:val="auto"/>
              </w:rPr>
            </w:pPr>
          </w:p>
        </w:tc>
        <w:tc>
          <w:tcPr>
            <w:tcW w:w="340" w:type="dxa"/>
            <w:vAlign w:val="bottom"/>
            <w:shd w:val="clear" w:color="auto" w:fill="BF5B5A"/>
          </w:tcPr>
          <w:p>
            <w:pPr>
              <w:spacing w:after="0"/>
              <w:rPr>
                <w:sz w:val="16"/>
                <w:szCs w:val="16"/>
                <w:color w:val="auto"/>
              </w:rPr>
            </w:pPr>
          </w:p>
        </w:tc>
        <w:tc>
          <w:tcPr>
            <w:tcW w:w="1380" w:type="dxa"/>
            <w:vAlign w:val="bottom"/>
            <w:gridSpan w:val="2"/>
            <w:shd w:val="clear" w:color="auto" w:fill="BF5B5A"/>
          </w:tcPr>
          <w:p>
            <w:pPr>
              <w:ind w:left="320"/>
              <w:spacing w:after="0"/>
              <w:rPr>
                <w:sz w:val="20"/>
                <w:szCs w:val="20"/>
                <w:color w:val="auto"/>
              </w:rPr>
            </w:pPr>
            <w:r>
              <w:rPr>
                <w:rFonts w:ascii="Arial" w:cs="Arial" w:eastAsia="Arial" w:hAnsi="Arial"/>
                <w:sz w:val="16"/>
                <w:szCs w:val="16"/>
                <w:b w:val="1"/>
                <w:bCs w:val="1"/>
                <w:color w:val="FFFFFF"/>
              </w:rPr>
              <w:t>% Change</w:t>
            </w:r>
          </w:p>
        </w:tc>
        <w:tc>
          <w:tcPr>
            <w:tcW w:w="260" w:type="dxa"/>
            <w:vAlign w:val="bottom"/>
            <w:shd w:val="clear" w:color="auto" w:fill="BF5B5A"/>
          </w:tcPr>
          <w:p>
            <w:pPr>
              <w:spacing w:after="0"/>
              <w:rPr>
                <w:sz w:val="16"/>
                <w:szCs w:val="16"/>
                <w:color w:val="auto"/>
              </w:rPr>
            </w:pPr>
          </w:p>
        </w:tc>
      </w:tr>
      <w:tr>
        <w:trPr>
          <w:trHeight w:val="230"/>
        </w:trPr>
        <w:tc>
          <w:tcPr>
            <w:tcW w:w="222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580" w:type="dxa"/>
            <w:vAlign w:val="bottom"/>
            <w:shd w:val="clear" w:color="auto" w:fill="BF5B5A"/>
          </w:tcPr>
          <w:p>
            <w:pPr>
              <w:ind w:left="340"/>
              <w:spacing w:after="0"/>
              <w:rPr>
                <w:sz w:val="20"/>
                <w:szCs w:val="20"/>
                <w:color w:val="auto"/>
              </w:rPr>
            </w:pPr>
            <w:r>
              <w:rPr>
                <w:rFonts w:ascii="Arial" w:cs="Arial" w:eastAsia="Arial" w:hAnsi="Arial"/>
                <w:sz w:val="16"/>
                <w:szCs w:val="16"/>
                <w:b w:val="1"/>
                <w:bCs w:val="1"/>
                <w:color w:val="FFFFFF"/>
              </w:rPr>
              <w:t>​</w:t>
            </w:r>
          </w:p>
        </w:tc>
        <w:tc>
          <w:tcPr>
            <w:tcW w:w="320" w:type="dxa"/>
            <w:vAlign w:val="bottom"/>
            <w:shd w:val="clear" w:color="auto" w:fill="BF5B5A"/>
          </w:tcPr>
          <w:p>
            <w:pPr>
              <w:ind w:left="200"/>
              <w:spacing w:after="0"/>
              <w:rPr>
                <w:sz w:val="20"/>
                <w:szCs w:val="20"/>
                <w:color w:val="auto"/>
              </w:rPr>
            </w:pPr>
            <w:r>
              <w:rPr>
                <w:rFonts w:ascii="Arial" w:cs="Arial" w:eastAsia="Arial" w:hAnsi="Arial"/>
                <w:sz w:val="16"/>
                <w:szCs w:val="16"/>
                <w:b w:val="1"/>
                <w:bCs w:val="1"/>
                <w:color w:val="FFFFFF"/>
              </w:rPr>
              <w:t>​</w:t>
            </w:r>
          </w:p>
        </w:tc>
        <w:tc>
          <w:tcPr>
            <w:tcW w:w="540" w:type="dxa"/>
            <w:vAlign w:val="bottom"/>
            <w:shd w:val="clear" w:color="auto" w:fill="BF5B5A"/>
          </w:tcPr>
          <w:p>
            <w:pPr>
              <w:spacing w:after="0"/>
              <w:rPr>
                <w:sz w:val="20"/>
                <w:szCs w:val="20"/>
                <w:color w:val="auto"/>
              </w:rPr>
            </w:pPr>
          </w:p>
        </w:tc>
        <w:tc>
          <w:tcPr>
            <w:tcW w:w="860" w:type="dxa"/>
            <w:vAlign w:val="bottom"/>
            <w:shd w:val="clear" w:color="auto" w:fill="BF5B5A"/>
          </w:tcPr>
          <w:p>
            <w:pPr>
              <w:jc w:val="right"/>
              <w:ind w:right="459"/>
              <w:spacing w:after="0"/>
              <w:rPr>
                <w:sz w:val="20"/>
                <w:szCs w:val="20"/>
                <w:color w:val="auto"/>
              </w:rPr>
            </w:pPr>
            <w:r>
              <w:rPr>
                <w:rFonts w:ascii="Arial" w:cs="Arial" w:eastAsia="Arial" w:hAnsi="Arial"/>
                <w:sz w:val="16"/>
                <w:szCs w:val="16"/>
                <w:b w:val="1"/>
                <w:bCs w:val="1"/>
                <w:color w:val="FFFFFF"/>
              </w:rPr>
              <w:t>($)</w:t>
            </w:r>
          </w:p>
        </w:tc>
        <w:tc>
          <w:tcPr>
            <w:tcW w:w="160" w:type="dxa"/>
            <w:vAlign w:val="bottom"/>
            <w:shd w:val="clear" w:color="auto" w:fill="BF5B5A"/>
          </w:tcPr>
          <w:p>
            <w:pPr>
              <w:spacing w:after="0"/>
              <w:rPr>
                <w:sz w:val="20"/>
                <w:szCs w:val="20"/>
                <w:color w:val="auto"/>
              </w:rPr>
            </w:pPr>
          </w:p>
        </w:tc>
        <w:tc>
          <w:tcPr>
            <w:tcW w:w="32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320" w:type="dxa"/>
            <w:vAlign w:val="bottom"/>
            <w:shd w:val="clear" w:color="auto" w:fill="BF5B5A"/>
          </w:tcPr>
          <w:p>
            <w:pPr>
              <w:ind w:left="200"/>
              <w:spacing w:after="0"/>
              <w:rPr>
                <w:sz w:val="20"/>
                <w:szCs w:val="20"/>
                <w:color w:val="auto"/>
              </w:rPr>
            </w:pPr>
            <w:r>
              <w:rPr>
                <w:rFonts w:ascii="Arial" w:cs="Arial" w:eastAsia="Arial" w:hAnsi="Arial"/>
                <w:sz w:val="16"/>
                <w:szCs w:val="16"/>
                <w:b w:val="1"/>
                <w:bCs w:val="1"/>
                <w:color w:val="FFFFFF"/>
              </w:rPr>
              <w:t>​</w:t>
            </w:r>
          </w:p>
        </w:tc>
        <w:tc>
          <w:tcPr>
            <w:tcW w:w="540" w:type="dxa"/>
            <w:vAlign w:val="bottom"/>
            <w:shd w:val="clear" w:color="auto" w:fill="BF5B5A"/>
          </w:tcPr>
          <w:p>
            <w:pPr>
              <w:spacing w:after="0"/>
              <w:rPr>
                <w:sz w:val="20"/>
                <w:szCs w:val="20"/>
                <w:color w:val="auto"/>
              </w:rPr>
            </w:pPr>
          </w:p>
        </w:tc>
        <w:tc>
          <w:tcPr>
            <w:tcW w:w="860" w:type="dxa"/>
            <w:vAlign w:val="bottom"/>
            <w:shd w:val="clear" w:color="auto" w:fill="BF5B5A"/>
          </w:tcPr>
          <w:p>
            <w:pPr>
              <w:jc w:val="right"/>
              <w:ind w:right="459"/>
              <w:spacing w:after="0"/>
              <w:rPr>
                <w:sz w:val="20"/>
                <w:szCs w:val="20"/>
                <w:color w:val="auto"/>
              </w:rPr>
            </w:pPr>
            <w:r>
              <w:rPr>
                <w:rFonts w:ascii="Arial" w:cs="Arial" w:eastAsia="Arial" w:hAnsi="Arial"/>
                <w:sz w:val="16"/>
                <w:szCs w:val="16"/>
                <w:b w:val="1"/>
                <w:bCs w:val="1"/>
                <w:color w:val="FFFFFF"/>
              </w:rPr>
              <w:t>($)</w:t>
            </w:r>
          </w:p>
        </w:tc>
        <w:tc>
          <w:tcPr>
            <w:tcW w:w="160" w:type="dxa"/>
            <w:vAlign w:val="bottom"/>
            <w:shd w:val="clear" w:color="auto" w:fill="BF5B5A"/>
          </w:tcPr>
          <w:p>
            <w:pPr>
              <w:spacing w:after="0"/>
              <w:rPr>
                <w:sz w:val="20"/>
                <w:szCs w:val="20"/>
                <w:color w:val="auto"/>
              </w:rPr>
            </w:pPr>
          </w:p>
        </w:tc>
        <w:tc>
          <w:tcPr>
            <w:tcW w:w="32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c>
          <w:tcPr>
            <w:tcW w:w="340" w:type="dxa"/>
            <w:vAlign w:val="bottom"/>
            <w:shd w:val="clear" w:color="auto" w:fill="BF5B5A"/>
          </w:tcPr>
          <w:p>
            <w:pPr>
              <w:ind w:left="200"/>
              <w:spacing w:after="0"/>
              <w:rPr>
                <w:sz w:val="20"/>
                <w:szCs w:val="20"/>
                <w:color w:val="auto"/>
              </w:rPr>
            </w:pPr>
            <w:r>
              <w:rPr>
                <w:rFonts w:ascii="Arial" w:cs="Arial" w:eastAsia="Arial" w:hAnsi="Arial"/>
                <w:sz w:val="16"/>
                <w:szCs w:val="16"/>
                <w:b w:val="1"/>
                <w:bCs w:val="1"/>
                <w:color w:val="FFFFFF"/>
              </w:rPr>
              <w:t>​</w:t>
            </w:r>
          </w:p>
        </w:tc>
        <w:tc>
          <w:tcPr>
            <w:tcW w:w="1380" w:type="dxa"/>
            <w:vAlign w:val="bottom"/>
            <w:gridSpan w:val="2"/>
            <w:shd w:val="clear" w:color="auto" w:fill="BF5B5A"/>
          </w:tcPr>
          <w:p>
            <w:pPr>
              <w:ind w:left="120"/>
              <w:spacing w:after="0"/>
              <w:rPr>
                <w:sz w:val="20"/>
                <w:szCs w:val="20"/>
                <w:color w:val="auto"/>
              </w:rPr>
            </w:pPr>
            <w:r>
              <w:rPr>
                <w:rFonts w:ascii="Arial" w:cs="Arial" w:eastAsia="Arial" w:hAnsi="Arial"/>
                <w:sz w:val="16"/>
                <w:szCs w:val="16"/>
                <w:b w:val="1"/>
                <w:bCs w:val="1"/>
                <w:color w:val="FFFFFF"/>
                <w:w w:val="96"/>
              </w:rPr>
              <w:t>from 2022 Salary</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56"/>
        </w:trPr>
        <w:tc>
          <w:tcPr>
            <w:tcW w:w="222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gridSpan w:val="2"/>
          </w:tcPr>
          <w:p>
            <w:pPr>
              <w:jc w:val="right"/>
              <w:ind w:right="13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$1,007,760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7F7F7F"/>
            </w:tcBorders>
            <w:gridSpan w:val="2"/>
          </w:tcPr>
          <w:p>
            <w:pPr>
              <w:jc w:val="right"/>
              <w:ind w:right="13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$1,037,993</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1"/>
        </w:trPr>
        <w:tc>
          <w:tcPr>
            <w:tcW w:w="2220" w:type="dxa"/>
            <w:vAlign w:val="bottom"/>
            <w:tcBorders>
              <w:bottom w:val="single" w:sz="8" w:color="7F7F7F"/>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James A. Moses</w:t>
            </w:r>
            <w:r>
              <w:rPr>
                <w:rFonts w:ascii="Arial" w:cs="Arial" w:eastAsia="Arial" w:hAnsi="Arial"/>
                <w:sz w:val="19"/>
                <w:szCs w:val="19"/>
                <w:color w:val="auto"/>
                <w:vertAlign w:val="superscript"/>
              </w:rPr>
              <w:t>(1)</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475,000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N/A</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2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540,000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575,003</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2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522,218</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537,885</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1"/>
        </w:trPr>
        <w:tc>
          <w:tcPr>
            <w:tcW w:w="2220" w:type="dxa"/>
            <w:vAlign w:val="bottom"/>
            <w:tcBorders>
              <w:bottom w:val="single" w:sz="8" w:color="7F7F7F"/>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Neill A. Char</w:t>
            </w:r>
            <w:r>
              <w:rPr>
                <w:rFonts w:ascii="Arial" w:cs="Arial" w:eastAsia="Arial" w:hAnsi="Arial"/>
                <w:sz w:val="19"/>
                <w:szCs w:val="19"/>
                <w:color w:val="auto"/>
                <w:vertAlign w:val="superscript"/>
              </w:rPr>
              <w:t>(1)</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475,000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N/A</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0"/>
        </w:trPr>
        <w:tc>
          <w:tcPr>
            <w:tcW w:w="2220" w:type="dxa"/>
            <w:vAlign w:val="bottom"/>
            <w:tcBorders>
              <w:bottom w:val="single" w:sz="8" w:color="7F7F7F"/>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Ralph M. Mesick</w:t>
            </w:r>
            <w:r>
              <w:rPr>
                <w:rFonts w:ascii="Arial" w:cs="Arial" w:eastAsia="Arial" w:hAnsi="Arial"/>
                <w:sz w:val="19"/>
                <w:szCs w:val="19"/>
                <w:color w:val="auto"/>
                <w:vertAlign w:val="superscript"/>
              </w:rPr>
              <w:t>(2)</w:t>
            </w:r>
          </w:p>
        </w:tc>
        <w:tc>
          <w:tcPr>
            <w:tcW w:w="580" w:type="dxa"/>
            <w:vAlign w:val="bottom"/>
            <w:tcBorders>
              <w:bottom w:val="single" w:sz="8" w:color="7F7F7F"/>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682,000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7F7F7F"/>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7F7F7F"/>
            </w:tcBorders>
          </w:tcPr>
          <w:p>
            <w:pPr>
              <w:jc w:val="right"/>
              <w:ind w:right="139"/>
              <w:spacing w:after="0"/>
              <w:rPr>
                <w:sz w:val="20"/>
                <w:szCs w:val="20"/>
                <w:color w:val="auto"/>
              </w:rPr>
            </w:pPr>
            <w:r>
              <w:rPr>
                <w:rFonts w:ascii="Arial" w:cs="Arial" w:eastAsia="Arial" w:hAnsi="Arial"/>
                <w:sz w:val="16"/>
                <w:szCs w:val="16"/>
                <w:color w:val="auto"/>
              </w:rPr>
              <w:t>450,840</w:t>
            </w:r>
          </w:p>
        </w:tc>
        <w:tc>
          <w:tcPr>
            <w:tcW w:w="1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2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7F7F7F"/>
            </w:tcBorders>
            <w:gridSpan w:val="2"/>
          </w:tcPr>
          <w:p>
            <w:pPr>
              <w:ind w:left="56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(33.9)</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1"/>
        </w:trPr>
        <w:tc>
          <w:tcPr>
            <w:tcW w:w="2220" w:type="dxa"/>
            <w:vAlign w:val="bottom"/>
            <w:tcBorders>
              <w:bottom w:val="single" w:sz="8" w:color="BF5B5A"/>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Lance A. Mizumoto</w:t>
            </w:r>
            <w:r>
              <w:rPr>
                <w:rFonts w:ascii="Arial" w:cs="Arial" w:eastAsia="Arial" w:hAnsi="Arial"/>
                <w:sz w:val="19"/>
                <w:szCs w:val="19"/>
                <w:color w:val="auto"/>
                <w:vertAlign w:val="superscript"/>
              </w:rPr>
              <w:t>(2)</w:t>
            </w:r>
          </w:p>
        </w:tc>
        <w:tc>
          <w:tcPr>
            <w:tcW w:w="580" w:type="dxa"/>
            <w:vAlign w:val="bottom"/>
            <w:tcBorders>
              <w:bottom w:val="single" w:sz="8" w:color="BF5B5A"/>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F5B5A"/>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BF5B5A"/>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BF5B5A"/>
            </w:tcBorders>
          </w:tcPr>
          <w:p>
            <w:pPr>
              <w:jc w:val="right"/>
              <w:ind w:right="139"/>
              <w:spacing w:after="0"/>
              <w:rPr>
                <w:sz w:val="20"/>
                <w:szCs w:val="20"/>
                <w:color w:val="auto"/>
              </w:rPr>
            </w:pPr>
            <w:r>
              <w:rPr>
                <w:rFonts w:ascii="Arial" w:cs="Arial" w:eastAsia="Arial" w:hAnsi="Arial"/>
                <w:sz w:val="16"/>
                <w:szCs w:val="16"/>
                <w:color w:val="auto"/>
              </w:rPr>
              <w:t>455,175</w:t>
            </w:r>
          </w:p>
        </w:tc>
        <w:tc>
          <w:tcPr>
            <w:tcW w:w="160" w:type="dxa"/>
            <w:vAlign w:val="bottom"/>
            <w:tcBorders>
              <w:bottom w:val="single" w:sz="8" w:color="BF5B5A"/>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F5B5A"/>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BF5B5A"/>
            </w:tcBorders>
          </w:tcPr>
          <w:p>
            <w:pPr>
              <w:ind w:left="34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60" w:type="dxa"/>
            <w:vAlign w:val="bottom"/>
            <w:tcBorders>
              <w:bottom w:val="single" w:sz="8" w:color="BF5B5A"/>
            </w:tcBorders>
          </w:tcPr>
          <w:p>
            <w:pPr>
              <w:jc w:val="right"/>
              <w:ind w:right="139"/>
              <w:spacing w:after="0"/>
              <w:rPr>
                <w:sz w:val="20"/>
                <w:szCs w:val="20"/>
                <w:color w:val="auto"/>
              </w:rPr>
            </w:pPr>
            <w:r>
              <w:rPr>
                <w:rFonts w:ascii="Arial" w:cs="Arial" w:eastAsia="Arial" w:hAnsi="Arial"/>
                <w:sz w:val="16"/>
                <w:szCs w:val="16"/>
                <w:color w:val="auto"/>
              </w:rPr>
              <w:t>468,830</w:t>
            </w:r>
          </w:p>
        </w:tc>
        <w:tc>
          <w:tcPr>
            <w:tcW w:w="160" w:type="dxa"/>
            <w:vAlign w:val="bottom"/>
            <w:tcBorders>
              <w:bottom w:val="single" w:sz="8" w:color="BF5B5A"/>
            </w:tcBorders>
          </w:tcPr>
          <w:p>
            <w:pPr>
              <w:ind w:lef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5B5A"/>
            </w:tcBorders>
          </w:tcPr>
          <w:p>
            <w:pPr>
              <w:ind w:lef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BF5B5A"/>
            </w:tcBorders>
          </w:tcPr>
          <w:p>
            <w:pPr>
              <w:ind w:left="5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r>
    </w:tbl>
    <w:p>
      <w:pPr>
        <w:spacing w:after="0" w:line="53" w:lineRule="exact"/>
        <w:rPr>
          <w:sz w:val="20"/>
          <w:szCs w:val="20"/>
          <w:color w:val="auto"/>
        </w:rPr>
      </w:pPr>
    </w:p>
    <w:p>
      <w:pPr>
        <w:ind w:left="1140" w:hanging="360"/>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Messrs. Moses and Char were not NEOs in 2022.</w:t>
      </w:r>
    </w:p>
    <w:p>
      <w:pPr>
        <w:spacing w:after="0" w:line="113" w:lineRule="exact"/>
        <w:rPr>
          <w:rFonts w:ascii="Arial" w:cs="Arial" w:eastAsia="Arial" w:hAnsi="Arial"/>
          <w:sz w:val="16"/>
          <w:szCs w:val="16"/>
          <w:color w:val="auto"/>
        </w:rPr>
      </w:pPr>
    </w:p>
    <w:p>
      <w:pPr>
        <w:ind w:left="1140" w:right="300" w:hanging="360"/>
        <w:spacing w:after="0" w:line="301" w:lineRule="auto"/>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Messrs. Mesick and Mizumoto’s employment with the Company and the Bank terminated effective July 1, 2023 and October 1, 2023, respectively. Mr. Mesick relinguished the role of Interim Chief Financial Officer when Mr. Moses assumed that role in January 2023.</w:t>
      </w:r>
    </w:p>
    <w:p>
      <w:pPr>
        <w:spacing w:after="0" w:line="26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Annual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0" w:lineRule="exact"/>
        <w:rPr>
          <w:sz w:val="20"/>
          <w:szCs w:val="20"/>
          <w:color w:val="auto"/>
        </w:rPr>
      </w:pPr>
    </w:p>
    <w:p>
      <w:pPr>
        <w:ind w:left="780" w:right="140"/>
        <w:spacing w:after="0" w:line="303" w:lineRule="auto"/>
        <w:rPr>
          <w:sz w:val="20"/>
          <w:szCs w:val="20"/>
          <w:color w:val="auto"/>
        </w:rPr>
      </w:pPr>
      <w:r>
        <w:rPr>
          <w:rFonts w:ascii="Arial" w:cs="Arial" w:eastAsia="Arial" w:hAnsi="Arial"/>
          <w:sz w:val="18"/>
          <w:szCs w:val="18"/>
          <w:color w:val="auto"/>
        </w:rPr>
        <w:t>We make annual bonus awards under the First Hawaiian, Inc. Bonus Plan (the “Bonus Plan”). The following table sets forth information regarding each NEO’s target bonus award and the actual award received for 2023:</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2140" w:type="dxa"/>
            <w:vAlign w:val="bottom"/>
            <w:shd w:val="clear" w:color="auto" w:fill="BF5B5A"/>
          </w:tcPr>
          <w:p>
            <w:pPr>
              <w:spacing w:after="0"/>
              <w:rPr>
                <w:sz w:val="16"/>
                <w:szCs w:val="16"/>
                <w:color w:val="auto"/>
              </w:rPr>
            </w:pPr>
          </w:p>
        </w:tc>
        <w:tc>
          <w:tcPr>
            <w:tcW w:w="46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960" w:type="dxa"/>
            <w:vAlign w:val="bottom"/>
            <w:gridSpan w:val="2"/>
            <w:shd w:val="clear" w:color="auto" w:fill="BF5B5A"/>
          </w:tcPr>
          <w:p>
            <w:pPr>
              <w:ind w:left="60"/>
              <w:spacing w:after="0"/>
              <w:rPr>
                <w:sz w:val="20"/>
                <w:szCs w:val="20"/>
                <w:color w:val="auto"/>
              </w:rPr>
            </w:pPr>
            <w:r>
              <w:rPr>
                <w:rFonts w:ascii="Arial" w:cs="Arial" w:eastAsia="Arial" w:hAnsi="Arial"/>
                <w:sz w:val="16"/>
                <w:szCs w:val="16"/>
                <w:b w:val="1"/>
                <w:bCs w:val="1"/>
                <w:color w:val="FFFFFF"/>
                <w:w w:val="98"/>
              </w:rPr>
              <w:t>2023 Target</w:t>
            </w:r>
          </w:p>
        </w:tc>
        <w:tc>
          <w:tcPr>
            <w:tcW w:w="12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1360" w:type="dxa"/>
            <w:vAlign w:val="bottom"/>
            <w:shd w:val="clear" w:color="auto" w:fill="BF5B5A"/>
          </w:tcPr>
          <w:p>
            <w:pPr>
              <w:ind w:left="260"/>
              <w:spacing w:after="0"/>
              <w:rPr>
                <w:sz w:val="20"/>
                <w:szCs w:val="20"/>
                <w:color w:val="auto"/>
              </w:rPr>
            </w:pPr>
            <w:r>
              <w:rPr>
                <w:rFonts w:ascii="Arial" w:cs="Arial" w:eastAsia="Arial" w:hAnsi="Arial"/>
                <w:sz w:val="16"/>
                <w:szCs w:val="16"/>
                <w:b w:val="1"/>
                <w:bCs w:val="1"/>
                <w:color w:val="FFFFFF"/>
              </w:rPr>
              <w:t>2023 Target</w:t>
            </w:r>
          </w:p>
        </w:tc>
        <w:tc>
          <w:tcPr>
            <w:tcW w:w="16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7"/>
              </w:rPr>
              <w:t>Actual Award</w:t>
            </w:r>
          </w:p>
        </w:tc>
        <w:tc>
          <w:tcPr>
            <w:tcW w:w="12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74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w w:val="97"/>
              </w:rPr>
              <w:t>Actual %</w:t>
            </w:r>
          </w:p>
        </w:tc>
        <w:tc>
          <w:tcPr>
            <w:tcW w:w="260" w:type="dxa"/>
            <w:vAlign w:val="bottom"/>
            <w:shd w:val="clear" w:color="auto" w:fill="BF5B5A"/>
          </w:tcPr>
          <w:p>
            <w:pPr>
              <w:spacing w:after="0"/>
              <w:rPr>
                <w:sz w:val="16"/>
                <w:szCs w:val="16"/>
                <w:color w:val="auto"/>
              </w:rPr>
            </w:pPr>
          </w:p>
        </w:tc>
      </w:tr>
      <w:tr>
        <w:trPr>
          <w:trHeight w:val="235"/>
        </w:trPr>
        <w:tc>
          <w:tcPr>
            <w:tcW w:w="214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460" w:type="dxa"/>
            <w:vAlign w:val="bottom"/>
            <w:shd w:val="clear" w:color="auto" w:fill="BF5B5A"/>
          </w:tcPr>
          <w:p>
            <w:pPr>
              <w:ind w:left="280"/>
              <w:spacing w:after="0"/>
              <w:rPr>
                <w:sz w:val="20"/>
                <w:szCs w:val="20"/>
                <w:color w:val="auto"/>
              </w:rPr>
            </w:pPr>
            <w:r>
              <w:rPr>
                <w:rFonts w:ascii="Arial" w:cs="Arial" w:eastAsia="Arial" w:hAnsi="Arial"/>
                <w:sz w:val="16"/>
                <w:szCs w:val="16"/>
                <w:b w:val="1"/>
                <w:bCs w:val="1"/>
                <w:color w:val="FFFFFF"/>
              </w:rPr>
              <w:t>​</w:t>
            </w:r>
          </w:p>
        </w:tc>
        <w:tc>
          <w:tcPr>
            <w:tcW w:w="24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BF5B5A"/>
          </w:tcPr>
          <w:p>
            <w:pPr>
              <w:spacing w:after="0"/>
              <w:rPr>
                <w:sz w:val="20"/>
                <w:szCs w:val="20"/>
                <w:color w:val="auto"/>
              </w:rPr>
            </w:pPr>
          </w:p>
        </w:tc>
        <w:tc>
          <w:tcPr>
            <w:tcW w:w="700" w:type="dxa"/>
            <w:vAlign w:val="bottom"/>
            <w:shd w:val="clear" w:color="auto" w:fill="BF5B5A"/>
          </w:tcPr>
          <w:p>
            <w:pPr>
              <w:jc w:val="right"/>
              <w:ind w:right="160"/>
              <w:spacing w:after="0"/>
              <w:rPr>
                <w:sz w:val="20"/>
                <w:szCs w:val="20"/>
                <w:color w:val="auto"/>
              </w:rPr>
            </w:pPr>
            <w:r>
              <w:rPr>
                <w:rFonts w:ascii="Arial" w:cs="Arial" w:eastAsia="Arial" w:hAnsi="Arial"/>
                <w:sz w:val="16"/>
                <w:szCs w:val="16"/>
                <w:b w:val="1"/>
                <w:bCs w:val="1"/>
                <w:color w:val="FFFFFF"/>
                <w:w w:val="89"/>
              </w:rPr>
              <w:t>Award</w:t>
            </w:r>
          </w:p>
        </w:tc>
        <w:tc>
          <w:tcPr>
            <w:tcW w:w="120" w:type="dxa"/>
            <w:vAlign w:val="bottom"/>
            <w:shd w:val="clear" w:color="auto" w:fill="BF5B5A"/>
          </w:tcPr>
          <w:p>
            <w:pPr>
              <w:spacing w:after="0"/>
              <w:rPr>
                <w:sz w:val="20"/>
                <w:szCs w:val="20"/>
                <w:color w:val="auto"/>
              </w:rPr>
            </w:pPr>
          </w:p>
        </w:tc>
        <w:tc>
          <w:tcPr>
            <w:tcW w:w="24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26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136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w w:val="96"/>
              </w:rPr>
              <w:t>Percent of Salary</w:t>
            </w:r>
          </w:p>
        </w:tc>
        <w:tc>
          <w:tcPr>
            <w:tcW w:w="160" w:type="dxa"/>
            <w:vAlign w:val="bottom"/>
            <w:shd w:val="clear" w:color="auto" w:fill="BF5B5A"/>
          </w:tcPr>
          <w:p>
            <w:pPr>
              <w:spacing w:after="0"/>
              <w:rPr>
                <w:sz w:val="20"/>
                <w:szCs w:val="20"/>
                <w:color w:val="auto"/>
              </w:rPr>
            </w:pPr>
          </w:p>
        </w:tc>
        <w:tc>
          <w:tcPr>
            <w:tcW w:w="26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24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BF5B5A"/>
          </w:tcPr>
          <w:p>
            <w:pPr>
              <w:jc w:val="center"/>
              <w:ind w:left="3"/>
              <w:spacing w:after="0"/>
              <w:rPr>
                <w:sz w:val="20"/>
                <w:szCs w:val="20"/>
                <w:color w:val="auto"/>
              </w:rPr>
            </w:pPr>
            <w:r>
              <w:rPr>
                <w:rFonts w:ascii="Arial" w:cs="Arial" w:eastAsia="Arial" w:hAnsi="Arial"/>
                <w:sz w:val="16"/>
                <w:szCs w:val="16"/>
                <w:b w:val="1"/>
                <w:bCs w:val="1"/>
                <w:color w:val="FFFFFF"/>
                <w:w w:val="93"/>
              </w:rPr>
              <w:t>for 2023</w:t>
            </w:r>
            <w:r>
              <w:rPr>
                <w:rFonts w:ascii="Arial" w:cs="Arial" w:eastAsia="Arial" w:hAnsi="Arial"/>
                <w:sz w:val="19"/>
                <w:szCs w:val="19"/>
                <w:b w:val="1"/>
                <w:bCs w:val="1"/>
                <w:color w:val="FFFFFF"/>
                <w:w w:val="93"/>
                <w:vertAlign w:val="superscript"/>
              </w:rPr>
              <w:t>(1)</w:t>
            </w:r>
          </w:p>
        </w:tc>
        <w:tc>
          <w:tcPr>
            <w:tcW w:w="120" w:type="dxa"/>
            <w:vAlign w:val="bottom"/>
            <w:shd w:val="clear" w:color="auto" w:fill="BF5B5A"/>
          </w:tcPr>
          <w:p>
            <w:pPr>
              <w:spacing w:after="0"/>
              <w:rPr>
                <w:sz w:val="20"/>
                <w:szCs w:val="20"/>
                <w:color w:val="auto"/>
              </w:rPr>
            </w:pPr>
          </w:p>
        </w:tc>
        <w:tc>
          <w:tcPr>
            <w:tcW w:w="26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24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74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w w:val="93"/>
              </w:rPr>
              <w:t>of Target</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56"/>
        </w:trPr>
        <w:tc>
          <w:tcPr>
            <w:tcW w:w="214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7F7F7F"/>
            </w:tcBorders>
            <w:gridSpan w:val="3"/>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$1,037,993 </w:t>
            </w:r>
            <w:r>
              <w:rPr>
                <w:rFonts w:ascii="Arial" w:cs="Arial" w:eastAsia="Arial" w:hAnsi="Arial"/>
                <w:sz w:val="29"/>
                <w:szCs w:val="29"/>
                <w:color w:val="auto"/>
                <w:vertAlign w:val="subscript"/>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​100%</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$638,366</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62%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A. Moses</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2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 xml:space="preserve">356,250 </w:t>
            </w:r>
            <w:r>
              <w:rPr>
                <w:rFonts w:ascii="Arial" w:cs="Arial" w:eastAsia="Arial" w:hAnsi="Arial"/>
                <w:sz w:val="28"/>
                <w:szCs w:val="28"/>
                <w:color w:val="auto"/>
                <w:vertAlign w:val="subscript"/>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​195,938</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431,252</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​301,877</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349,625</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65</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​244,738</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Neill A. Char</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308,750</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65</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​185,250</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0"/>
        </w:trPr>
        <w:tc>
          <w:tcPr>
            <w:tcW w:w="2140" w:type="dxa"/>
            <w:vAlign w:val="bottom"/>
            <w:tcBorders>
              <w:bottom w:val="single" w:sz="8" w:color="7F7F7F"/>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Ralph M. Mesick</w:t>
            </w:r>
            <w:r>
              <w:rPr>
                <w:rFonts w:ascii="Arial" w:cs="Arial" w:eastAsia="Arial" w:hAnsi="Arial"/>
                <w:sz w:val="19"/>
                <w:szCs w:val="19"/>
                <w:color w:val="auto"/>
                <w:vertAlign w:val="superscript"/>
              </w:rPr>
              <w:t>(1)</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0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820" w:type="dxa"/>
            <w:vAlign w:val="bottom"/>
            <w:tcBorders>
              <w:bottom w:val="single" w:sz="8" w:color="7F7F7F"/>
            </w:tcBorders>
            <w:gridSpan w:val="2"/>
          </w:tcPr>
          <w:p>
            <w:pPr>
              <w:jc w:val="right"/>
              <w:spacing w:after="0" w:line="290" w:lineRule="exact"/>
              <w:rPr>
                <w:sz w:val="20"/>
                <w:szCs w:val="20"/>
                <w:color w:val="auto"/>
              </w:rPr>
            </w:pPr>
            <w:r>
              <w:rPr>
                <w:rFonts w:ascii="Arial" w:cs="Arial" w:eastAsia="Arial" w:hAnsi="Arial"/>
                <w:sz w:val="16"/>
                <w:szCs w:val="16"/>
                <w:color w:val="auto"/>
              </w:rPr>
              <w:t xml:space="preserve">293,046 </w:t>
            </w:r>
            <w:r>
              <w:rPr>
                <w:rFonts w:ascii="Arial" w:cs="Arial" w:eastAsia="Arial" w:hAnsi="Arial"/>
                <w:sz w:val="32"/>
                <w:szCs w:val="32"/>
                <w:color w:val="auto"/>
                <w:vertAlign w:val="subscript"/>
              </w:rPr>
              <w:t>​</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tcPr>
          <w:p>
            <w:pPr>
              <w:ind w:left="58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65</w:t>
            </w:r>
          </w:p>
        </w:tc>
        <w:tc>
          <w:tcPr>
            <w:tcW w:w="1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center"/>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 79,122</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ind w:left="32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r>
      <w:tr>
        <w:trPr>
          <w:trHeight w:val="290"/>
        </w:trPr>
        <w:tc>
          <w:tcPr>
            <w:tcW w:w="2140" w:type="dxa"/>
            <w:vAlign w:val="bottom"/>
            <w:tcBorders>
              <w:bottom w:val="single" w:sz="8" w:color="BF5B5A"/>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Lance A. Mizumoto</w:t>
            </w:r>
            <w:r>
              <w:rPr>
                <w:rFonts w:ascii="Arial" w:cs="Arial" w:eastAsia="Arial" w:hAnsi="Arial"/>
                <w:sz w:val="19"/>
                <w:szCs w:val="19"/>
                <w:color w:val="auto"/>
                <w:vertAlign w:val="superscript"/>
              </w:rPr>
              <w:t>(1)</w:t>
            </w:r>
          </w:p>
        </w:tc>
        <w:tc>
          <w:tcPr>
            <w:tcW w:w="460" w:type="dxa"/>
            <w:vAlign w:val="bottom"/>
            <w:tcBorders>
              <w:bottom w:val="single" w:sz="8" w:color="BF5B5A"/>
            </w:tcBorders>
          </w:tcPr>
          <w:p>
            <w:pPr>
              <w:ind w:left="2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ind w:left="100"/>
              <w:spacing w:after="0" w:line="290"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20" w:type="dxa"/>
            <w:vAlign w:val="bottom"/>
            <w:tcBorders>
              <w:bottom w:val="single" w:sz="8" w:color="BF5B5A"/>
            </w:tcBorders>
            <w:gridSpan w:val="2"/>
          </w:tcPr>
          <w:p>
            <w:pPr>
              <w:jc w:val="right"/>
              <w:spacing w:after="0" w:line="290" w:lineRule="exact"/>
              <w:rPr>
                <w:sz w:val="20"/>
                <w:szCs w:val="20"/>
                <w:color w:val="auto"/>
              </w:rPr>
            </w:pPr>
            <w:r>
              <w:rPr>
                <w:rFonts w:ascii="Arial" w:cs="Arial" w:eastAsia="Arial" w:hAnsi="Arial"/>
                <w:sz w:val="16"/>
                <w:szCs w:val="16"/>
                <w:color w:val="auto"/>
              </w:rPr>
              <w:t xml:space="preserve">304,740 </w:t>
            </w:r>
            <w:r>
              <w:rPr>
                <w:rFonts w:ascii="Arial" w:cs="Arial" w:eastAsia="Arial" w:hAnsi="Arial"/>
                <w:sz w:val="32"/>
                <w:szCs w:val="32"/>
                <w:color w:val="auto"/>
                <w:vertAlign w:val="subscript"/>
              </w:rPr>
              <w:t>​</w:t>
            </w:r>
          </w:p>
        </w:tc>
        <w:tc>
          <w:tcPr>
            <w:tcW w:w="24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F5B5A"/>
            </w:tcBorders>
          </w:tcPr>
          <w:p>
            <w:pPr>
              <w:ind w:left="58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65</w:t>
            </w:r>
          </w:p>
        </w:tc>
        <w:tc>
          <w:tcPr>
            <w:tcW w:w="16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5B5A"/>
            </w:tcBorders>
          </w:tcPr>
          <w:p>
            <w:pPr>
              <w:jc w:val="center"/>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​123,419</w:t>
            </w:r>
          </w:p>
        </w:tc>
        <w:tc>
          <w:tcPr>
            <w:tcW w:w="120" w:type="dxa"/>
            <w:vAlign w:val="bottom"/>
            <w:tcBorders>
              <w:bottom w:val="single" w:sz="8" w:color="BF5B5A"/>
            </w:tcBorders>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F5B5A"/>
            </w:tcBorders>
          </w:tcPr>
          <w:p>
            <w:pPr>
              <w:ind w:left="32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41</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r>
    </w:tbl>
    <w:p>
      <w:pPr>
        <w:ind w:left="1140" w:right="160" w:hanging="360"/>
        <w:spacing w:after="0" w:line="287" w:lineRule="auto"/>
        <w:tabs>
          <w:tab w:leader="none" w:pos="11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Messrs. Mesick and Mizumoto’s employment with the Company and the Bank terminated effective July 1, 2023 and October 1, 2023, respectively, and Messrs. Mesick and Mizumoto received bonuses in accordance with the terms of their respective separation agreements, each dated June 28, 2023 (collectively, the “Separation Agreements”), which provided that each individual would be eligible to receive a discretionary bonus for 2023, pro rated for the portion of calendar year 2023 served, subject to the achievement of Company and individual performance goals; provided that the Company agreed to recommend to the Compensation Committee that each individual met expectations on all individual performance metrics. The actual % of target calculation for both individuals reflects the proration of the bonus for the portion of calendar year 2023 served.</w:t>
      </w:r>
    </w:p>
    <w:p>
      <w:pPr>
        <w:sectPr>
          <w:pgSz w:w="11900" w:h="16838" w:orient="portrait"/>
          <w:cols w:equalWidth="0" w:num="1">
            <w:col w:w="9960"/>
          </w:cols>
          <w:pgMar w:left="580" w:top="97" w:right="1359" w:bottom="1440" w:gutter="0" w:footer="0" w:header="0"/>
        </w:sectPr>
      </w:pPr>
    </w:p>
    <w:p>
      <w:pPr>
        <w:spacing w:after="0" w:line="71" w:lineRule="exact"/>
        <w:rPr>
          <w:sz w:val="20"/>
          <w:szCs w:val="20"/>
          <w:color w:val="auto"/>
        </w:rPr>
      </w:pPr>
    </w:p>
    <w:p>
      <w:pPr>
        <w:ind w:left="780"/>
        <w:spacing w:after="0" w:line="279" w:lineRule="auto"/>
        <w:rPr>
          <w:sz w:val="20"/>
          <w:szCs w:val="20"/>
          <w:color w:val="auto"/>
        </w:rPr>
      </w:pPr>
      <w:r>
        <w:rPr>
          <w:rFonts w:ascii="Arial" w:cs="Arial" w:eastAsia="Arial" w:hAnsi="Arial"/>
          <w:sz w:val="18"/>
          <w:szCs w:val="18"/>
          <w:color w:val="auto"/>
        </w:rPr>
        <w:t>Annual bonus awards are determined based on achievement of both Company and individual performance goals generally established during the first quarter of each year for the applicable performance period, but our Compensation Committee retains discretion to determine the final</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award amount for each NEO. For 2023 annual bonus awards, the Compensation Committee established the following Company financial performance targets for all NEOs and individual performance goals for the CEO, as further described below:</w:t>
      </w:r>
    </w:p>
    <w:p>
      <w:pPr>
        <w:spacing w:after="0" w:line="431" w:lineRule="exact"/>
        <w:rPr>
          <w:sz w:val="20"/>
          <w:szCs w:val="20"/>
          <w:color w:val="auto"/>
        </w:rPr>
      </w:pPr>
    </w:p>
    <w:p>
      <w:pPr>
        <w:sectPr>
          <w:pgSz w:w="11900" w:h="16838" w:orient="portrait"/>
          <w:cols w:equalWidth="0" w:num="2">
            <w:col w:w="5000" w:space="62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52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7F7F7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214630</wp:posOffset>
            </wp:positionV>
            <wp:extent cx="5674995" cy="27260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67499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40" w:hanging="360"/>
        <w:spacing w:after="0"/>
        <w:tabs>
          <w:tab w:leader="none" w:pos="11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Individual metrics for other NEOs are described below.</w:t>
      </w:r>
    </w:p>
    <w:p>
      <w:pPr>
        <w:spacing w:after="0" w:line="113" w:lineRule="exact"/>
        <w:rPr>
          <w:rFonts w:ascii="Arial" w:cs="Arial" w:eastAsia="Arial" w:hAnsi="Arial"/>
          <w:sz w:val="16"/>
          <w:szCs w:val="16"/>
          <w:color w:val="auto"/>
        </w:rPr>
      </w:pPr>
    </w:p>
    <w:p>
      <w:pPr>
        <w:ind w:left="1140" w:hanging="360"/>
        <w:spacing w:after="0"/>
        <w:tabs>
          <w:tab w:leader="none" w:pos="11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Represents a non-GAAP measure. Please see Annex A for further explanation and a reconciliation.</w:t>
      </w:r>
    </w:p>
    <w:p>
      <w:pPr>
        <w:sectPr>
          <w:pgSz w:w="11900" w:h="16838" w:orient="portrait"/>
          <w:cols w:equalWidth="0" w:num="1">
            <w:col w:w="10720"/>
          </w:cols>
          <w:pgMar w:left="580" w:top="97" w:right="599" w:bottom="1440" w:gutter="0" w:footer="0" w:header="0"/>
        </w:sectPr>
      </w:pPr>
    </w:p>
    <w:p>
      <w:pPr>
        <w:spacing w:after="0" w:line="135" w:lineRule="exact"/>
        <w:rPr>
          <w:sz w:val="20"/>
          <w:szCs w:val="20"/>
          <w:color w:val="auto"/>
        </w:rPr>
      </w:pPr>
    </w:p>
    <w:p>
      <w:pPr>
        <w:ind w:left="780"/>
        <w:spacing w:after="0" w:line="279" w:lineRule="auto"/>
        <w:rPr>
          <w:sz w:val="20"/>
          <w:szCs w:val="20"/>
          <w:color w:val="auto"/>
        </w:rPr>
      </w:pPr>
      <w:r>
        <w:rPr>
          <w:rFonts w:ascii="Arial" w:cs="Arial" w:eastAsia="Arial" w:hAnsi="Arial"/>
          <w:sz w:val="18"/>
          <w:szCs w:val="18"/>
          <w:color w:val="auto"/>
        </w:rPr>
        <w:t>The annual bonus plan uses Core Net Income as the primary performance metric (determines 50% of the annual bonus payout) to incentivize management to take actions that enhance core financial performance, rather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920"/>
        <w:spacing w:after="0" w:line="294" w:lineRule="auto"/>
        <w:rPr>
          <w:sz w:val="20"/>
          <w:szCs w:val="20"/>
          <w:color w:val="auto"/>
        </w:rPr>
      </w:pPr>
      <w:r>
        <w:rPr>
          <w:rFonts w:ascii="Arial" w:cs="Arial" w:eastAsia="Arial" w:hAnsi="Arial"/>
          <w:sz w:val="18"/>
          <w:szCs w:val="18"/>
          <w:color w:val="auto"/>
        </w:rPr>
        <w:t>than actions that would generate one-time, unrepeatable income realization. The Core Net Income metrics used to determine the 2023 annual bonus awards are presented in the table below:</w:t>
      </w:r>
    </w:p>
    <w:p>
      <w:pPr>
        <w:spacing w:after="0" w:line="388" w:lineRule="exact"/>
        <w:rPr>
          <w:sz w:val="20"/>
          <w:szCs w:val="20"/>
          <w:color w:val="auto"/>
        </w:rPr>
      </w:pPr>
    </w:p>
    <w:p>
      <w:pPr>
        <w:sectPr>
          <w:pgSz w:w="11900" w:h="16838" w:orient="portrait"/>
          <w:cols w:equalWidth="0" w:num="2">
            <w:col w:w="5020" w:space="600"/>
            <w:col w:w="5100"/>
          </w:cols>
          <w:pgMar w:left="580" w:top="97" w:right="599" w:bottom="1440" w:gutter="0" w:footer="0" w:header="0"/>
          <w:type w:val="continuous"/>
        </w:sectPr>
      </w:pPr>
    </w:p>
    <w:p>
      <w:pPr>
        <w:spacing w:after="0" w:line="6"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2600" w:type="dxa"/>
            <w:vAlign w:val="bottom"/>
            <w:shd w:val="clear" w:color="auto" w:fill="BF5B5A"/>
          </w:tcPr>
          <w:p>
            <w:pPr>
              <w:spacing w:after="0"/>
              <w:rPr>
                <w:sz w:val="16"/>
                <w:szCs w:val="16"/>
                <w:color w:val="auto"/>
              </w:rPr>
            </w:pPr>
          </w:p>
        </w:tc>
        <w:tc>
          <w:tcPr>
            <w:tcW w:w="860" w:type="dxa"/>
            <w:vAlign w:val="bottom"/>
            <w:shd w:val="clear" w:color="auto" w:fill="BF5B5A"/>
          </w:tcPr>
          <w:p>
            <w:pPr>
              <w:spacing w:after="0"/>
              <w:rPr>
                <w:sz w:val="16"/>
                <w:szCs w:val="16"/>
                <w:color w:val="auto"/>
              </w:rPr>
            </w:pPr>
          </w:p>
        </w:tc>
        <w:tc>
          <w:tcPr>
            <w:tcW w:w="500" w:type="dxa"/>
            <w:vAlign w:val="bottom"/>
            <w:shd w:val="clear" w:color="auto" w:fill="BF5B5A"/>
          </w:tcPr>
          <w:p>
            <w:pPr>
              <w:spacing w:after="0"/>
              <w:rPr>
                <w:sz w:val="16"/>
                <w:szCs w:val="16"/>
                <w:color w:val="auto"/>
              </w:rPr>
            </w:pPr>
          </w:p>
        </w:tc>
        <w:tc>
          <w:tcPr>
            <w:tcW w:w="500" w:type="dxa"/>
            <w:vAlign w:val="bottom"/>
            <w:shd w:val="clear" w:color="auto" w:fill="BF5B5A"/>
          </w:tcPr>
          <w:p>
            <w:pPr>
              <w:spacing w:after="0"/>
              <w:rPr>
                <w:sz w:val="16"/>
                <w:szCs w:val="16"/>
                <w:color w:val="auto"/>
              </w:rPr>
            </w:pPr>
          </w:p>
        </w:tc>
        <w:tc>
          <w:tcPr>
            <w:tcW w:w="102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480" w:type="dxa"/>
            <w:vAlign w:val="bottom"/>
            <w:shd w:val="clear" w:color="auto" w:fill="BF5B5A"/>
          </w:tcPr>
          <w:p>
            <w:pPr>
              <w:spacing w:after="0"/>
              <w:rPr>
                <w:sz w:val="16"/>
                <w:szCs w:val="16"/>
                <w:color w:val="auto"/>
              </w:rPr>
            </w:pPr>
          </w:p>
        </w:tc>
        <w:tc>
          <w:tcPr>
            <w:tcW w:w="480" w:type="dxa"/>
            <w:vAlign w:val="bottom"/>
            <w:shd w:val="clear" w:color="auto" w:fill="BF5B5A"/>
          </w:tcPr>
          <w:p>
            <w:pPr>
              <w:spacing w:after="0"/>
              <w:rPr>
                <w:sz w:val="16"/>
                <w:szCs w:val="16"/>
                <w:color w:val="auto"/>
              </w:rPr>
            </w:pPr>
          </w:p>
        </w:tc>
        <w:tc>
          <w:tcPr>
            <w:tcW w:w="180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Payout Factor as % of</w:t>
            </w:r>
          </w:p>
        </w:tc>
        <w:tc>
          <w:tcPr>
            <w:tcW w:w="260" w:type="dxa"/>
            <w:vAlign w:val="bottom"/>
            <w:shd w:val="clear" w:color="auto" w:fill="BF5B5A"/>
          </w:tcPr>
          <w:p>
            <w:pPr>
              <w:spacing w:after="0"/>
              <w:rPr>
                <w:sz w:val="16"/>
                <w:szCs w:val="16"/>
                <w:color w:val="auto"/>
              </w:rPr>
            </w:pPr>
          </w:p>
        </w:tc>
        <w:tc>
          <w:tcPr>
            <w:tcW w:w="440" w:type="dxa"/>
            <w:vAlign w:val="bottom"/>
            <w:shd w:val="clear" w:color="auto" w:fill="BF5B5A"/>
          </w:tcPr>
          <w:p>
            <w:pPr>
              <w:spacing w:after="0"/>
              <w:rPr>
                <w:sz w:val="16"/>
                <w:szCs w:val="16"/>
                <w:color w:val="auto"/>
              </w:rPr>
            </w:pPr>
          </w:p>
        </w:tc>
      </w:tr>
      <w:tr>
        <w:trPr>
          <w:trHeight w:val="189"/>
        </w:trPr>
        <w:tc>
          <w:tcPr>
            <w:tcW w:w="2600" w:type="dxa"/>
            <w:vAlign w:val="bottom"/>
            <w:shd w:val="clear" w:color="auto" w:fill="BF5B5A"/>
          </w:tcPr>
          <w:p>
            <w:pPr>
              <w:spacing w:after="0"/>
              <w:rPr>
                <w:sz w:val="16"/>
                <w:szCs w:val="16"/>
                <w:color w:val="auto"/>
              </w:rPr>
            </w:pPr>
          </w:p>
        </w:tc>
        <w:tc>
          <w:tcPr>
            <w:tcW w:w="860" w:type="dxa"/>
            <w:vAlign w:val="bottom"/>
            <w:shd w:val="clear" w:color="auto" w:fill="BF5B5A"/>
          </w:tcPr>
          <w:p>
            <w:pPr>
              <w:spacing w:after="0"/>
              <w:rPr>
                <w:sz w:val="16"/>
                <w:szCs w:val="16"/>
                <w:color w:val="auto"/>
              </w:rPr>
            </w:pPr>
          </w:p>
        </w:tc>
        <w:tc>
          <w:tcPr>
            <w:tcW w:w="500" w:type="dxa"/>
            <w:vAlign w:val="bottom"/>
            <w:shd w:val="clear" w:color="auto" w:fill="BF5B5A"/>
          </w:tcPr>
          <w:p>
            <w:pPr>
              <w:spacing w:after="0"/>
              <w:rPr>
                <w:sz w:val="16"/>
                <w:szCs w:val="16"/>
                <w:color w:val="auto"/>
              </w:rPr>
            </w:pPr>
          </w:p>
        </w:tc>
        <w:tc>
          <w:tcPr>
            <w:tcW w:w="500" w:type="dxa"/>
            <w:vAlign w:val="bottom"/>
            <w:shd w:val="clear" w:color="auto" w:fill="BF5B5A"/>
          </w:tcPr>
          <w:p>
            <w:pPr>
              <w:spacing w:after="0"/>
              <w:rPr>
                <w:sz w:val="16"/>
                <w:szCs w:val="16"/>
                <w:color w:val="auto"/>
              </w:rPr>
            </w:pPr>
          </w:p>
        </w:tc>
        <w:tc>
          <w:tcPr>
            <w:tcW w:w="1020" w:type="dxa"/>
            <w:vAlign w:val="bottom"/>
            <w:shd w:val="clear" w:color="auto" w:fill="BF5B5A"/>
          </w:tcPr>
          <w:p>
            <w:pPr>
              <w:jc w:val="center"/>
              <w:ind w:right="299"/>
              <w:spacing w:after="0"/>
              <w:rPr>
                <w:sz w:val="20"/>
                <w:szCs w:val="20"/>
                <w:color w:val="auto"/>
              </w:rPr>
            </w:pPr>
            <w:r>
              <w:rPr>
                <w:rFonts w:ascii="Arial" w:cs="Arial" w:eastAsia="Arial" w:hAnsi="Arial"/>
                <w:sz w:val="16"/>
                <w:szCs w:val="16"/>
                <w:b w:val="1"/>
                <w:bCs w:val="1"/>
                <w:color w:val="FFFFFF"/>
                <w:w w:val="92"/>
              </w:rPr>
              <w:t>FY2023</w:t>
            </w:r>
          </w:p>
        </w:tc>
        <w:tc>
          <w:tcPr>
            <w:tcW w:w="240" w:type="dxa"/>
            <w:vAlign w:val="bottom"/>
            <w:shd w:val="clear" w:color="auto" w:fill="BF5B5A"/>
          </w:tcPr>
          <w:p>
            <w:pPr>
              <w:spacing w:after="0"/>
              <w:rPr>
                <w:sz w:val="16"/>
                <w:szCs w:val="16"/>
                <w:color w:val="auto"/>
              </w:rPr>
            </w:pPr>
          </w:p>
        </w:tc>
        <w:tc>
          <w:tcPr>
            <w:tcW w:w="480" w:type="dxa"/>
            <w:vAlign w:val="bottom"/>
            <w:shd w:val="clear" w:color="auto" w:fill="BF5B5A"/>
          </w:tcPr>
          <w:p>
            <w:pPr>
              <w:spacing w:after="0"/>
              <w:rPr>
                <w:sz w:val="16"/>
                <w:szCs w:val="16"/>
                <w:color w:val="auto"/>
              </w:rPr>
            </w:pPr>
          </w:p>
        </w:tc>
        <w:tc>
          <w:tcPr>
            <w:tcW w:w="480" w:type="dxa"/>
            <w:vAlign w:val="bottom"/>
            <w:shd w:val="clear" w:color="auto" w:fill="BF5B5A"/>
          </w:tcPr>
          <w:p>
            <w:pPr>
              <w:spacing w:after="0"/>
              <w:rPr>
                <w:sz w:val="16"/>
                <w:szCs w:val="16"/>
                <w:color w:val="auto"/>
              </w:rPr>
            </w:pPr>
          </w:p>
        </w:tc>
        <w:tc>
          <w:tcPr>
            <w:tcW w:w="180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3"/>
              </w:rPr>
              <w:t>Target Award</w:t>
            </w:r>
          </w:p>
        </w:tc>
        <w:tc>
          <w:tcPr>
            <w:tcW w:w="260" w:type="dxa"/>
            <w:vAlign w:val="bottom"/>
            <w:shd w:val="clear" w:color="auto" w:fill="BF5B5A"/>
          </w:tcPr>
          <w:p>
            <w:pPr>
              <w:spacing w:after="0"/>
              <w:rPr>
                <w:sz w:val="16"/>
                <w:szCs w:val="16"/>
                <w:color w:val="auto"/>
              </w:rPr>
            </w:pPr>
          </w:p>
        </w:tc>
        <w:tc>
          <w:tcPr>
            <w:tcW w:w="440" w:type="dxa"/>
            <w:vAlign w:val="bottom"/>
            <w:shd w:val="clear" w:color="auto" w:fill="BF5B5A"/>
          </w:tcPr>
          <w:p>
            <w:pPr>
              <w:spacing w:after="0"/>
              <w:rPr>
                <w:sz w:val="16"/>
                <w:szCs w:val="16"/>
                <w:color w:val="auto"/>
              </w:rPr>
            </w:pPr>
          </w:p>
        </w:tc>
      </w:tr>
      <w:tr>
        <w:trPr>
          <w:trHeight w:val="175"/>
        </w:trPr>
        <w:tc>
          <w:tcPr>
            <w:tcW w:w="2600" w:type="dxa"/>
            <w:vAlign w:val="bottom"/>
            <w:shd w:val="clear" w:color="auto" w:fill="BF5B5A"/>
          </w:tcPr>
          <w:p>
            <w:pPr>
              <w:spacing w:after="0"/>
              <w:rPr>
                <w:sz w:val="15"/>
                <w:szCs w:val="15"/>
                <w:color w:val="auto"/>
              </w:rPr>
            </w:pPr>
          </w:p>
        </w:tc>
        <w:tc>
          <w:tcPr>
            <w:tcW w:w="860" w:type="dxa"/>
            <w:vAlign w:val="bottom"/>
            <w:shd w:val="clear" w:color="auto" w:fill="BF5B5A"/>
          </w:tcPr>
          <w:p>
            <w:pPr>
              <w:spacing w:after="0"/>
              <w:rPr>
                <w:sz w:val="15"/>
                <w:szCs w:val="15"/>
                <w:color w:val="auto"/>
              </w:rPr>
            </w:pPr>
          </w:p>
        </w:tc>
        <w:tc>
          <w:tcPr>
            <w:tcW w:w="500" w:type="dxa"/>
            <w:vAlign w:val="bottom"/>
            <w:shd w:val="clear" w:color="auto" w:fill="BF5B5A"/>
          </w:tcPr>
          <w:p>
            <w:pPr>
              <w:spacing w:after="0"/>
              <w:rPr>
                <w:sz w:val="15"/>
                <w:szCs w:val="15"/>
                <w:color w:val="auto"/>
              </w:rPr>
            </w:pPr>
          </w:p>
        </w:tc>
        <w:tc>
          <w:tcPr>
            <w:tcW w:w="1520" w:type="dxa"/>
            <w:vAlign w:val="bottom"/>
            <w:gridSpan w:val="2"/>
            <w:shd w:val="clear" w:color="auto" w:fill="BF5B5A"/>
          </w:tcPr>
          <w:p>
            <w:pPr>
              <w:jc w:val="center"/>
              <w:ind w:left="40"/>
              <w:spacing w:after="0" w:line="175" w:lineRule="exact"/>
              <w:rPr>
                <w:sz w:val="20"/>
                <w:szCs w:val="20"/>
                <w:color w:val="auto"/>
              </w:rPr>
            </w:pPr>
            <w:r>
              <w:rPr>
                <w:rFonts w:ascii="Arial" w:cs="Arial" w:eastAsia="Arial" w:hAnsi="Arial"/>
                <w:sz w:val="16"/>
                <w:szCs w:val="16"/>
                <w:b w:val="1"/>
                <w:bCs w:val="1"/>
                <w:color w:val="FFFFFF"/>
                <w:w w:val="97"/>
              </w:rPr>
              <w:t>Core Net Income</w:t>
            </w:r>
          </w:p>
        </w:tc>
        <w:tc>
          <w:tcPr>
            <w:tcW w:w="240" w:type="dxa"/>
            <w:vAlign w:val="bottom"/>
            <w:shd w:val="clear" w:color="auto" w:fill="BF5B5A"/>
          </w:tcPr>
          <w:p>
            <w:pPr>
              <w:spacing w:after="0"/>
              <w:rPr>
                <w:sz w:val="15"/>
                <w:szCs w:val="15"/>
                <w:color w:val="auto"/>
              </w:rPr>
            </w:pPr>
          </w:p>
        </w:tc>
        <w:tc>
          <w:tcPr>
            <w:tcW w:w="480" w:type="dxa"/>
            <w:vAlign w:val="bottom"/>
            <w:shd w:val="clear" w:color="auto" w:fill="BF5B5A"/>
          </w:tcPr>
          <w:p>
            <w:pPr>
              <w:spacing w:after="0"/>
              <w:rPr>
                <w:sz w:val="15"/>
                <w:szCs w:val="15"/>
                <w:color w:val="auto"/>
              </w:rPr>
            </w:pPr>
          </w:p>
        </w:tc>
        <w:tc>
          <w:tcPr>
            <w:tcW w:w="480" w:type="dxa"/>
            <w:vAlign w:val="bottom"/>
            <w:shd w:val="clear" w:color="auto" w:fill="BF5B5A"/>
          </w:tcPr>
          <w:p>
            <w:pPr>
              <w:spacing w:after="0"/>
              <w:rPr>
                <w:sz w:val="15"/>
                <w:szCs w:val="15"/>
                <w:color w:val="auto"/>
              </w:rPr>
            </w:pPr>
          </w:p>
        </w:tc>
        <w:tc>
          <w:tcPr>
            <w:tcW w:w="180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5"/>
              </w:rPr>
              <w:t>Attributable to</w:t>
            </w:r>
          </w:p>
        </w:tc>
        <w:tc>
          <w:tcPr>
            <w:tcW w:w="260" w:type="dxa"/>
            <w:vAlign w:val="bottom"/>
            <w:shd w:val="clear" w:color="auto" w:fill="BF5B5A"/>
          </w:tcPr>
          <w:p>
            <w:pPr>
              <w:spacing w:after="0"/>
              <w:rPr>
                <w:sz w:val="15"/>
                <w:szCs w:val="15"/>
                <w:color w:val="auto"/>
              </w:rPr>
            </w:pPr>
          </w:p>
        </w:tc>
        <w:tc>
          <w:tcPr>
            <w:tcW w:w="440" w:type="dxa"/>
            <w:vAlign w:val="bottom"/>
            <w:shd w:val="clear" w:color="auto" w:fill="BF5B5A"/>
          </w:tcPr>
          <w:p>
            <w:pPr>
              <w:spacing w:after="0"/>
              <w:rPr>
                <w:sz w:val="15"/>
                <w:szCs w:val="15"/>
                <w:color w:val="auto"/>
              </w:rPr>
            </w:pPr>
          </w:p>
        </w:tc>
      </w:tr>
      <w:tr>
        <w:trPr>
          <w:trHeight w:val="217"/>
        </w:trPr>
        <w:tc>
          <w:tcPr>
            <w:tcW w:w="260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​Performance Level</w:t>
            </w:r>
          </w:p>
        </w:tc>
        <w:tc>
          <w:tcPr>
            <w:tcW w:w="860" w:type="dxa"/>
            <w:vAlign w:val="bottom"/>
            <w:shd w:val="clear" w:color="auto" w:fill="BF5B5A"/>
          </w:tcPr>
          <w:p>
            <w:pPr>
              <w:ind w:left="520"/>
              <w:spacing w:after="0"/>
              <w:rPr>
                <w:sz w:val="20"/>
                <w:szCs w:val="20"/>
                <w:color w:val="auto"/>
              </w:rPr>
            </w:pPr>
            <w:r>
              <w:rPr>
                <w:rFonts w:ascii="Arial" w:cs="Arial" w:eastAsia="Arial" w:hAnsi="Arial"/>
                <w:sz w:val="16"/>
                <w:szCs w:val="16"/>
                <w:b w:val="1"/>
                <w:bCs w:val="1"/>
                <w:color w:val="FFFFFF"/>
              </w:rPr>
              <w:t>​</w:t>
            </w:r>
          </w:p>
        </w:tc>
        <w:tc>
          <w:tcPr>
            <w:tcW w:w="500" w:type="dxa"/>
            <w:vAlign w:val="bottom"/>
            <w:shd w:val="clear" w:color="auto" w:fill="BF5B5A"/>
          </w:tcPr>
          <w:p>
            <w:pPr>
              <w:ind w:left="280"/>
              <w:spacing w:after="0"/>
              <w:rPr>
                <w:sz w:val="20"/>
                <w:szCs w:val="20"/>
                <w:color w:val="auto"/>
              </w:rPr>
            </w:pPr>
            <w:r>
              <w:rPr>
                <w:rFonts w:ascii="Arial" w:cs="Arial" w:eastAsia="Arial" w:hAnsi="Arial"/>
                <w:sz w:val="16"/>
                <w:szCs w:val="16"/>
                <w:b w:val="1"/>
                <w:bCs w:val="1"/>
                <w:color w:val="FFFFFF"/>
              </w:rPr>
              <w:t>​</w:t>
            </w:r>
          </w:p>
        </w:tc>
        <w:tc>
          <w:tcPr>
            <w:tcW w:w="1520" w:type="dxa"/>
            <w:vAlign w:val="bottom"/>
            <w:gridSpan w:val="2"/>
            <w:shd w:val="clear" w:color="auto" w:fill="BF5B5A"/>
          </w:tcPr>
          <w:p>
            <w:pPr>
              <w:jc w:val="center"/>
              <w:ind w:left="100"/>
              <w:spacing w:after="0"/>
              <w:rPr>
                <w:sz w:val="20"/>
                <w:szCs w:val="20"/>
                <w:color w:val="auto"/>
              </w:rPr>
            </w:pPr>
            <w:r>
              <w:rPr>
                <w:rFonts w:ascii="Arial" w:cs="Arial" w:eastAsia="Arial" w:hAnsi="Arial"/>
                <w:sz w:val="16"/>
                <w:szCs w:val="16"/>
                <w:b w:val="1"/>
                <w:bCs w:val="1"/>
                <w:color w:val="FFFFFF"/>
                <w:w w:val="98"/>
              </w:rPr>
              <w:t>($, in thousands)</w:t>
            </w:r>
          </w:p>
        </w:tc>
        <w:tc>
          <w:tcPr>
            <w:tcW w:w="240" w:type="dxa"/>
            <w:vAlign w:val="bottom"/>
            <w:shd w:val="clear" w:color="auto" w:fill="BF5B5A"/>
          </w:tcPr>
          <w:p>
            <w:pPr>
              <w:spacing w:after="0"/>
              <w:rPr>
                <w:sz w:val="18"/>
                <w:szCs w:val="18"/>
                <w:color w:val="auto"/>
              </w:rPr>
            </w:pPr>
          </w:p>
        </w:tc>
        <w:tc>
          <w:tcPr>
            <w:tcW w:w="48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w:t>
            </w:r>
          </w:p>
        </w:tc>
        <w:tc>
          <w:tcPr>
            <w:tcW w:w="480" w:type="dxa"/>
            <w:vAlign w:val="bottom"/>
            <w:shd w:val="clear" w:color="auto" w:fill="BF5B5A"/>
          </w:tcPr>
          <w:p>
            <w:pPr>
              <w:ind w:left="280"/>
              <w:spacing w:after="0"/>
              <w:rPr>
                <w:sz w:val="20"/>
                <w:szCs w:val="20"/>
                <w:color w:val="auto"/>
              </w:rPr>
            </w:pPr>
            <w:r>
              <w:rPr>
                <w:rFonts w:ascii="Arial" w:cs="Arial" w:eastAsia="Arial" w:hAnsi="Arial"/>
                <w:sz w:val="16"/>
                <w:szCs w:val="16"/>
                <w:b w:val="1"/>
                <w:bCs w:val="1"/>
                <w:color w:val="FFFFFF"/>
              </w:rPr>
              <w:t>​</w:t>
            </w:r>
          </w:p>
        </w:tc>
        <w:tc>
          <w:tcPr>
            <w:tcW w:w="1800" w:type="dxa"/>
            <w:vAlign w:val="bottom"/>
            <w:gridSpan w:val="2"/>
            <w:shd w:val="clear" w:color="auto" w:fill="BF5B5A"/>
          </w:tcPr>
          <w:p>
            <w:pPr>
              <w:jc w:val="center"/>
              <w:ind w:left="39"/>
              <w:spacing w:after="0"/>
              <w:rPr>
                <w:sz w:val="20"/>
                <w:szCs w:val="20"/>
                <w:color w:val="auto"/>
              </w:rPr>
            </w:pPr>
            <w:r>
              <w:rPr>
                <w:rFonts w:ascii="Arial" w:cs="Arial" w:eastAsia="Arial" w:hAnsi="Arial"/>
                <w:sz w:val="16"/>
                <w:szCs w:val="16"/>
                <w:b w:val="1"/>
                <w:bCs w:val="1"/>
                <w:color w:val="FFFFFF"/>
                <w:w w:val="94"/>
              </w:rPr>
              <w:t>Core Net Income</w:t>
            </w:r>
          </w:p>
        </w:tc>
        <w:tc>
          <w:tcPr>
            <w:tcW w:w="260" w:type="dxa"/>
            <w:vAlign w:val="bottom"/>
            <w:shd w:val="clear" w:color="auto" w:fill="BF5B5A"/>
          </w:tcPr>
          <w:p>
            <w:pPr>
              <w:spacing w:after="0"/>
              <w:rPr>
                <w:sz w:val="18"/>
                <w:szCs w:val="18"/>
                <w:color w:val="auto"/>
              </w:rPr>
            </w:pPr>
          </w:p>
        </w:tc>
        <w:tc>
          <w:tcPr>
            <w:tcW w:w="44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w:t>
            </w:r>
          </w:p>
        </w:tc>
      </w:tr>
      <w:tr>
        <w:trPr>
          <w:trHeight w:val="230"/>
        </w:trPr>
        <w:tc>
          <w:tcPr>
            <w:tcW w:w="26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​Maximum (105% of Target)</w:t>
            </w:r>
          </w:p>
        </w:tc>
        <w:tc>
          <w:tcPr>
            <w:tcW w:w="860" w:type="dxa"/>
            <w:vAlign w:val="bottom"/>
            <w:tcBorders>
              <w:bottom w:val="single" w:sz="8" w:color="7F7F7F"/>
            </w:tcBorders>
          </w:tcPr>
          <w:p>
            <w:pPr>
              <w:ind w:left="5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4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$289,452</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7F7F7F"/>
            </w:tcBorders>
            <w:gridSpan w:val="2"/>
          </w:tcPr>
          <w:p>
            <w:pPr>
              <w:jc w:val="right"/>
              <w:ind w:right="439"/>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23"/>
        </w:trPr>
        <w:tc>
          <w:tcPr>
            <w:tcW w:w="26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​Target</w:t>
            </w:r>
          </w:p>
        </w:tc>
        <w:tc>
          <w:tcPr>
            <w:tcW w:w="860" w:type="dxa"/>
            <w:vAlign w:val="bottom"/>
            <w:tcBorders>
              <w:bottom w:val="single" w:sz="8" w:color="7F7F7F"/>
            </w:tcBorders>
          </w:tcPr>
          <w:p>
            <w:pPr>
              <w:ind w:left="5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4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$275,669</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7F7F7F"/>
            </w:tcBorders>
            <w:gridSpan w:val="2"/>
          </w:tcPr>
          <w:p>
            <w:pPr>
              <w:jc w:val="right"/>
              <w:ind w:right="439"/>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23"/>
        </w:trPr>
        <w:tc>
          <w:tcPr>
            <w:tcW w:w="26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​Threshold (95% of Target)</w:t>
            </w:r>
          </w:p>
        </w:tc>
        <w:tc>
          <w:tcPr>
            <w:tcW w:w="860" w:type="dxa"/>
            <w:vAlign w:val="bottom"/>
            <w:tcBorders>
              <w:bottom w:val="single" w:sz="8" w:color="7F7F7F"/>
            </w:tcBorders>
          </w:tcPr>
          <w:p>
            <w:pPr>
              <w:ind w:left="5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4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$261,886</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F7F7F"/>
            </w:tcBorders>
          </w:tcPr>
          <w:p>
            <w:pPr>
              <w:ind w:left="8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7F7F7F"/>
            </w:tcBorders>
          </w:tcPr>
          <w:p>
            <w:pPr>
              <w:jc w:val="right"/>
              <w:ind w:right="43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r>
      <w:tr>
        <w:trPr>
          <w:trHeight w:val="264"/>
        </w:trPr>
        <w:tc>
          <w:tcPr>
            <w:tcW w:w="2600" w:type="dxa"/>
            <w:vAlign w:val="bottom"/>
            <w:tcBorders>
              <w:bottom w:val="single" w:sz="8" w:color="BF5B5A"/>
            </w:tcBorders>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Below Threshold</w:t>
            </w:r>
          </w:p>
        </w:tc>
        <w:tc>
          <w:tcPr>
            <w:tcW w:w="860" w:type="dxa"/>
            <w:vAlign w:val="bottom"/>
            <w:tcBorders>
              <w:bottom w:val="single" w:sz="8" w:color="BF5B5A"/>
            </w:tcBorders>
          </w:tcPr>
          <w:p>
            <w:pPr>
              <w:ind w:left="5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F5B5A"/>
            </w:tcBorders>
          </w:tcPr>
          <w:p>
            <w:pPr>
              <w:ind w:left="2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F5B5A"/>
            </w:tcBorders>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&lt; $261,886</w:t>
            </w:r>
          </w:p>
        </w:tc>
        <w:tc>
          <w:tcPr>
            <w:tcW w:w="24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F5B5A"/>
            </w:tcBorders>
          </w:tcPr>
          <w:p>
            <w:pPr>
              <w:ind w:left="2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F5B5A"/>
            </w:tcBorders>
          </w:tcPr>
          <w:p>
            <w:pPr>
              <w:ind w:left="8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80" w:type="dxa"/>
            <w:vAlign w:val="bottom"/>
            <w:tcBorders>
              <w:bottom w:val="single" w:sz="8" w:color="BF5B5A"/>
            </w:tcBorders>
          </w:tcPr>
          <w:p>
            <w:pPr>
              <w:jc w:val="right"/>
              <w:ind w:right="439"/>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BF5B5A"/>
            </w:tcBorders>
          </w:tcPr>
          <w:p>
            <w:pPr>
              <w:ind w:left="120"/>
              <w:spacing w:after="0"/>
              <w:rPr>
                <w:sz w:val="20"/>
                <w:szCs w:val="20"/>
                <w:color w:val="auto"/>
              </w:rPr>
            </w:pPr>
            <w:r>
              <w:rPr>
                <w:rFonts w:ascii="Arial" w:cs="Arial" w:eastAsia="Arial" w:hAnsi="Arial"/>
                <w:sz w:val="16"/>
                <w:szCs w:val="16"/>
                <w:color w:val="auto"/>
              </w:rPr>
              <w:t>​</w:t>
            </w:r>
          </w:p>
        </w:tc>
      </w:tr>
    </w:tbl>
    <w:p>
      <w:pPr>
        <w:spacing w:after="0" w:line="188" w:lineRule="exact"/>
        <w:rPr>
          <w:sz w:val="20"/>
          <w:szCs w:val="20"/>
          <w:color w:val="auto"/>
        </w:rPr>
      </w:pPr>
    </w:p>
    <w:p>
      <w:pPr>
        <w:ind w:left="1140" w:hanging="360"/>
        <w:spacing w:after="0"/>
        <w:tabs>
          <w:tab w:leader="none" w:pos="11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Payouts for results between the stated performance levels are interpolated on a straight-line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The Core Net Income target is an absolute metric</w:t>
            </w:r>
          </w:p>
        </w:tc>
        <w:tc>
          <w:tcPr>
            <w:tcW w:w="4240" w:type="dxa"/>
            <w:vAlign w:val="bottom"/>
            <w:gridSpan w:val="4"/>
          </w:tcPr>
          <w:p>
            <w:pPr>
              <w:ind w:left="20"/>
              <w:spacing w:after="0"/>
              <w:rPr>
                <w:sz w:val="20"/>
                <w:szCs w:val="20"/>
                <w:color w:val="auto"/>
              </w:rPr>
            </w:pPr>
            <w:r>
              <w:rPr>
                <w:rFonts w:ascii="Arial" w:cs="Arial" w:eastAsia="Arial" w:hAnsi="Arial"/>
                <w:sz w:val="18"/>
                <w:szCs w:val="18"/>
                <w:color w:val="auto"/>
              </w:rPr>
              <w:t>loans and leases 90 days or more delinquent)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and is set by the Committee early in the fiscal year</w:t>
            </w:r>
          </w:p>
        </w:tc>
        <w:tc>
          <w:tcPr>
            <w:tcW w:w="4240" w:type="dxa"/>
            <w:vAlign w:val="bottom"/>
            <w:gridSpan w:val="4"/>
          </w:tcPr>
          <w:p>
            <w:pPr>
              <w:ind w:left="20"/>
              <w:spacing w:after="0"/>
              <w:rPr>
                <w:sz w:val="20"/>
                <w:szCs w:val="20"/>
                <w:color w:val="auto"/>
              </w:rPr>
            </w:pPr>
            <w:r>
              <w:rPr>
                <w:rFonts w:ascii="Arial" w:cs="Arial" w:eastAsia="Arial" w:hAnsi="Arial"/>
                <w:sz w:val="18"/>
                <w:szCs w:val="18"/>
                <w:color w:val="auto"/>
              </w:rPr>
              <w:t>divided by (average loans and leases). The asset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based on our budget, which is approved annually by</w:t>
            </w:r>
          </w:p>
        </w:tc>
        <w:tc>
          <w:tcPr>
            <w:tcW w:w="4240" w:type="dxa"/>
            <w:vAlign w:val="bottom"/>
            <w:gridSpan w:val="4"/>
          </w:tcPr>
          <w:p>
            <w:pPr>
              <w:ind w:left="20"/>
              <w:spacing w:after="0"/>
              <w:rPr>
                <w:sz w:val="20"/>
                <w:szCs w:val="20"/>
                <w:color w:val="auto"/>
              </w:rPr>
            </w:pPr>
            <w:r>
              <w:rPr>
                <w:rFonts w:ascii="Arial" w:cs="Arial" w:eastAsia="Arial" w:hAnsi="Arial"/>
                <w:sz w:val="18"/>
                <w:szCs w:val="18"/>
                <w:color w:val="auto"/>
              </w:rPr>
              <w:t>quality goals used to determine 2023 annual bonus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the Board of Directors at its December meeting. The</w:t>
            </w:r>
          </w:p>
        </w:tc>
        <w:tc>
          <w:tcPr>
            <w:tcW w:w="4240" w:type="dxa"/>
            <w:vAlign w:val="bottom"/>
            <w:gridSpan w:val="4"/>
            <w:vMerge w:val="restart"/>
          </w:tcPr>
          <w:p>
            <w:pPr>
              <w:ind w:left="20"/>
              <w:spacing w:after="0"/>
              <w:rPr>
                <w:sz w:val="20"/>
                <w:szCs w:val="20"/>
                <w:color w:val="auto"/>
              </w:rPr>
            </w:pPr>
            <w:r>
              <w:rPr>
                <w:rFonts w:ascii="Arial" w:cs="Arial" w:eastAsia="Arial" w:hAnsi="Arial"/>
                <w:sz w:val="18"/>
                <w:szCs w:val="18"/>
                <w:color w:val="auto"/>
              </w:rPr>
              <w:t>payouts are presented in the table below:</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780" w:type="dxa"/>
            <w:vAlign w:val="bottom"/>
          </w:tcPr>
          <w:p>
            <w:pPr>
              <w:spacing w:after="0"/>
              <w:rPr>
                <w:sz w:val="6"/>
                <w:szCs w:val="6"/>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Committee selected a Core Net Income target for</w:t>
            </w:r>
          </w:p>
        </w:tc>
        <w:tc>
          <w:tcPr>
            <w:tcW w:w="42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2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BF5B5A"/>
                <w:w w:val="96"/>
              </w:rPr>
              <w:t>ASSET QUALITY METRIC</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2023 of $275.7 million.</w:t>
            </w:r>
          </w:p>
        </w:tc>
        <w:tc>
          <w:tcPr>
            <w:tcW w:w="110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We selected the Asset Quality Metric as a second</w:t>
            </w:r>
          </w:p>
        </w:tc>
        <w:tc>
          <w:tcPr>
            <w:tcW w:w="1100" w:type="dxa"/>
            <w:vAlign w:val="bottom"/>
            <w:shd w:val="clear" w:color="auto" w:fill="BF5B5A"/>
          </w:tcPr>
          <w:p>
            <w:pPr>
              <w:spacing w:after="0"/>
              <w:rPr>
                <w:sz w:val="17"/>
                <w:szCs w:val="17"/>
                <w:color w:val="auto"/>
              </w:rPr>
            </w:pPr>
          </w:p>
        </w:tc>
        <w:tc>
          <w:tcPr>
            <w:tcW w:w="1400" w:type="dxa"/>
            <w:vAlign w:val="bottom"/>
            <w:shd w:val="clear" w:color="auto" w:fill="BF5B5A"/>
          </w:tcPr>
          <w:p>
            <w:pPr>
              <w:spacing w:after="0"/>
              <w:rPr>
                <w:sz w:val="17"/>
                <w:szCs w:val="17"/>
                <w:color w:val="auto"/>
              </w:rPr>
            </w:pPr>
          </w:p>
        </w:tc>
        <w:tc>
          <w:tcPr>
            <w:tcW w:w="17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Payout Factor as a</w:t>
            </w:r>
          </w:p>
        </w:tc>
        <w:tc>
          <w:tcPr>
            <w:tcW w:w="120" w:type="dxa"/>
            <w:vAlign w:val="bottom"/>
            <w:shd w:val="clear" w:color="auto" w:fill="BF5B5A"/>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1100" w:type="dxa"/>
            <w:vAlign w:val="bottom"/>
            <w:shd w:val="clear" w:color="auto" w:fill="BF5B5A"/>
          </w:tcPr>
          <w:p>
            <w:pPr>
              <w:spacing w:after="0"/>
              <w:rPr>
                <w:sz w:val="10"/>
                <w:szCs w:val="10"/>
                <w:color w:val="auto"/>
              </w:rPr>
            </w:pPr>
          </w:p>
        </w:tc>
        <w:tc>
          <w:tcPr>
            <w:tcW w:w="1400" w:type="dxa"/>
            <w:vAlign w:val="bottom"/>
            <w:shd w:val="clear" w:color="auto" w:fill="BF5B5A"/>
          </w:tcPr>
          <w:p>
            <w:pPr>
              <w:spacing w:after="0"/>
              <w:rPr>
                <w:sz w:val="10"/>
                <w:szCs w:val="10"/>
                <w:color w:val="auto"/>
              </w:rPr>
            </w:pPr>
          </w:p>
        </w:tc>
        <w:tc>
          <w:tcPr>
            <w:tcW w:w="1740" w:type="dxa"/>
            <w:vAlign w:val="bottom"/>
            <w:gridSpan w:val="2"/>
            <w:vMerge w:val="restart"/>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8"/>
              </w:rPr>
              <w:t>% of Target Award</w:t>
            </w:r>
          </w:p>
        </w:tc>
        <w:tc>
          <w:tcPr>
            <w:tcW w:w="120" w:type="dxa"/>
            <w:vAlign w:val="bottom"/>
            <w:shd w:val="clear" w:color="auto" w:fill="BF5B5A"/>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5"/>
                <w:szCs w:val="5"/>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financial performance metric for our 2023 annual</w:t>
            </w:r>
          </w:p>
        </w:tc>
        <w:tc>
          <w:tcPr>
            <w:tcW w:w="1100" w:type="dxa"/>
            <w:vAlign w:val="bottom"/>
            <w:shd w:val="clear" w:color="auto" w:fill="BF5B5A"/>
          </w:tcPr>
          <w:p>
            <w:pPr>
              <w:spacing w:after="0"/>
              <w:rPr>
                <w:sz w:val="5"/>
                <w:szCs w:val="5"/>
                <w:color w:val="auto"/>
              </w:rPr>
            </w:pPr>
          </w:p>
        </w:tc>
        <w:tc>
          <w:tcPr>
            <w:tcW w:w="1400" w:type="dxa"/>
            <w:vAlign w:val="bottom"/>
            <w:shd w:val="clear" w:color="auto" w:fill="BF5B5A"/>
          </w:tcPr>
          <w:p>
            <w:pPr>
              <w:spacing w:after="0"/>
              <w:rPr>
                <w:sz w:val="5"/>
                <w:szCs w:val="5"/>
                <w:color w:val="auto"/>
              </w:rPr>
            </w:pPr>
          </w:p>
        </w:tc>
        <w:tc>
          <w:tcPr>
            <w:tcW w:w="1740" w:type="dxa"/>
            <w:vAlign w:val="bottom"/>
            <w:gridSpan w:val="2"/>
            <w:vMerge w:val="continue"/>
            <w:shd w:val="clear" w:color="auto" w:fill="BF5B5A"/>
          </w:tcPr>
          <w:p>
            <w:pPr>
              <w:spacing w:after="0"/>
              <w:rPr>
                <w:sz w:val="5"/>
                <w:szCs w:val="5"/>
                <w:color w:val="auto"/>
              </w:rPr>
            </w:pPr>
          </w:p>
        </w:tc>
        <w:tc>
          <w:tcPr>
            <w:tcW w:w="120" w:type="dxa"/>
            <w:vAlign w:val="bottom"/>
            <w:shd w:val="clear" w:color="auto" w:fill="BF5B5A"/>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1100" w:type="dxa"/>
            <w:vAlign w:val="bottom"/>
            <w:shd w:val="clear" w:color="auto" w:fill="BF5B5A"/>
          </w:tcPr>
          <w:p>
            <w:pPr>
              <w:spacing w:after="0"/>
              <w:rPr>
                <w:sz w:val="14"/>
                <w:szCs w:val="14"/>
                <w:color w:val="auto"/>
              </w:rPr>
            </w:pPr>
          </w:p>
        </w:tc>
        <w:tc>
          <w:tcPr>
            <w:tcW w:w="1400" w:type="dxa"/>
            <w:vAlign w:val="bottom"/>
            <w:shd w:val="clear" w:color="auto" w:fill="BF5B5A"/>
          </w:tcPr>
          <w:p>
            <w:pPr>
              <w:spacing w:after="0"/>
              <w:rPr>
                <w:sz w:val="14"/>
                <w:szCs w:val="14"/>
                <w:color w:val="auto"/>
              </w:rPr>
            </w:pPr>
          </w:p>
        </w:tc>
        <w:tc>
          <w:tcPr>
            <w:tcW w:w="1740" w:type="dxa"/>
            <w:vAlign w:val="bottom"/>
            <w:gridSpan w:val="2"/>
            <w:shd w:val="clear" w:color="auto" w:fill="BF5B5A"/>
          </w:tcPr>
          <w:p>
            <w:pPr>
              <w:jc w:val="center"/>
              <w:spacing w:after="0" w:line="163" w:lineRule="exact"/>
              <w:rPr>
                <w:sz w:val="20"/>
                <w:szCs w:val="20"/>
                <w:color w:val="auto"/>
              </w:rPr>
            </w:pPr>
            <w:r>
              <w:rPr>
                <w:rFonts w:ascii="Arial" w:cs="Arial" w:eastAsia="Arial" w:hAnsi="Arial"/>
                <w:sz w:val="16"/>
                <w:szCs w:val="16"/>
                <w:b w:val="1"/>
                <w:bCs w:val="1"/>
                <w:color w:val="FFFFFF"/>
                <w:w w:val="98"/>
              </w:rPr>
              <w:t>Attributable to</w:t>
            </w:r>
          </w:p>
        </w:tc>
        <w:tc>
          <w:tcPr>
            <w:tcW w:w="120" w:type="dxa"/>
            <w:vAlign w:val="bottom"/>
            <w:shd w:val="clear" w:color="auto" w:fill="BF5B5A"/>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bonus payments (determines 20% of the annual</w:t>
            </w:r>
          </w:p>
        </w:tc>
        <w:tc>
          <w:tcPr>
            <w:tcW w:w="110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 Performance</w:t>
            </w:r>
          </w:p>
        </w:tc>
        <w:tc>
          <w:tcPr>
            <w:tcW w:w="1400" w:type="dxa"/>
            <w:vAlign w:val="bottom"/>
            <w:shd w:val="clear" w:color="auto" w:fill="BF5B5A"/>
          </w:tcPr>
          <w:p>
            <w:pPr>
              <w:ind w:left="1140"/>
              <w:spacing w:after="0"/>
              <w:rPr>
                <w:sz w:val="20"/>
                <w:szCs w:val="20"/>
                <w:color w:val="auto"/>
              </w:rPr>
            </w:pPr>
            <w:r>
              <w:rPr>
                <w:rFonts w:ascii="Arial" w:cs="Arial" w:eastAsia="Arial" w:hAnsi="Arial"/>
                <w:sz w:val="16"/>
                <w:szCs w:val="16"/>
                <w:b w:val="1"/>
                <w:bCs w:val="1"/>
                <w:color w:val="FFFFFF"/>
              </w:rPr>
              <w:t>​ ​</w:t>
            </w:r>
          </w:p>
        </w:tc>
        <w:tc>
          <w:tcPr>
            <w:tcW w:w="17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Asset Quality Metric</w:t>
            </w:r>
            <w:r>
              <w:rPr>
                <w:rFonts w:ascii="Arial" w:cs="Arial" w:eastAsia="Arial" w:hAnsi="Arial"/>
                <w:sz w:val="19"/>
                <w:szCs w:val="19"/>
                <w:b w:val="1"/>
                <w:bCs w:val="1"/>
                <w:color w:val="FFFFFF"/>
                <w:w w:val="95"/>
                <w:vertAlign w:val="superscript"/>
              </w:rPr>
              <w:t>(1)</w:t>
            </w:r>
          </w:p>
        </w:tc>
        <w:tc>
          <w:tcPr>
            <w:tcW w:w="12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bonus payout) to reward the management team</w:t>
            </w:r>
          </w:p>
        </w:tc>
        <w:tc>
          <w:tcPr>
            <w:tcW w:w="11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​0.50%</w:t>
            </w:r>
          </w:p>
        </w:tc>
        <w:tc>
          <w:tcPr>
            <w:tcW w:w="1400" w:type="dxa"/>
            <w:vAlign w:val="bottom"/>
            <w:tcBorders>
              <w:bottom w:val="single" w:sz="8" w:color="7F7F7F"/>
            </w:tcBorders>
          </w:tcPr>
          <w:p>
            <w:pPr>
              <w:ind w:left="1200"/>
              <w:spacing w:after="0"/>
              <w:rPr>
                <w:sz w:val="20"/>
                <w:szCs w:val="20"/>
                <w:color w:val="auto"/>
              </w:rPr>
            </w:pPr>
            <w:r>
              <w:rPr>
                <w:rFonts w:ascii="Arial" w:cs="Arial" w:eastAsia="Arial" w:hAnsi="Arial"/>
                <w:sz w:val="16"/>
                <w:szCs w:val="16"/>
                <w:color w:val="auto"/>
              </w:rPr>
              <w:t>​ ​</w:t>
            </w:r>
          </w:p>
        </w:tc>
        <w:tc>
          <w:tcPr>
            <w:tcW w:w="1740" w:type="dxa"/>
            <w:vAlign w:val="bottom"/>
            <w:tcBorders>
              <w:bottom w:val="single" w:sz="8" w:color="7F7F7F"/>
            </w:tcBorders>
            <w:gridSpan w:val="2"/>
          </w:tcPr>
          <w:p>
            <w:pPr>
              <w:jc w:val="right"/>
              <w:ind w:right="5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150%</w:t>
            </w:r>
          </w:p>
        </w:tc>
        <w:tc>
          <w:tcPr>
            <w:tcW w:w="12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should it succeed in maintaining our high asset</w:t>
            </w:r>
          </w:p>
        </w:tc>
        <w:tc>
          <w:tcPr>
            <w:tcW w:w="1100" w:type="dxa"/>
            <w:vAlign w:val="bottom"/>
          </w:tcPr>
          <w:p>
            <w:pPr>
              <w:ind w:left="60"/>
              <w:spacing w:after="0"/>
              <w:rPr>
                <w:sz w:val="20"/>
                <w:szCs w:val="20"/>
                <w:color w:val="auto"/>
              </w:rPr>
            </w:pPr>
            <w:r>
              <w:rPr>
                <w:rFonts w:ascii="Arial" w:cs="Arial" w:eastAsia="Arial" w:hAnsi="Arial"/>
                <w:sz w:val="16"/>
                <w:szCs w:val="16"/>
                <w:color w:val="auto"/>
              </w:rPr>
              <w:t>​0.75%</w:t>
            </w:r>
          </w:p>
        </w:tc>
        <w:tc>
          <w:tcPr>
            <w:tcW w:w="1400" w:type="dxa"/>
            <w:vAlign w:val="bottom"/>
          </w:tcPr>
          <w:p>
            <w:pPr>
              <w:ind w:left="1200"/>
              <w:spacing w:after="0"/>
              <w:rPr>
                <w:sz w:val="20"/>
                <w:szCs w:val="20"/>
                <w:color w:val="auto"/>
              </w:rPr>
            </w:pPr>
            <w:r>
              <w:rPr>
                <w:rFonts w:ascii="Arial" w:cs="Arial" w:eastAsia="Arial" w:hAnsi="Arial"/>
                <w:sz w:val="16"/>
                <w:szCs w:val="16"/>
                <w:color w:val="auto"/>
              </w:rPr>
              <w:t>​ ​</w:t>
            </w:r>
          </w:p>
        </w:tc>
        <w:tc>
          <w:tcPr>
            <w:tcW w:w="174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100%</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quality standards during a period in which prevailing</w:t>
            </w:r>
          </w:p>
        </w:tc>
        <w:tc>
          <w:tcPr>
            <w:tcW w:w="1100" w:type="dxa"/>
            <w:vAlign w:val="bottom"/>
            <w:tcBorders>
              <w:bottom w:val="single" w:sz="8" w:color="7F7F7F"/>
            </w:tcBorders>
          </w:tcPr>
          <w:p>
            <w:pPr>
              <w:spacing w:after="0"/>
              <w:rPr>
                <w:sz w:val="2"/>
                <w:szCs w:val="2"/>
                <w:color w:val="auto"/>
              </w:rPr>
            </w:pPr>
          </w:p>
        </w:tc>
        <w:tc>
          <w:tcPr>
            <w:tcW w:w="140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96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​1.00%</w:t>
            </w:r>
          </w:p>
        </w:tc>
        <w:tc>
          <w:tcPr>
            <w:tcW w:w="1400" w:type="dxa"/>
            <w:vAlign w:val="bottom"/>
          </w:tcPr>
          <w:p>
            <w:pPr>
              <w:ind w:left="1200"/>
              <w:spacing w:after="0"/>
              <w:rPr>
                <w:sz w:val="20"/>
                <w:szCs w:val="20"/>
                <w:color w:val="auto"/>
              </w:rPr>
            </w:pPr>
            <w:r>
              <w:rPr>
                <w:rFonts w:ascii="Arial" w:cs="Arial" w:eastAsia="Arial" w:hAnsi="Arial"/>
                <w:sz w:val="16"/>
                <w:szCs w:val="16"/>
                <w:color w:val="auto"/>
              </w:rPr>
              <w:t>​ ​</w:t>
            </w:r>
          </w:p>
        </w:tc>
        <w:tc>
          <w:tcPr>
            <w:tcW w:w="780" w:type="dxa"/>
            <w:vAlign w:val="bottom"/>
          </w:tcPr>
          <w:p>
            <w:pPr>
              <w:ind w:left="7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519"/>
              <w:spacing w:after="0"/>
              <w:rPr>
                <w:sz w:val="20"/>
                <w:szCs w:val="20"/>
                <w:color w:val="auto"/>
              </w:rPr>
            </w:pPr>
            <w:r>
              <w:rPr>
                <w:rFonts w:ascii="Arial" w:cs="Arial" w:eastAsia="Arial" w:hAnsi="Arial"/>
                <w:sz w:val="16"/>
                <w:szCs w:val="16"/>
                <w:color w:val="auto"/>
              </w:rPr>
              <w:t>50%</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80" w:type="dxa"/>
            <w:vAlign w:val="bottom"/>
          </w:tcPr>
          <w:p>
            <w:pPr>
              <w:spacing w:after="0"/>
              <w:rPr>
                <w:sz w:val="2"/>
                <w:szCs w:val="2"/>
                <w:color w:val="auto"/>
              </w:rPr>
            </w:pPr>
          </w:p>
        </w:tc>
        <w:tc>
          <w:tcPr>
            <w:tcW w:w="4820" w:type="dxa"/>
            <w:vAlign w:val="bottom"/>
            <w:vMerge w:val="restart"/>
          </w:tcPr>
          <w:p>
            <w:pPr>
              <w:spacing w:after="0" w:line="198" w:lineRule="exact"/>
              <w:rPr>
                <w:sz w:val="20"/>
                <w:szCs w:val="20"/>
                <w:color w:val="auto"/>
              </w:rPr>
            </w:pPr>
            <w:r>
              <w:rPr>
                <w:rFonts w:ascii="Arial" w:cs="Arial" w:eastAsia="Arial" w:hAnsi="Arial"/>
                <w:sz w:val="18"/>
                <w:szCs w:val="18"/>
                <w:color w:val="auto"/>
              </w:rPr>
              <w:t>macro economic conditions might be expected to</w:t>
            </w:r>
          </w:p>
        </w:tc>
        <w:tc>
          <w:tcPr>
            <w:tcW w:w="1100" w:type="dxa"/>
            <w:vAlign w:val="bottom"/>
            <w:tcBorders>
              <w:bottom w:val="single" w:sz="8" w:color="7F7F7F"/>
            </w:tcBorders>
          </w:tcPr>
          <w:p>
            <w:pPr>
              <w:spacing w:after="0"/>
              <w:rPr>
                <w:sz w:val="2"/>
                <w:szCs w:val="2"/>
                <w:color w:val="auto"/>
              </w:rPr>
            </w:pPr>
          </w:p>
        </w:tc>
        <w:tc>
          <w:tcPr>
            <w:tcW w:w="140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96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7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1100" w:type="dxa"/>
            <w:vAlign w:val="bottom"/>
            <w:vMerge w:val="restart"/>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&gt;1.00%</w:t>
            </w:r>
          </w:p>
        </w:tc>
        <w:tc>
          <w:tcPr>
            <w:tcW w:w="1400" w:type="dxa"/>
            <w:vAlign w:val="bottom"/>
            <w:vMerge w:val="restart"/>
          </w:tcPr>
          <w:p>
            <w:pPr>
              <w:ind w:left="1200"/>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ind w:left="7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60" w:type="dxa"/>
            <w:vAlign w:val="bottom"/>
            <w:vMerge w:val="restart"/>
          </w:tcPr>
          <w:p>
            <w:pPr>
              <w:jc w:val="right"/>
              <w:ind w:right="519"/>
              <w:spacing w:after="0"/>
              <w:rPr>
                <w:sz w:val="20"/>
                <w:szCs w:val="20"/>
                <w:color w:val="auto"/>
              </w:rPr>
            </w:pPr>
            <w:r>
              <w:rPr>
                <w:rFonts w:ascii="Arial" w:cs="Arial" w:eastAsia="Arial" w:hAnsi="Arial"/>
                <w:sz w:val="16"/>
                <w:szCs w:val="16"/>
                <w:color w:val="auto"/>
              </w:rPr>
              <w:t>0%</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780" w:type="dxa"/>
            <w:vAlign w:val="bottom"/>
          </w:tcPr>
          <w:p>
            <w:pPr>
              <w:spacing w:after="0"/>
              <w:rPr>
                <w:sz w:val="9"/>
                <w:szCs w:val="9"/>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result in asset quality deterioration on a system-wide</w:t>
            </w:r>
          </w:p>
        </w:tc>
        <w:tc>
          <w:tcPr>
            <w:tcW w:w="1100" w:type="dxa"/>
            <w:vAlign w:val="bottom"/>
            <w:tcBorders>
              <w:bottom w:val="single" w:sz="8" w:color="BF5B5A"/>
            </w:tcBorders>
            <w:vMerge w:val="continue"/>
          </w:tcPr>
          <w:p>
            <w:pPr>
              <w:spacing w:after="0"/>
              <w:rPr>
                <w:sz w:val="9"/>
                <w:szCs w:val="9"/>
                <w:color w:val="auto"/>
              </w:rPr>
            </w:pPr>
          </w:p>
        </w:tc>
        <w:tc>
          <w:tcPr>
            <w:tcW w:w="1400" w:type="dxa"/>
            <w:vAlign w:val="bottom"/>
            <w:tcBorders>
              <w:bottom w:val="single" w:sz="8" w:color="BF5B5A"/>
            </w:tcBorders>
            <w:vMerge w:val="continue"/>
          </w:tcPr>
          <w:p>
            <w:pPr>
              <w:spacing w:after="0"/>
              <w:rPr>
                <w:sz w:val="9"/>
                <w:szCs w:val="9"/>
                <w:color w:val="auto"/>
              </w:rPr>
            </w:pPr>
          </w:p>
        </w:tc>
        <w:tc>
          <w:tcPr>
            <w:tcW w:w="780" w:type="dxa"/>
            <w:vAlign w:val="bottom"/>
            <w:tcBorders>
              <w:bottom w:val="single" w:sz="8" w:color="BF5B5A"/>
            </w:tcBorders>
            <w:vMerge w:val="continue"/>
          </w:tcPr>
          <w:p>
            <w:pPr>
              <w:spacing w:after="0"/>
              <w:rPr>
                <w:sz w:val="9"/>
                <w:szCs w:val="9"/>
                <w:color w:val="auto"/>
              </w:rPr>
            </w:pPr>
          </w:p>
        </w:tc>
        <w:tc>
          <w:tcPr>
            <w:tcW w:w="960" w:type="dxa"/>
            <w:vAlign w:val="bottom"/>
            <w:tcBorders>
              <w:bottom w:val="single" w:sz="8" w:color="BF5B5A"/>
            </w:tcBorders>
            <w:vMerge w:val="continue"/>
          </w:tcPr>
          <w:p>
            <w:pPr>
              <w:spacing w:after="0"/>
              <w:rPr>
                <w:sz w:val="9"/>
                <w:szCs w:val="9"/>
                <w:color w:val="auto"/>
              </w:rPr>
            </w:pPr>
          </w:p>
        </w:tc>
        <w:tc>
          <w:tcPr>
            <w:tcW w:w="120" w:type="dxa"/>
            <w:vAlign w:val="bottom"/>
            <w:tcBorders>
              <w:bottom w:val="single" w:sz="8" w:color="BF5B5A"/>
            </w:tcBorders>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basis. The Asset Quality Metric we selected was</w:t>
            </w:r>
          </w:p>
        </w:tc>
        <w:tc>
          <w:tcPr>
            <w:tcW w:w="4240" w:type="dxa"/>
            <w:vAlign w:val="bottom"/>
            <w:gridSpan w:val="4"/>
          </w:tcPr>
          <w:p>
            <w:pPr>
              <w:ind w:left="20"/>
              <w:spacing w:after="0"/>
              <w:rPr>
                <w:sz w:val="20"/>
                <w:szCs w:val="20"/>
                <w:color w:val="auto"/>
              </w:rPr>
            </w:pPr>
            <w:r>
              <w:rPr>
                <w:rFonts w:ascii="Arial" w:cs="Arial" w:eastAsia="Arial" w:hAnsi="Arial"/>
                <w:sz w:val="16"/>
                <w:szCs w:val="16"/>
                <w:color w:val="auto"/>
              </w:rPr>
              <w:t>(1)  Payouts for results within the stated performance</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(average non-performing assets plus performing</w:t>
            </w:r>
          </w:p>
        </w:tc>
        <w:tc>
          <w:tcPr>
            <w:tcW w:w="4240" w:type="dxa"/>
            <w:vAlign w:val="bottom"/>
            <w:gridSpan w:val="4"/>
          </w:tcPr>
          <w:p>
            <w:pPr>
              <w:ind w:left="380"/>
              <w:spacing w:after="0"/>
              <w:rPr>
                <w:sz w:val="20"/>
                <w:szCs w:val="20"/>
                <w:color w:val="auto"/>
              </w:rPr>
            </w:pPr>
            <w:r>
              <w:rPr>
                <w:rFonts w:ascii="Arial" w:cs="Arial" w:eastAsia="Arial" w:hAnsi="Arial"/>
                <w:sz w:val="16"/>
                <w:szCs w:val="16"/>
                <w:color w:val="auto"/>
              </w:rPr>
              <w:t>levels are interpolated on a straight-line basis.</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80" w:type="dxa"/>
            <w:vAlign w:val="bottom"/>
          </w:tcPr>
          <w:p>
            <w:pPr>
              <w:spacing w:after="0"/>
              <w:rPr>
                <w:sz w:val="20"/>
                <w:szCs w:val="20"/>
                <w:color w:val="auto"/>
              </w:rPr>
            </w:pPr>
          </w:p>
        </w:tc>
        <w:tc>
          <w:tcPr>
            <w:tcW w:w="4820" w:type="dxa"/>
            <w:vAlign w:val="bottom"/>
            <w:tcBorders>
              <w:bottom w:val="single" w:sz="8" w:color="BF5B5A"/>
            </w:tcBorders>
          </w:tcPr>
          <w:p>
            <w:pPr>
              <w:spacing w:after="0"/>
              <w:rPr>
                <w:sz w:val="20"/>
                <w:szCs w:val="20"/>
                <w:color w:val="auto"/>
              </w:rPr>
            </w:pPr>
          </w:p>
        </w:tc>
        <w:tc>
          <w:tcPr>
            <w:tcW w:w="1100" w:type="dxa"/>
            <w:vAlign w:val="bottom"/>
            <w:tcBorders>
              <w:bottom w:val="single" w:sz="8" w:color="BF5B5A"/>
            </w:tcBorders>
          </w:tcPr>
          <w:p>
            <w:pPr>
              <w:spacing w:after="0"/>
              <w:rPr>
                <w:sz w:val="20"/>
                <w:szCs w:val="20"/>
                <w:color w:val="auto"/>
              </w:rPr>
            </w:pPr>
          </w:p>
        </w:tc>
        <w:tc>
          <w:tcPr>
            <w:tcW w:w="1400" w:type="dxa"/>
            <w:vAlign w:val="bottom"/>
            <w:tcBorders>
              <w:bottom w:val="single" w:sz="8" w:color="BF5B5A"/>
            </w:tcBorders>
          </w:tcPr>
          <w:p>
            <w:pPr>
              <w:spacing w:after="0"/>
              <w:rPr>
                <w:sz w:val="20"/>
                <w:szCs w:val="20"/>
                <w:color w:val="auto"/>
              </w:rPr>
            </w:pPr>
          </w:p>
        </w:tc>
        <w:tc>
          <w:tcPr>
            <w:tcW w:w="780" w:type="dxa"/>
            <w:vAlign w:val="bottom"/>
            <w:tcBorders>
              <w:bottom w:val="single" w:sz="8" w:color="BF5B5A"/>
            </w:tcBorders>
          </w:tcPr>
          <w:p>
            <w:pPr>
              <w:spacing w:after="0"/>
              <w:rPr>
                <w:sz w:val="20"/>
                <w:szCs w:val="20"/>
                <w:color w:val="auto"/>
              </w:rPr>
            </w:pPr>
          </w:p>
        </w:tc>
        <w:tc>
          <w:tcPr>
            <w:tcW w:w="1080" w:type="dxa"/>
            <w:vAlign w:val="bottom"/>
            <w:tcBorders>
              <w:bottom w:val="single" w:sz="8" w:color="BF5B5A"/>
            </w:tcBorders>
            <w:gridSpan w:val="2"/>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p>
        </w:tc>
        <w:tc>
          <w:tcPr>
            <w:tcW w:w="1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gridSpan w:val="2"/>
          </w:tcPr>
          <w:p>
            <w:pPr>
              <w:ind w:left="560"/>
              <w:spacing w:after="0"/>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2"/>
                <w:szCs w:val="32"/>
                <w:b w:val="1"/>
                <w:bCs w:val="1"/>
                <w:color w:val="BF5B5A"/>
                <w:vertAlign w:val="subscript"/>
              </w:rPr>
              <w:t>53</w:t>
            </w:r>
            <w:r>
              <w:rPr>
                <w:rFonts w:ascii="Arial" w:cs="Arial" w:eastAsia="Arial" w:hAnsi="Arial"/>
                <w:sz w:val="16"/>
                <w:szCs w:val="16"/>
                <w:b w:val="1"/>
                <w:bCs w:val="1"/>
                <w:color w:val="auto"/>
              </w:rPr>
              <w:t>​</w:t>
            </w: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3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2023, performance against the Company’s financial performance metrics was as follows:</w:t>
      </w:r>
    </w:p>
    <w:p>
      <w:pPr>
        <w:spacing w:after="0" w:line="230"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2100" w:type="dxa"/>
            <w:vAlign w:val="bottom"/>
            <w:shd w:val="clear" w:color="auto" w:fill="BF5B5A"/>
          </w:tcPr>
          <w:p>
            <w:pPr>
              <w:spacing w:after="0"/>
              <w:rPr>
                <w:sz w:val="16"/>
                <w:szCs w:val="16"/>
                <w:color w:val="auto"/>
              </w:rPr>
            </w:pPr>
          </w:p>
        </w:tc>
        <w:tc>
          <w:tcPr>
            <w:tcW w:w="1040" w:type="dxa"/>
            <w:vAlign w:val="bottom"/>
            <w:shd w:val="clear" w:color="auto" w:fill="BF5B5A"/>
          </w:tcPr>
          <w:p>
            <w:pPr>
              <w:spacing w:after="0"/>
              <w:rPr>
                <w:sz w:val="16"/>
                <w:szCs w:val="16"/>
                <w:color w:val="auto"/>
              </w:rPr>
            </w:pPr>
          </w:p>
        </w:tc>
        <w:tc>
          <w:tcPr>
            <w:tcW w:w="480" w:type="dxa"/>
            <w:vAlign w:val="bottom"/>
            <w:shd w:val="clear" w:color="auto" w:fill="BF5B5A"/>
          </w:tcPr>
          <w:p>
            <w:pPr>
              <w:spacing w:after="0"/>
              <w:rPr>
                <w:sz w:val="16"/>
                <w:szCs w:val="16"/>
                <w:color w:val="auto"/>
              </w:rPr>
            </w:pPr>
          </w:p>
        </w:tc>
        <w:tc>
          <w:tcPr>
            <w:tcW w:w="1560" w:type="dxa"/>
            <w:vAlign w:val="bottom"/>
            <w:shd w:val="clear" w:color="auto" w:fill="BF5B5A"/>
          </w:tcPr>
          <w:p>
            <w:pPr>
              <w:jc w:val="center"/>
              <w:ind w:right="539"/>
              <w:spacing w:after="0"/>
              <w:rPr>
                <w:sz w:val="20"/>
                <w:szCs w:val="20"/>
                <w:color w:val="auto"/>
              </w:rPr>
            </w:pPr>
            <w:r>
              <w:rPr>
                <w:rFonts w:ascii="Arial" w:cs="Arial" w:eastAsia="Arial" w:hAnsi="Arial"/>
                <w:sz w:val="16"/>
                <w:szCs w:val="16"/>
                <w:b w:val="1"/>
                <w:bCs w:val="1"/>
                <w:color w:val="FFFFFF"/>
                <w:w w:val="96"/>
              </w:rPr>
              <w:t>2023 Results</w:t>
            </w:r>
          </w:p>
        </w:tc>
        <w:tc>
          <w:tcPr>
            <w:tcW w:w="740" w:type="dxa"/>
            <w:vAlign w:val="bottom"/>
            <w:shd w:val="clear" w:color="auto" w:fill="BF5B5A"/>
          </w:tcPr>
          <w:p>
            <w:pPr>
              <w:spacing w:after="0"/>
              <w:rPr>
                <w:sz w:val="16"/>
                <w:szCs w:val="16"/>
                <w:color w:val="auto"/>
              </w:rPr>
            </w:pPr>
          </w:p>
        </w:tc>
        <w:tc>
          <w:tcPr>
            <w:tcW w:w="136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 of Specific</w:t>
            </w:r>
          </w:p>
        </w:tc>
        <w:tc>
          <w:tcPr>
            <w:tcW w:w="280" w:type="dxa"/>
            <w:vAlign w:val="bottom"/>
            <w:shd w:val="clear" w:color="auto" w:fill="BF5B5A"/>
          </w:tcPr>
          <w:p>
            <w:pPr>
              <w:spacing w:after="0"/>
              <w:rPr>
                <w:sz w:val="16"/>
                <w:szCs w:val="16"/>
                <w:color w:val="auto"/>
              </w:rPr>
            </w:pPr>
          </w:p>
        </w:tc>
        <w:tc>
          <w:tcPr>
            <w:tcW w:w="1480" w:type="dxa"/>
            <w:vAlign w:val="bottom"/>
            <w:shd w:val="clear" w:color="auto" w:fill="BF5B5A"/>
          </w:tcPr>
          <w:p>
            <w:pPr>
              <w:jc w:val="right"/>
              <w:ind w:right="19"/>
              <w:spacing w:after="0"/>
              <w:rPr>
                <w:sz w:val="20"/>
                <w:szCs w:val="20"/>
                <w:color w:val="auto"/>
              </w:rPr>
            </w:pPr>
            <w:r>
              <w:rPr>
                <w:rFonts w:ascii="Arial" w:cs="Arial" w:eastAsia="Arial" w:hAnsi="Arial"/>
                <w:sz w:val="16"/>
                <w:szCs w:val="16"/>
                <w:b w:val="1"/>
                <w:bCs w:val="1"/>
                <w:color w:val="FFFFFF"/>
                <w:w w:val="95"/>
              </w:rPr>
              <w:t>Payout Factor as a</w:t>
            </w:r>
          </w:p>
        </w:tc>
        <w:tc>
          <w:tcPr>
            <w:tcW w:w="140" w:type="dxa"/>
            <w:vAlign w:val="bottom"/>
            <w:shd w:val="clear" w:color="auto" w:fill="BF5B5A"/>
          </w:tcPr>
          <w:p>
            <w:pPr>
              <w:spacing w:after="0"/>
              <w:rPr>
                <w:sz w:val="16"/>
                <w:szCs w:val="16"/>
                <w:color w:val="auto"/>
              </w:rPr>
            </w:pPr>
          </w:p>
        </w:tc>
      </w:tr>
      <w:tr>
        <w:trPr>
          <w:trHeight w:val="217"/>
        </w:trPr>
        <w:tc>
          <w:tcPr>
            <w:tcW w:w="210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​Performance Level</w:t>
            </w:r>
          </w:p>
        </w:tc>
        <w:tc>
          <w:tcPr>
            <w:tcW w:w="1040" w:type="dxa"/>
            <w:vAlign w:val="bottom"/>
            <w:shd w:val="clear" w:color="auto" w:fill="BF5B5A"/>
          </w:tcPr>
          <w:p>
            <w:pPr>
              <w:ind w:left="500"/>
              <w:spacing w:after="0"/>
              <w:rPr>
                <w:sz w:val="20"/>
                <w:szCs w:val="20"/>
                <w:color w:val="auto"/>
              </w:rPr>
            </w:pPr>
            <w:r>
              <w:rPr>
                <w:rFonts w:ascii="Arial" w:cs="Arial" w:eastAsia="Arial" w:hAnsi="Arial"/>
                <w:sz w:val="16"/>
                <w:szCs w:val="16"/>
                <w:b w:val="1"/>
                <w:bCs w:val="1"/>
                <w:color w:val="FFFFFF"/>
              </w:rPr>
              <w:t>​ ​</w:t>
            </w:r>
          </w:p>
        </w:tc>
        <w:tc>
          <w:tcPr>
            <w:tcW w:w="2040" w:type="dxa"/>
            <w:vAlign w:val="bottom"/>
            <w:gridSpan w:val="2"/>
            <w:shd w:val="clear" w:color="auto" w:fill="BF5B5A"/>
          </w:tcPr>
          <w:p>
            <w:pPr>
              <w:jc w:val="center"/>
              <w:ind w:right="19"/>
              <w:spacing w:after="0"/>
              <w:rPr>
                <w:sz w:val="20"/>
                <w:szCs w:val="20"/>
                <w:color w:val="auto"/>
              </w:rPr>
            </w:pPr>
            <w:r>
              <w:rPr>
                <w:rFonts w:ascii="Arial" w:cs="Arial" w:eastAsia="Arial" w:hAnsi="Arial"/>
                <w:sz w:val="16"/>
                <w:szCs w:val="16"/>
                <w:b w:val="1"/>
                <w:bCs w:val="1"/>
                <w:color w:val="FFFFFF"/>
                <w:w w:val="95"/>
              </w:rPr>
              <w:t>($ in thousands)</w:t>
            </w:r>
          </w:p>
        </w:tc>
        <w:tc>
          <w:tcPr>
            <w:tcW w:w="2100" w:type="dxa"/>
            <w:vAlign w:val="bottom"/>
            <w:gridSpan w:val="2"/>
            <w:shd w:val="clear" w:color="auto" w:fill="BF5B5A"/>
          </w:tcPr>
          <w:p>
            <w:pPr>
              <w:ind w:left="440"/>
              <w:spacing w:after="0"/>
              <w:rPr>
                <w:sz w:val="20"/>
                <w:szCs w:val="20"/>
                <w:color w:val="auto"/>
              </w:rPr>
            </w:pPr>
            <w:r>
              <w:rPr>
                <w:rFonts w:ascii="Arial" w:cs="Arial" w:eastAsia="Arial" w:hAnsi="Arial"/>
                <w:sz w:val="16"/>
                <w:szCs w:val="16"/>
                <w:b w:val="1"/>
                <w:bCs w:val="1"/>
                <w:color w:val="FFFFFF"/>
              </w:rPr>
              <w:t>​ ​ Component Earned</w:t>
            </w:r>
          </w:p>
        </w:tc>
        <w:tc>
          <w:tcPr>
            <w:tcW w:w="1760" w:type="dxa"/>
            <w:vAlign w:val="bottom"/>
            <w:gridSpan w:val="2"/>
            <w:shd w:val="clear" w:color="auto" w:fill="BF5B5A"/>
          </w:tcPr>
          <w:p>
            <w:pPr>
              <w:jc w:val="right"/>
              <w:ind w:right="19"/>
              <w:spacing w:after="0"/>
              <w:rPr>
                <w:sz w:val="20"/>
                <w:szCs w:val="20"/>
                <w:color w:val="auto"/>
              </w:rPr>
            </w:pPr>
            <w:r>
              <w:rPr>
                <w:rFonts w:ascii="Arial" w:cs="Arial" w:eastAsia="Arial" w:hAnsi="Arial"/>
                <w:sz w:val="16"/>
                <w:szCs w:val="16"/>
                <w:b w:val="1"/>
                <w:bCs w:val="1"/>
                <w:color w:val="FFFFFF"/>
              </w:rPr>
              <w:t>​ ​ % of Target Award</w:t>
            </w:r>
          </w:p>
        </w:tc>
        <w:tc>
          <w:tcPr>
            <w:tcW w:w="14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w:t>
            </w:r>
          </w:p>
        </w:tc>
      </w:tr>
      <w:tr>
        <w:trPr>
          <w:trHeight w:val="242"/>
        </w:trPr>
        <w:tc>
          <w:tcPr>
            <w:tcW w:w="2100" w:type="dxa"/>
            <w:vAlign w:val="bottom"/>
          </w:tcPr>
          <w:p>
            <w:pPr>
              <w:ind w:left="100"/>
              <w:spacing w:after="0"/>
              <w:rPr>
                <w:sz w:val="20"/>
                <w:szCs w:val="20"/>
                <w:color w:val="auto"/>
              </w:rPr>
            </w:pPr>
            <w:r>
              <w:rPr>
                <w:rFonts w:ascii="Arial" w:cs="Arial" w:eastAsia="Arial" w:hAnsi="Arial"/>
                <w:sz w:val="16"/>
                <w:szCs w:val="16"/>
                <w:b w:val="1"/>
                <w:bCs w:val="1"/>
                <w:color w:val="auto"/>
              </w:rPr>
              <w:t>Core Net Income</w:t>
            </w:r>
          </w:p>
        </w:tc>
        <w:tc>
          <w:tcPr>
            <w:tcW w:w="1040" w:type="dxa"/>
            <w:vAlign w:val="bottom"/>
          </w:tcPr>
          <w:p>
            <w:pPr>
              <w:spacing w:after="0"/>
              <w:rPr>
                <w:sz w:val="21"/>
                <w:szCs w:val="21"/>
                <w:color w:val="auto"/>
              </w:rPr>
            </w:pPr>
          </w:p>
        </w:tc>
        <w:tc>
          <w:tcPr>
            <w:tcW w:w="480" w:type="dxa"/>
            <w:vAlign w:val="bottom"/>
          </w:tcPr>
          <w:p>
            <w:pPr>
              <w:ind w:left="420"/>
              <w:spacing w:after="0"/>
              <w:rPr>
                <w:sz w:val="20"/>
                <w:szCs w:val="20"/>
                <w:color w:val="auto"/>
              </w:rPr>
            </w:pPr>
            <w:r>
              <w:rPr>
                <w:rFonts w:ascii="Arial" w:cs="Arial" w:eastAsia="Arial" w:hAnsi="Arial"/>
                <w:sz w:val="16"/>
                <w:szCs w:val="16"/>
                <w:color w:val="BF5B5A"/>
                <w:w w:val="70"/>
              </w:rPr>
              <w:t>•</w:t>
            </w:r>
          </w:p>
        </w:tc>
        <w:tc>
          <w:tcPr>
            <w:tcW w:w="1560" w:type="dxa"/>
            <w:vAlign w:val="bottom"/>
          </w:tcPr>
          <w:p>
            <w:pPr>
              <w:ind w:left="100"/>
              <w:spacing w:after="0"/>
              <w:rPr>
                <w:sz w:val="20"/>
                <w:szCs w:val="20"/>
                <w:color w:val="auto"/>
              </w:rPr>
            </w:pPr>
            <w:r>
              <w:rPr>
                <w:rFonts w:ascii="Arial" w:cs="Arial" w:eastAsia="Arial" w:hAnsi="Arial"/>
                <w:sz w:val="16"/>
                <w:szCs w:val="16"/>
                <w:color w:val="auto"/>
              </w:rPr>
              <w:t>$248,854</w:t>
            </w: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1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​(50% weight)</w:t>
            </w:r>
          </w:p>
        </w:tc>
        <w:tc>
          <w:tcPr>
            <w:tcW w:w="10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 ​</w:t>
            </w:r>
          </w:p>
        </w:tc>
        <w:tc>
          <w:tcPr>
            <w:tcW w:w="480" w:type="dxa"/>
            <w:vAlign w:val="bottom"/>
            <w:tcBorders>
              <w:bottom w:val="single" w:sz="8" w:color="7F7F7F"/>
            </w:tcBorders>
          </w:tcPr>
          <w:p>
            <w:pPr>
              <w:ind w:left="420"/>
              <w:spacing w:after="0"/>
              <w:rPr>
                <w:sz w:val="20"/>
                <w:szCs w:val="20"/>
                <w:color w:val="auto"/>
              </w:rPr>
            </w:pPr>
            <w:r>
              <w:rPr>
                <w:rFonts w:ascii="Arial" w:cs="Arial" w:eastAsia="Arial" w:hAnsi="Arial"/>
                <w:sz w:val="16"/>
                <w:szCs w:val="16"/>
                <w:color w:val="BF5B5A"/>
                <w:w w:val="70"/>
              </w:rPr>
              <w:t>•</w:t>
            </w:r>
          </w:p>
        </w:tc>
        <w:tc>
          <w:tcPr>
            <w:tcW w:w="15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90% of target</w:t>
            </w:r>
          </w:p>
        </w:tc>
        <w:tc>
          <w:tcPr>
            <w:tcW w:w="740" w:type="dxa"/>
            <w:vAlign w:val="bottom"/>
            <w:tcBorders>
              <w:bottom w:val="single" w:sz="8" w:color="7F7F7F"/>
            </w:tcBorders>
          </w:tcPr>
          <w:p>
            <w:pPr>
              <w:ind w:left="44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7F7F7F"/>
            </w:tcBorders>
          </w:tcPr>
          <w:p>
            <w:pPr>
              <w:ind w:left="5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0%</w:t>
            </w:r>
          </w:p>
        </w:tc>
        <w:tc>
          <w:tcPr>
            <w:tcW w:w="28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7F7F7F"/>
            </w:tcBorders>
          </w:tcPr>
          <w:p>
            <w:pPr>
              <w:jc w:val="right"/>
              <w:ind w:right="399"/>
              <w:spacing w:after="0"/>
              <w:rPr>
                <w:sz w:val="20"/>
                <w:szCs w:val="20"/>
                <w:color w:val="auto"/>
              </w:rPr>
            </w:pPr>
            <w:r>
              <w:rPr>
                <w:rFonts w:ascii="Arial" w:cs="Arial" w:eastAsia="Arial" w:hAnsi="Arial"/>
                <w:sz w:val="16"/>
                <w:szCs w:val="16"/>
                <w:color w:val="auto"/>
              </w:rPr>
              <w:t>​ 0%</w:t>
            </w:r>
          </w:p>
        </w:tc>
        <w:tc>
          <w:tcPr>
            <w:tcW w:w="14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36"/>
        </w:trPr>
        <w:tc>
          <w:tcPr>
            <w:tcW w:w="2100" w:type="dxa"/>
            <w:vAlign w:val="bottom"/>
          </w:tcPr>
          <w:p>
            <w:pPr>
              <w:ind w:left="100"/>
              <w:spacing w:after="0"/>
              <w:rPr>
                <w:sz w:val="20"/>
                <w:szCs w:val="20"/>
                <w:color w:val="auto"/>
              </w:rPr>
            </w:pPr>
            <w:r>
              <w:rPr>
                <w:rFonts w:ascii="Arial" w:cs="Arial" w:eastAsia="Arial" w:hAnsi="Arial"/>
                <w:sz w:val="16"/>
                <w:szCs w:val="16"/>
                <w:b w:val="1"/>
                <w:bCs w:val="1"/>
                <w:color w:val="auto"/>
              </w:rPr>
              <w:t>Asset Quality Metric</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4"/>
        </w:trPr>
        <w:tc>
          <w:tcPr>
            <w:tcW w:w="2100" w:type="dxa"/>
            <w:vAlign w:val="bottom"/>
            <w:tcBorders>
              <w:bottom w:val="single" w:sz="8" w:color="BF5B5A"/>
            </w:tcBorders>
          </w:tcPr>
          <w:p>
            <w:pPr>
              <w:ind w:left="40"/>
              <w:spacing w:after="0" w:line="28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(20% weight)</w:t>
            </w:r>
          </w:p>
        </w:tc>
        <w:tc>
          <w:tcPr>
            <w:tcW w:w="1040" w:type="dxa"/>
            <w:vAlign w:val="bottom"/>
            <w:tcBorders>
              <w:bottom w:val="single" w:sz="8" w:color="BF5B5A"/>
            </w:tcBorders>
          </w:tcPr>
          <w:p>
            <w:pPr>
              <w:ind w:left="500"/>
              <w:spacing w:after="0"/>
              <w:rPr>
                <w:sz w:val="20"/>
                <w:szCs w:val="20"/>
                <w:color w:val="auto"/>
              </w:rPr>
            </w:pPr>
            <w:r>
              <w:rPr>
                <w:rFonts w:ascii="Arial" w:cs="Arial" w:eastAsia="Arial" w:hAnsi="Arial"/>
                <w:sz w:val="16"/>
                <w:szCs w:val="16"/>
                <w:color w:val="auto"/>
              </w:rPr>
              <w:t>​ ​</w:t>
            </w:r>
          </w:p>
        </w:tc>
        <w:tc>
          <w:tcPr>
            <w:tcW w:w="480" w:type="dxa"/>
            <w:vAlign w:val="bottom"/>
            <w:tcBorders>
              <w:bottom w:val="single" w:sz="8" w:color="BF5B5A"/>
            </w:tcBorders>
          </w:tcPr>
          <w:p>
            <w:pPr>
              <w:ind w:left="420"/>
              <w:spacing w:after="0"/>
              <w:rPr>
                <w:sz w:val="20"/>
                <w:szCs w:val="20"/>
                <w:color w:val="auto"/>
              </w:rPr>
            </w:pPr>
            <w:r>
              <w:rPr>
                <w:rFonts w:ascii="Arial" w:cs="Arial" w:eastAsia="Arial" w:hAnsi="Arial"/>
                <w:sz w:val="16"/>
                <w:szCs w:val="16"/>
                <w:color w:val="BF5B5A"/>
                <w:w w:val="70"/>
              </w:rPr>
              <w:t>•</w:t>
            </w:r>
          </w:p>
        </w:tc>
        <w:tc>
          <w:tcPr>
            <w:tcW w:w="1560" w:type="dxa"/>
            <w:vAlign w:val="bottom"/>
            <w:tcBorders>
              <w:bottom w:val="single" w:sz="8" w:color="BF5B5A"/>
            </w:tcBorders>
          </w:tcPr>
          <w:p>
            <w:pPr>
              <w:ind w:left="100"/>
              <w:spacing w:after="0"/>
              <w:rPr>
                <w:sz w:val="20"/>
                <w:szCs w:val="20"/>
                <w:color w:val="auto"/>
              </w:rPr>
            </w:pPr>
            <w:r>
              <w:rPr>
                <w:rFonts w:ascii="Arial" w:cs="Arial" w:eastAsia="Arial" w:hAnsi="Arial"/>
                <w:sz w:val="16"/>
                <w:szCs w:val="16"/>
                <w:color w:val="auto"/>
              </w:rPr>
              <w:t>0.12%</w:t>
            </w:r>
          </w:p>
        </w:tc>
        <w:tc>
          <w:tcPr>
            <w:tcW w:w="740" w:type="dxa"/>
            <w:vAlign w:val="bottom"/>
            <w:tcBorders>
              <w:bottom w:val="single" w:sz="8" w:color="BF5B5A"/>
            </w:tcBorders>
          </w:tcPr>
          <w:p>
            <w:pPr>
              <w:ind w:left="44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BF5B5A"/>
            </w:tcBorders>
          </w:tcPr>
          <w:p>
            <w:pPr>
              <w:ind w:left="500"/>
              <w:spacing w:after="0" w:line="28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​150%</w:t>
            </w:r>
          </w:p>
        </w:tc>
        <w:tc>
          <w:tcPr>
            <w:tcW w:w="280" w:type="dxa"/>
            <w:vAlign w:val="bottom"/>
            <w:tcBorders>
              <w:bottom w:val="single" w:sz="8" w:color="BF5B5A"/>
            </w:tcBorders>
          </w:tcPr>
          <w:p>
            <w:pPr>
              <w:ind w:left="60"/>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BF5B5A"/>
            </w:tcBorders>
          </w:tcPr>
          <w:p>
            <w:pPr>
              <w:jc w:val="right"/>
              <w:ind w:right="399"/>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105" w:lineRule="exact"/>
        <w:rPr>
          <w:sz w:val="20"/>
          <w:szCs w:val="20"/>
          <w:color w:val="auto"/>
        </w:rPr>
      </w:pPr>
    </w:p>
    <w:p>
      <w:pPr>
        <w:ind w:left="780" w:right="20"/>
        <w:spacing w:after="0" w:line="273" w:lineRule="auto"/>
        <w:rPr>
          <w:sz w:val="20"/>
          <w:szCs w:val="20"/>
          <w:color w:val="auto"/>
        </w:rPr>
      </w:pPr>
      <w:r>
        <w:rPr>
          <w:rFonts w:ascii="Arial" w:cs="Arial" w:eastAsia="Arial" w:hAnsi="Arial"/>
          <w:sz w:val="18"/>
          <w:szCs w:val="18"/>
          <w:color w:val="auto"/>
        </w:rPr>
        <w:t>Our NEOs are also evaluated on their individual performance, which determines 30% of the annual bonus payouts. Individual performance is evaluated across the following areas key to our business:</w:t>
      </w:r>
    </w:p>
    <w:p>
      <w:pPr>
        <w:spacing w:after="0" w:line="71" w:lineRule="exact"/>
        <w:rPr>
          <w:sz w:val="20"/>
          <w:szCs w:val="20"/>
          <w:color w:val="auto"/>
        </w:rPr>
      </w:pPr>
    </w:p>
    <w:p>
      <w:pPr>
        <w:ind w:left="1420" w:hanging="280"/>
        <w:spacing w:after="0"/>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execution on strategic priorities</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strategic planning and leadership</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financial management</w:t>
      </w:r>
    </w:p>
    <w:p>
      <w:pPr>
        <w:spacing w:after="0" w:line="144" w:lineRule="exact"/>
        <w:rPr>
          <w:rFonts w:ascii="Arial" w:cs="Arial" w:eastAsia="Arial" w:hAnsi="Arial"/>
          <w:sz w:val="18"/>
          <w:szCs w:val="18"/>
          <w:color w:val="BF5B5A"/>
        </w:rPr>
      </w:pPr>
    </w:p>
    <w:p>
      <w:pPr>
        <w:ind w:left="1420" w:hanging="280"/>
        <w:spacing w:after="0"/>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stockholder/investor relations</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regulatory relations</w:t>
      </w:r>
    </w:p>
    <w:p>
      <w:pPr>
        <w:spacing w:after="0" w:line="130" w:lineRule="exact"/>
        <w:rPr>
          <w:rFonts w:ascii="Arial" w:cs="Arial" w:eastAsia="Arial" w:hAnsi="Arial"/>
          <w:sz w:val="18"/>
          <w:szCs w:val="18"/>
          <w:color w:val="BF5B5A"/>
        </w:rPr>
      </w:pPr>
    </w:p>
    <w:p>
      <w:pPr>
        <w:ind w:left="1420" w:right="620" w:hanging="280"/>
        <w:spacing w:after="0" w:line="303" w:lineRule="auto"/>
        <w:tabs>
          <w:tab w:leader="none" w:pos="1420" w:val="left"/>
        </w:tabs>
        <w:numPr>
          <w:ilvl w:val="0"/>
          <w:numId w:val="110"/>
        </w:numPr>
        <w:rPr>
          <w:rFonts w:ascii="Arial" w:cs="Arial" w:eastAsia="Arial" w:hAnsi="Arial"/>
          <w:sz w:val="18"/>
          <w:szCs w:val="18"/>
          <w:color w:val="BF5B5A"/>
        </w:rPr>
      </w:pPr>
      <w:r>
        <w:rPr>
          <w:rFonts w:ascii="Arial" w:cs="Arial" w:eastAsia="Arial" w:hAnsi="Arial"/>
          <w:sz w:val="18"/>
          <w:szCs w:val="18"/>
          <w:color w:val="auto"/>
        </w:rPr>
        <w:t>talent management and organization effectiveness</w:t>
      </w:r>
    </w:p>
    <w:p>
      <w:pPr>
        <w:spacing w:after="0" w:line="71"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The Chief Executive Officer evaluates the performance of each of his direct reports (including each of Messrs. Moses, Dods, Arizumi and Char); and makes a recommendation to the Compensation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86" w:lineRule="auto"/>
        <w:rPr>
          <w:sz w:val="20"/>
          <w:szCs w:val="20"/>
          <w:color w:val="auto"/>
        </w:rPr>
      </w:pPr>
      <w:r>
        <w:rPr>
          <w:rFonts w:ascii="Arial" w:cs="Arial" w:eastAsia="Arial" w:hAnsi="Arial"/>
          <w:sz w:val="18"/>
          <w:szCs w:val="18"/>
          <w:color w:val="auto"/>
        </w:rPr>
        <w:t>Committee on the individual payout factor for each NEO (other than himself). For the CEO, the Compensation Committee reviews the results of an individual performance assessment that solicits feedback from each director regarding the CEO’s performance within the performance categories detailed above, as well as an overall qualitative performance assessment which may cover areas outside of the categories.</w:t>
      </w:r>
    </w:p>
    <w:p>
      <w:pPr>
        <w:spacing w:after="0" w:line="11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2023 annual bonus payouts, each NEO’s performance was assessed during the first quarter of 2024. The individual assessment considers the totality of the NEO’s performance, rather than assigning weightings to each of the six individual performance factor categories, and took the following into account when considering individual performance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151765</wp:posOffset>
            </wp:positionV>
            <wp:extent cx="5829300" cy="2825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829300"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580"/>
            <w:col w:w="4340"/>
          </w:cols>
          <w:pgMar w:left="580" w:top="97" w:right="1359" w:bottom="1440" w:gutter="0" w:footer="0" w:header="0"/>
          <w:type w:val="continuous"/>
        </w:sectPr>
      </w:pPr>
    </w:p>
    <w:p>
      <w:pPr>
        <w:spacing w:after="0" w:line="9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FFFFF"/>
        </w:rPr>
        <w:t>Named Executive</w:t>
      </w:r>
    </w:p>
    <w:p>
      <w:pPr>
        <w:spacing w:after="0" w:line="8" w:lineRule="exact"/>
        <w:rPr>
          <w:sz w:val="20"/>
          <w:szCs w:val="20"/>
          <w:color w:val="auto"/>
        </w:rPr>
      </w:pPr>
    </w:p>
    <w:p>
      <w:pPr>
        <w:ind w:left="880" w:hanging="100"/>
        <w:spacing w:after="0"/>
        <w:tabs>
          <w:tab w:leader="none" w:pos="880" w:val="left"/>
        </w:tabs>
        <w:numPr>
          <w:ilvl w:val="0"/>
          <w:numId w:val="111"/>
        </w:numPr>
        <w:rPr>
          <w:rFonts w:ascii="Arial" w:cs="Arial" w:eastAsia="Arial" w:hAnsi="Arial"/>
          <w:sz w:val="16"/>
          <w:szCs w:val="16"/>
          <w:b w:val="1"/>
          <w:bCs w:val="1"/>
          <w:color w:val="FFFFFF"/>
        </w:rPr>
      </w:pPr>
      <w:r>
        <w:rPr>
          <w:rFonts w:ascii="Arial" w:cs="Arial" w:eastAsia="Arial" w:hAnsi="Arial"/>
          <w:sz w:val="16"/>
          <w:szCs w:val="16"/>
          <w:b w:val="1"/>
          <w:bCs w:val="1"/>
          <w:color w:val="FFFFFF"/>
        </w:rPr>
        <w:t>Officer</w:t>
      </w:r>
    </w:p>
    <w:p>
      <w:pPr>
        <w:spacing w:after="0" w:line="83" w:lineRule="exact"/>
        <w:rPr>
          <w:rFonts w:ascii="Arial" w:cs="Arial" w:eastAsia="Arial" w:hAnsi="Arial"/>
          <w:sz w:val="16"/>
          <w:szCs w:val="16"/>
          <w:b w:val="1"/>
          <w:bCs w:val="1"/>
          <w:color w:val="FFFFFF"/>
        </w:rPr>
      </w:pPr>
    </w:p>
    <w:p>
      <w:pPr>
        <w:ind w:left="880" w:hanging="100"/>
        <w:spacing w:after="0" w:line="225" w:lineRule="auto"/>
        <w:tabs>
          <w:tab w:leader="none" w:pos="880" w:val="left"/>
        </w:tabs>
        <w:numPr>
          <w:ilvl w:val="0"/>
          <w:numId w:val="111"/>
        </w:numPr>
        <w:rPr>
          <w:rFonts w:ascii="Arial" w:cs="Arial" w:eastAsia="Arial" w:hAnsi="Arial"/>
          <w:sz w:val="32"/>
          <w:szCs w:val="32"/>
          <w:color w:val="auto"/>
          <w:vertAlign w:val="superscript"/>
        </w:rPr>
      </w:pPr>
      <w:r>
        <w:rPr>
          <w:rFonts w:ascii="Arial" w:cs="Arial" w:eastAsia="Arial" w:hAnsi="Arial"/>
          <w:sz w:val="16"/>
          <w:szCs w:val="16"/>
          <w:b w:val="1"/>
          <w:bCs w:val="1"/>
          <w:color w:val="auto"/>
        </w:rPr>
        <w:t xml:space="preserve">Robert S. Harrison </w:t>
      </w:r>
      <w:r>
        <w:rPr>
          <w:rFonts w:ascii="Arial" w:cs="Arial" w:eastAsia="Arial" w:hAnsi="Arial"/>
          <w:sz w:val="16"/>
          <w:szCs w:val="16"/>
          <w:color w:val="auto"/>
        </w:rPr>
        <w:t>Chairman, President and Chief Executive Officer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04" w:hanging="104"/>
        <w:spacing w:after="0"/>
        <w:tabs>
          <w:tab w:leader="none" w:pos="104" w:val="left"/>
        </w:tabs>
        <w:numPr>
          <w:ilvl w:val="0"/>
          <w:numId w:val="112"/>
        </w:numPr>
        <w:rPr>
          <w:rFonts w:ascii="Arial" w:cs="Arial" w:eastAsia="Arial" w:hAnsi="Arial"/>
          <w:sz w:val="16"/>
          <w:szCs w:val="16"/>
          <w:b w:val="1"/>
          <w:bCs w:val="1"/>
          <w:color w:val="FFFFFF"/>
        </w:rPr>
      </w:pPr>
      <w:r>
        <w:rPr>
          <w:rFonts w:ascii="Arial" w:cs="Arial" w:eastAsia="Arial" w:hAnsi="Arial"/>
          <w:sz w:val="16"/>
          <w:szCs w:val="16"/>
          <w:b w:val="1"/>
          <w:bCs w:val="1"/>
          <w:color w:val="FFFFFF"/>
        </w:rPr>
        <w:t>​ Individual Performance Highlights</w:t>
      </w:r>
      <w:r>
        <w:rPr>
          <w:rFonts w:ascii="Arial" w:cs="Arial" w:eastAsia="Arial" w:hAnsi="Arial"/>
          <w:sz w:val="19"/>
          <w:szCs w:val="19"/>
          <w:b w:val="1"/>
          <w:bCs w:val="1"/>
          <w:color w:val="FFFFFF"/>
          <w:vertAlign w:val="superscript"/>
        </w:rPr>
        <w:t>(1)</w:t>
      </w:r>
    </w:p>
    <w:p>
      <w:pPr>
        <w:spacing w:after="0" w:line="51" w:lineRule="exact"/>
        <w:rPr>
          <w:rFonts w:ascii="Arial" w:cs="Arial" w:eastAsia="Arial" w:hAnsi="Arial"/>
          <w:sz w:val="16"/>
          <w:szCs w:val="16"/>
          <w:b w:val="1"/>
          <w:bCs w:val="1"/>
          <w:color w:val="FFFFFF"/>
        </w:rPr>
      </w:pPr>
    </w:p>
    <w:p>
      <w:pPr>
        <w:ind w:left="444" w:hanging="444"/>
        <w:spacing w:after="0" w:line="189" w:lineRule="auto"/>
        <w:tabs>
          <w:tab w:leader="none" w:pos="102" w:val="left"/>
        </w:tabs>
        <w:numPr>
          <w:ilvl w:val="0"/>
          <w:numId w:val="112"/>
        </w:numPr>
        <w:rPr>
          <w:rFonts w:ascii="Arial" w:cs="Arial" w:eastAsia="Arial" w:hAnsi="Arial"/>
          <w:sz w:val="32"/>
          <w:szCs w:val="32"/>
          <w:color w:val="auto"/>
          <w:vertAlign w:val="superscript"/>
        </w:rPr>
      </w:pPr>
      <w:r>
        <w:rPr>
          <w:rFonts w:ascii="Arial" w:cs="Arial" w:eastAsia="Arial" w:hAnsi="Arial"/>
          <w:sz w:val="32"/>
          <w:szCs w:val="32"/>
          <w:color w:val="000000"/>
          <w:vertAlign w:val="superscript"/>
        </w:rPr>
        <w:t>​</w:t>
      </w:r>
      <w:r>
        <w:rPr>
          <w:rFonts w:ascii="Arial" w:cs="Arial" w:eastAsia="Arial" w:hAnsi="Arial"/>
          <w:sz w:val="16"/>
          <w:szCs w:val="16"/>
          <w:color w:val="BF5B5A"/>
        </w:rPr>
        <w:t xml:space="preserve"> • </w:t>
      </w:r>
      <w:r>
        <w:rPr>
          <w:rFonts w:ascii="Arial" w:cs="Arial" w:eastAsia="Arial" w:hAnsi="Arial"/>
          <w:sz w:val="16"/>
          <w:szCs w:val="16"/>
          <w:color w:val="000000"/>
        </w:rPr>
        <w:t>Continued strong operational and risk management results in a challenging banking</w:t>
      </w:r>
      <w:r>
        <w:rPr>
          <w:rFonts w:ascii="Arial" w:cs="Arial" w:eastAsia="Arial" w:hAnsi="Arial"/>
          <w:sz w:val="16"/>
          <w:szCs w:val="16"/>
          <w:color w:val="BF5B5A"/>
        </w:rPr>
        <w:t xml:space="preserve"> </w:t>
      </w:r>
      <w:r>
        <w:rPr>
          <w:rFonts w:ascii="Arial" w:cs="Arial" w:eastAsia="Arial" w:hAnsi="Arial"/>
          <w:sz w:val="16"/>
          <w:szCs w:val="16"/>
          <w:color w:val="000000"/>
        </w:rPr>
        <w:t>environment:</w:t>
      </w:r>
    </w:p>
    <w:p>
      <w:pPr>
        <w:spacing w:after="0" w:line="55" w:lineRule="exact"/>
        <w:rPr>
          <w:rFonts w:ascii="Arial" w:cs="Arial" w:eastAsia="Arial" w:hAnsi="Arial"/>
          <w:sz w:val="32"/>
          <w:szCs w:val="32"/>
          <w:color w:val="auto"/>
          <w:vertAlign w:val="superscript"/>
        </w:rPr>
      </w:pPr>
    </w:p>
    <w:p>
      <w:pPr>
        <w:ind w:left="744" w:hanging="168"/>
        <w:spacing w:after="0"/>
        <w:tabs>
          <w:tab w:leader="none" w:pos="744" w:val="left"/>
        </w:tabs>
        <w:numPr>
          <w:ilvl w:val="1"/>
          <w:numId w:val="112"/>
        </w:numPr>
        <w:rPr>
          <w:rFonts w:ascii="Arial" w:cs="Arial" w:eastAsia="Arial" w:hAnsi="Arial"/>
          <w:sz w:val="16"/>
          <w:szCs w:val="16"/>
          <w:color w:val="BF5B5A"/>
        </w:rPr>
      </w:pPr>
      <w:r>
        <w:rPr>
          <w:rFonts w:ascii="Arial" w:cs="Arial" w:eastAsia="Arial" w:hAnsi="Arial"/>
          <w:sz w:val="16"/>
          <w:szCs w:val="16"/>
          <w:color w:val="auto"/>
        </w:rPr>
        <w:t>Steady, balanced loan growth</w:t>
      </w:r>
    </w:p>
    <w:p>
      <w:pPr>
        <w:spacing w:after="0" w:line="72" w:lineRule="exact"/>
        <w:rPr>
          <w:rFonts w:ascii="Arial" w:cs="Arial" w:eastAsia="Arial" w:hAnsi="Arial"/>
          <w:sz w:val="16"/>
          <w:szCs w:val="16"/>
          <w:color w:val="BF5B5A"/>
        </w:rPr>
      </w:pPr>
    </w:p>
    <w:p>
      <w:pPr>
        <w:ind w:left="744" w:hanging="168"/>
        <w:spacing w:after="0"/>
        <w:tabs>
          <w:tab w:leader="none" w:pos="744" w:val="left"/>
        </w:tabs>
        <w:numPr>
          <w:ilvl w:val="1"/>
          <w:numId w:val="112"/>
        </w:numPr>
        <w:rPr>
          <w:rFonts w:ascii="Arial" w:cs="Arial" w:eastAsia="Arial" w:hAnsi="Arial"/>
          <w:sz w:val="16"/>
          <w:szCs w:val="16"/>
          <w:color w:val="BF5B5A"/>
        </w:rPr>
      </w:pPr>
      <w:r>
        <w:rPr>
          <w:rFonts w:ascii="Arial" w:cs="Arial" w:eastAsia="Arial" w:hAnsi="Arial"/>
          <w:sz w:val="16"/>
          <w:szCs w:val="16"/>
          <w:color w:val="auto"/>
        </w:rPr>
        <w:t>Strong capital and liquidity positions</w:t>
      </w:r>
    </w:p>
    <w:p>
      <w:pPr>
        <w:spacing w:after="0" w:line="72" w:lineRule="exact"/>
        <w:rPr>
          <w:rFonts w:ascii="Arial" w:cs="Arial" w:eastAsia="Arial" w:hAnsi="Arial"/>
          <w:sz w:val="16"/>
          <w:szCs w:val="16"/>
          <w:color w:val="BF5B5A"/>
        </w:rPr>
      </w:pPr>
    </w:p>
    <w:p>
      <w:pPr>
        <w:ind w:left="744" w:hanging="168"/>
        <w:spacing w:after="0"/>
        <w:tabs>
          <w:tab w:leader="none" w:pos="744" w:val="left"/>
        </w:tabs>
        <w:numPr>
          <w:ilvl w:val="1"/>
          <w:numId w:val="112"/>
        </w:numPr>
        <w:rPr>
          <w:rFonts w:ascii="Arial" w:cs="Arial" w:eastAsia="Arial" w:hAnsi="Arial"/>
          <w:sz w:val="16"/>
          <w:szCs w:val="16"/>
          <w:color w:val="BF5B5A"/>
        </w:rPr>
      </w:pPr>
      <w:r>
        <w:rPr>
          <w:rFonts w:ascii="Arial" w:cs="Arial" w:eastAsia="Arial" w:hAnsi="Arial"/>
          <w:sz w:val="16"/>
          <w:szCs w:val="16"/>
          <w:color w:val="auto"/>
        </w:rPr>
        <w:t>Excellent credit quality</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36" w:lineRule="exact"/>
        <w:rPr>
          <w:sz w:val="20"/>
          <w:szCs w:val="20"/>
          <w:color w:val="auto"/>
        </w:rPr>
      </w:pPr>
    </w:p>
    <w:p>
      <w:pPr>
        <w:sectPr>
          <w:pgSz w:w="11900" w:h="16838" w:orient="portrait"/>
          <w:cols w:equalWidth="0" w:num="3">
            <w:col w:w="2420" w:space="196"/>
            <w:col w:w="6644" w:space="600"/>
            <w:col w:w="100"/>
          </w:cols>
          <w:pgMar w:left="580" w:top="97" w:right="1359" w:bottom="1440" w:gutter="0" w:footer="0" w:header="0"/>
          <w:type w:val="continuous"/>
        </w:sectPr>
      </w:pPr>
    </w:p>
    <w:p>
      <w:pPr>
        <w:ind w:left="3060" w:right="540" w:hanging="156"/>
        <w:spacing w:after="0" w:line="321" w:lineRule="auto"/>
        <w:tabs>
          <w:tab w:leader="none" w:pos="3060" w:val="left"/>
        </w:tabs>
        <w:numPr>
          <w:ilvl w:val="0"/>
          <w:numId w:val="113"/>
        </w:numPr>
        <w:rPr>
          <w:rFonts w:ascii="Arial" w:cs="Arial" w:eastAsia="Arial" w:hAnsi="Arial"/>
          <w:sz w:val="16"/>
          <w:szCs w:val="16"/>
          <w:color w:val="BF5B5A"/>
        </w:rPr>
      </w:pPr>
      <w:r>
        <w:rPr>
          <w:rFonts w:ascii="Arial" w:cs="Arial" w:eastAsia="Arial" w:hAnsi="Arial"/>
          <w:sz w:val="16"/>
          <w:szCs w:val="16"/>
          <w:color w:val="auto"/>
        </w:rPr>
        <w:t>Spearheaded significant advancements in executing the strategic plan, demonstrating substantial progress, particularly in prioritized digital initiatives</w:t>
      </w:r>
    </w:p>
    <w:p>
      <w:pPr>
        <w:spacing w:after="0" w:line="34" w:lineRule="exact"/>
        <w:rPr>
          <w:rFonts w:ascii="Arial" w:cs="Arial" w:eastAsia="Arial" w:hAnsi="Arial"/>
          <w:sz w:val="16"/>
          <w:szCs w:val="16"/>
          <w:color w:val="BF5B5A"/>
        </w:rPr>
      </w:pPr>
    </w:p>
    <w:p>
      <w:pPr>
        <w:ind w:left="3060" w:right="180" w:hanging="156"/>
        <w:spacing w:after="0" w:line="321" w:lineRule="auto"/>
        <w:tabs>
          <w:tab w:leader="none" w:pos="3060" w:val="left"/>
        </w:tabs>
        <w:numPr>
          <w:ilvl w:val="0"/>
          <w:numId w:val="113"/>
        </w:numPr>
        <w:rPr>
          <w:rFonts w:ascii="Arial" w:cs="Arial" w:eastAsia="Arial" w:hAnsi="Arial"/>
          <w:sz w:val="16"/>
          <w:szCs w:val="16"/>
          <w:color w:val="BF5B5A"/>
        </w:rPr>
      </w:pPr>
      <w:r>
        <w:rPr>
          <w:rFonts w:ascii="Arial" w:cs="Arial" w:eastAsia="Arial" w:hAnsi="Arial"/>
          <w:sz w:val="16"/>
          <w:szCs w:val="16"/>
          <w:color w:val="auto"/>
        </w:rPr>
        <w:t>Championed the “Culture Renovation” initiative, driving positive change and alignment with organizational goals, resulting in enhanced employee engagement and productivity</w:t>
      </w:r>
    </w:p>
    <w:p>
      <w:pPr>
        <w:spacing w:after="0" w:line="34" w:lineRule="exact"/>
        <w:rPr>
          <w:rFonts w:ascii="Arial" w:cs="Arial" w:eastAsia="Arial" w:hAnsi="Arial"/>
          <w:sz w:val="16"/>
          <w:szCs w:val="16"/>
          <w:color w:val="BF5B5A"/>
        </w:rPr>
      </w:pPr>
    </w:p>
    <w:p>
      <w:pPr>
        <w:jc w:val="both"/>
        <w:ind w:left="3060" w:right="960" w:hanging="156"/>
        <w:spacing w:after="0" w:line="321" w:lineRule="auto"/>
        <w:tabs>
          <w:tab w:leader="none" w:pos="3060" w:val="left"/>
        </w:tabs>
        <w:numPr>
          <w:ilvl w:val="0"/>
          <w:numId w:val="113"/>
        </w:numPr>
        <w:rPr>
          <w:rFonts w:ascii="Arial" w:cs="Arial" w:eastAsia="Arial" w:hAnsi="Arial"/>
          <w:sz w:val="16"/>
          <w:szCs w:val="16"/>
          <w:color w:val="BF5B5A"/>
        </w:rPr>
      </w:pPr>
      <w:r>
        <w:rPr>
          <w:rFonts w:ascii="Arial" w:cs="Arial" w:eastAsia="Arial" w:hAnsi="Arial"/>
          <w:sz w:val="16"/>
          <w:szCs w:val="16"/>
          <w:color w:val="auto"/>
        </w:rPr>
        <w:t>Finalized the core conversion, resulting in heightened customer experience and satisfaction, enriched employee experience, and optimized front-end processing</w:t>
      </w:r>
    </w:p>
    <w:p>
      <w:pPr>
        <w:spacing w:after="0" w:line="20" w:lineRule="exact"/>
        <w:rPr>
          <w:rFonts w:ascii="Arial" w:cs="Arial" w:eastAsia="Arial" w:hAnsi="Arial"/>
          <w:sz w:val="16"/>
          <w:szCs w:val="16"/>
          <w:color w:val="BF5B5A"/>
        </w:rPr>
      </w:pPr>
    </w:p>
    <w:p>
      <w:pPr>
        <w:ind w:left="3060" w:right="320" w:hanging="156"/>
        <w:spacing w:after="0" w:line="299" w:lineRule="auto"/>
        <w:tabs>
          <w:tab w:leader="none" w:pos="3060" w:val="left"/>
        </w:tabs>
        <w:numPr>
          <w:ilvl w:val="0"/>
          <w:numId w:val="113"/>
        </w:numPr>
        <w:rPr>
          <w:rFonts w:ascii="Arial" w:cs="Arial" w:eastAsia="Arial" w:hAnsi="Arial"/>
          <w:sz w:val="16"/>
          <w:szCs w:val="16"/>
          <w:color w:val="BF5B5A"/>
        </w:rPr>
      </w:pPr>
      <w:r>
        <w:rPr>
          <w:rFonts w:ascii="Arial" w:cs="Arial" w:eastAsia="Arial" w:hAnsi="Arial"/>
          <w:sz w:val="16"/>
          <w:szCs w:val="16"/>
          <w:color w:val="auto"/>
        </w:rPr>
        <w:t>Served as a prominent ambassador within the geographical markets served by the Bank, exhibiting strong leadership, including board memberships, both locally in Hawaii and nationally</w:t>
      </w:r>
    </w:p>
    <w:tbl>
      <w:tblPr>
        <w:tblLayout w:type="fixed"/>
        <w:tblInd w:w="780" w:type="dxa"/>
        <w:tblCellMar>
          <w:top w:w="0" w:type="dxa"/>
          <w:left w:w="0" w:type="dxa"/>
          <w:bottom w:w="0" w:type="dxa"/>
          <w:right w:w="0" w:type="dxa"/>
        </w:tblCellMar>
      </w:tblPr>
      <w:tr>
        <w:trPr>
          <w:trHeight w:val="278"/>
        </w:trPr>
        <w:tc>
          <w:tcPr>
            <w:tcW w:w="1800" w:type="dxa"/>
            <w:vAlign w:val="bottom"/>
            <w:tcBorders>
              <w:top w:val="single" w:sz="8" w:color="7F7F7F"/>
            </w:tcBorders>
          </w:tcPr>
          <w:p>
            <w:pPr>
              <w:spacing w:after="0" w:line="27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James M. Moses</w:t>
            </w:r>
          </w:p>
        </w:tc>
        <w:tc>
          <w:tcPr>
            <w:tcW w:w="440" w:type="dxa"/>
            <w:vAlign w:val="bottom"/>
            <w:tcBorders>
              <w:top w:val="single" w:sz="8" w:color="7F7F7F"/>
            </w:tcBorders>
          </w:tcPr>
          <w:p>
            <w:pPr>
              <w:jc w:val="right"/>
              <w:spacing w:after="0" w:line="278"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BF5B5A"/>
                <w:vertAlign w:val="subscript"/>
              </w:rPr>
              <w:t>•</w:t>
            </w:r>
          </w:p>
        </w:tc>
        <w:tc>
          <w:tcPr>
            <w:tcW w:w="6940" w:type="dxa"/>
            <w:vAlign w:val="bottom"/>
            <w:tcBorders>
              <w:top w:val="single" w:sz="8" w:color="7F7F7F"/>
            </w:tcBorders>
          </w:tcPr>
          <w:p>
            <w:pPr>
              <w:ind w:left="40"/>
              <w:spacing w:after="0" w:line="278" w:lineRule="exact"/>
              <w:rPr>
                <w:sz w:val="20"/>
                <w:szCs w:val="20"/>
                <w:color w:val="auto"/>
              </w:rPr>
            </w:pPr>
            <w:r>
              <w:rPr>
                <w:rFonts w:ascii="Arial" w:cs="Arial" w:eastAsia="Arial" w:hAnsi="Arial"/>
                <w:sz w:val="16"/>
                <w:szCs w:val="16"/>
                <w:color w:val="auto"/>
              </w:rPr>
              <w:t xml:space="preserve">Ensured consistent, precise, and timely reporting of financial performance and regulatory   </w:t>
            </w:r>
            <w:r>
              <w:rPr>
                <w:rFonts w:ascii="Arial" w:cs="Arial" w:eastAsia="Arial" w:hAnsi="Arial"/>
                <w:sz w:val="32"/>
                <w:szCs w:val="32"/>
                <w:color w:val="auto"/>
                <w:vertAlign w:val="superscript"/>
              </w:rPr>
              <w:t>​</w:t>
            </w:r>
          </w:p>
        </w:tc>
        <w:tc>
          <w:tcPr>
            <w:tcW w:w="0" w:type="dxa"/>
            <w:vAlign w:val="bottom"/>
          </w:tcPr>
          <w:p>
            <w:pPr>
              <w:spacing w:after="0"/>
              <w:rPr>
                <w:sz w:val="1"/>
                <w:szCs w:val="1"/>
                <w:color w:val="auto"/>
              </w:rPr>
            </w:pPr>
          </w:p>
        </w:tc>
      </w:tr>
      <w:tr>
        <w:trPr>
          <w:trHeight w:val="215"/>
        </w:trPr>
        <w:tc>
          <w:tcPr>
            <w:tcW w:w="1800" w:type="dxa"/>
            <w:vAlign w:val="bottom"/>
          </w:tcPr>
          <w:p>
            <w:pPr>
              <w:ind w:left="100"/>
              <w:spacing w:after="0"/>
              <w:rPr>
                <w:sz w:val="20"/>
                <w:szCs w:val="20"/>
                <w:color w:val="auto"/>
              </w:rPr>
            </w:pPr>
            <w:r>
              <w:rPr>
                <w:rFonts w:ascii="Arial" w:cs="Arial" w:eastAsia="Arial" w:hAnsi="Arial"/>
                <w:sz w:val="16"/>
                <w:szCs w:val="16"/>
                <w:color w:val="auto"/>
              </w:rPr>
              <w:t>Vice Chairman and</w:t>
            </w:r>
          </w:p>
        </w:tc>
        <w:tc>
          <w:tcPr>
            <w:tcW w:w="44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obligations</w:t>
            </w:r>
          </w:p>
        </w:tc>
        <w:tc>
          <w:tcPr>
            <w:tcW w:w="0" w:type="dxa"/>
            <w:vAlign w:val="bottom"/>
          </w:tcPr>
          <w:p>
            <w:pPr>
              <w:spacing w:after="0"/>
              <w:rPr>
                <w:sz w:val="1"/>
                <w:szCs w:val="1"/>
                <w:color w:val="auto"/>
              </w:rPr>
            </w:pPr>
          </w:p>
        </w:tc>
      </w:tr>
      <w:tr>
        <w:trPr>
          <w:trHeight w:val="216"/>
        </w:trPr>
        <w:tc>
          <w:tcPr>
            <w:tcW w:w="180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BF5B5A"/>
              </w:rPr>
              <w:t>•</w:t>
            </w:r>
          </w:p>
        </w:tc>
        <w:tc>
          <w:tcPr>
            <w:tcW w:w="6940" w:type="dxa"/>
            <w:vAlign w:val="bottom"/>
            <w:vMerge w:val="restart"/>
          </w:tcPr>
          <w:p>
            <w:pPr>
              <w:ind w:left="40"/>
              <w:spacing w:after="0"/>
              <w:rPr>
                <w:sz w:val="20"/>
                <w:szCs w:val="20"/>
                <w:color w:val="auto"/>
              </w:rPr>
            </w:pPr>
            <w:r>
              <w:rPr>
                <w:rFonts w:ascii="Arial" w:cs="Arial" w:eastAsia="Arial" w:hAnsi="Arial"/>
                <w:sz w:val="16"/>
                <w:szCs w:val="16"/>
                <w:color w:val="auto"/>
              </w:rPr>
              <w:t>Established creative ways to maintain expense discipline and development of better</w:t>
            </w: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6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communication tools relating to the budgeting and strategic planning processes</w:t>
            </w: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BF5B5A"/>
              </w:rPr>
              <w:t>•</w:t>
            </w:r>
          </w:p>
        </w:tc>
        <w:tc>
          <w:tcPr>
            <w:tcW w:w="6940" w:type="dxa"/>
            <w:vAlign w:val="bottom"/>
          </w:tcPr>
          <w:p>
            <w:pPr>
              <w:ind w:left="40"/>
              <w:spacing w:after="0"/>
              <w:rPr>
                <w:sz w:val="20"/>
                <w:szCs w:val="20"/>
                <w:color w:val="auto"/>
              </w:rPr>
            </w:pPr>
            <w:r>
              <w:rPr>
                <w:rFonts w:ascii="Arial" w:cs="Arial" w:eastAsia="Arial" w:hAnsi="Arial"/>
                <w:sz w:val="16"/>
                <w:szCs w:val="16"/>
                <w:color w:val="auto"/>
              </w:rPr>
              <w:t>Executed various transactions to improve future earnings and profitability metrics while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reducing liquidity risk and managing capital</w:t>
            </w:r>
          </w:p>
        </w:tc>
        <w:tc>
          <w:tcPr>
            <w:tcW w:w="0" w:type="dxa"/>
            <w:vAlign w:val="bottom"/>
          </w:tcPr>
          <w:p>
            <w:pPr>
              <w:spacing w:after="0"/>
              <w:rPr>
                <w:sz w:val="1"/>
                <w:szCs w:val="1"/>
                <w:color w:val="auto"/>
              </w:rPr>
            </w:pPr>
          </w:p>
        </w:tc>
      </w:tr>
      <w:tr>
        <w:trPr>
          <w:trHeight w:val="69"/>
        </w:trPr>
        <w:tc>
          <w:tcPr>
            <w:tcW w:w="1800" w:type="dxa"/>
            <w:vAlign w:val="bottom"/>
            <w:tcBorders>
              <w:bottom w:val="single" w:sz="8" w:color="7F7F7F"/>
            </w:tcBorders>
          </w:tcPr>
          <w:p>
            <w:pPr>
              <w:spacing w:after="0"/>
              <w:rPr>
                <w:sz w:val="6"/>
                <w:szCs w:val="6"/>
                <w:color w:val="auto"/>
              </w:rPr>
            </w:pPr>
          </w:p>
        </w:tc>
        <w:tc>
          <w:tcPr>
            <w:tcW w:w="440" w:type="dxa"/>
            <w:vAlign w:val="bottom"/>
            <w:tcBorders>
              <w:bottom w:val="single" w:sz="8" w:color="7F7F7F"/>
            </w:tcBorders>
          </w:tcPr>
          <w:p>
            <w:pPr>
              <w:spacing w:after="0"/>
              <w:rPr>
                <w:sz w:val="6"/>
                <w:szCs w:val="6"/>
                <w:color w:val="auto"/>
              </w:rPr>
            </w:pPr>
          </w:p>
        </w:tc>
        <w:tc>
          <w:tcPr>
            <w:tcW w:w="694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type w:val="continuous"/>
        </w:sectPr>
      </w:pPr>
    </w:p>
    <w:p>
      <w:pPr>
        <w:spacing w:after="0" w:line="326"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54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50"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182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Named Executive</w:t>
            </w:r>
          </w:p>
        </w:tc>
        <w:tc>
          <w:tcPr>
            <w:tcW w:w="240" w:type="dxa"/>
            <w:vAlign w:val="bottom"/>
            <w:shd w:val="clear" w:color="auto" w:fill="BF5B5A"/>
          </w:tcPr>
          <w:p>
            <w:pPr>
              <w:spacing w:after="0"/>
              <w:rPr>
                <w:sz w:val="19"/>
                <w:szCs w:val="19"/>
                <w:color w:val="auto"/>
              </w:rPr>
            </w:pPr>
          </w:p>
        </w:tc>
        <w:tc>
          <w:tcPr>
            <w:tcW w:w="180" w:type="dxa"/>
            <w:vAlign w:val="bottom"/>
            <w:shd w:val="clear" w:color="auto" w:fill="BF5B5A"/>
          </w:tcPr>
          <w:p>
            <w:pPr>
              <w:spacing w:after="0"/>
              <w:rPr>
                <w:sz w:val="19"/>
                <w:szCs w:val="19"/>
                <w:color w:val="auto"/>
              </w:rPr>
            </w:pPr>
          </w:p>
        </w:tc>
        <w:tc>
          <w:tcPr>
            <w:tcW w:w="6820" w:type="dxa"/>
            <w:vAlign w:val="bottom"/>
            <w:shd w:val="clear" w:color="auto" w:fill="BF5B5A"/>
          </w:tcPr>
          <w:p>
            <w:pPr>
              <w:spacing w:after="0"/>
              <w:rPr>
                <w:sz w:val="19"/>
                <w:szCs w:val="19"/>
                <w:color w:val="auto"/>
              </w:rPr>
            </w:pPr>
          </w:p>
        </w:tc>
        <w:tc>
          <w:tcPr>
            <w:tcW w:w="120" w:type="dxa"/>
            <w:vAlign w:val="bottom"/>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2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 Officer</w:t>
            </w:r>
          </w:p>
        </w:tc>
        <w:tc>
          <w:tcPr>
            <w:tcW w:w="7240" w:type="dxa"/>
            <w:vAlign w:val="bottom"/>
            <w:gridSpan w:val="3"/>
            <w:shd w:val="clear" w:color="auto" w:fill="BF5B5A"/>
          </w:tcPr>
          <w:p>
            <w:pPr>
              <w:ind w:left="20"/>
              <w:spacing w:after="0" w:line="216" w:lineRule="exact"/>
              <w:rPr>
                <w:sz w:val="20"/>
                <w:szCs w:val="20"/>
                <w:color w:val="auto"/>
              </w:rPr>
            </w:pPr>
            <w:r>
              <w:rPr>
                <w:rFonts w:ascii="Arial" w:cs="Arial" w:eastAsia="Arial" w:hAnsi="Arial"/>
                <w:sz w:val="16"/>
                <w:szCs w:val="16"/>
                <w:b w:val="1"/>
                <w:bCs w:val="1"/>
                <w:color w:val="FFFFFF"/>
              </w:rPr>
              <w:t>​ ​ Individual Performance Highlights</w:t>
            </w:r>
            <w:r>
              <w:rPr>
                <w:rFonts w:ascii="Arial" w:cs="Arial" w:eastAsia="Arial" w:hAnsi="Arial"/>
                <w:sz w:val="19"/>
                <w:szCs w:val="19"/>
                <w:b w:val="1"/>
                <w:bCs w:val="1"/>
                <w:color w:val="FFFFFF"/>
                <w:vertAlign w:val="superscript"/>
              </w:rPr>
              <w:t>(1)</w:t>
            </w:r>
          </w:p>
        </w:tc>
        <w:tc>
          <w:tcPr>
            <w:tcW w:w="12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83"/>
        </w:trPr>
        <w:tc>
          <w:tcPr>
            <w:tcW w:w="1820" w:type="dxa"/>
            <w:vAlign w:val="bottom"/>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Christopher L. Dods</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Effectively guided and completed the Enterprise Organizational Alignment initiative driving</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20" w:type="dxa"/>
            <w:vAlign w:val="bottom"/>
          </w:tcPr>
          <w:p>
            <w:pPr>
              <w:ind w:left="100"/>
              <w:spacing w:after="0"/>
              <w:rPr>
                <w:sz w:val="20"/>
                <w:szCs w:val="20"/>
                <w:color w:val="auto"/>
              </w:rPr>
            </w:pPr>
            <w:r>
              <w:rPr>
                <w:rFonts w:ascii="Arial" w:cs="Arial" w:eastAsia="Arial" w:hAnsi="Arial"/>
                <w:sz w:val="16"/>
                <w:szCs w:val="16"/>
                <w:color w:val="auto"/>
              </w:rPr>
              <w:t>Vice Chairman and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staffing efficiencies and improved organizational structure to support the Bank’s strategic</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00"/>
              <w:spacing w:after="0"/>
              <w:rPr>
                <w:sz w:val="20"/>
                <w:szCs w:val="20"/>
                <w:color w:val="auto"/>
              </w:rPr>
            </w:pPr>
            <w:r>
              <w:rPr>
                <w:rFonts w:ascii="Arial" w:cs="Arial" w:eastAsia="Arial" w:hAnsi="Arial"/>
                <w:sz w:val="16"/>
                <w:szCs w:val="16"/>
                <w:color w:val="auto"/>
              </w:rPr>
              <w:t>Chief Operating Officer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direction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Revamped and executed protocols and governance structures to steer the Bank’s strategic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initiatives towards delivering short-term gains and long-term 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Established a comprehensive framework for enterprise planning, prioritization, sequencing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and alignment to more accurately assess strategic needs in relation to available resources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Enhanced the overall customer banking experience by converting to a new online banking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platform that offers additional features and expanded accessibility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Drove operational efficiencies reducing back office operational expenses, automation of</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manual workstreams, and improved internal customer workflows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7F7F7F"/>
            </w:tcBorders>
          </w:tcPr>
          <w:p>
            <w:pPr>
              <w:spacing w:after="0"/>
              <w:rPr>
                <w:sz w:val="2"/>
                <w:szCs w:val="2"/>
                <w:color w:val="auto"/>
              </w:rPr>
            </w:pPr>
          </w:p>
        </w:tc>
        <w:tc>
          <w:tcPr>
            <w:tcW w:w="240" w:type="dxa"/>
            <w:vAlign w:val="bottom"/>
            <w:tcBorders>
              <w:bottom w:val="single" w:sz="8" w:color="7F7F7F"/>
            </w:tcBorders>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682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Alan H. Arizumi</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Expanded financial wellness initiatives to all markets and grew Assets Under</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20" w:type="dxa"/>
            <w:vAlign w:val="bottom"/>
          </w:tcPr>
          <w:p>
            <w:pPr>
              <w:ind w:left="100"/>
              <w:spacing w:after="0"/>
              <w:rPr>
                <w:sz w:val="20"/>
                <w:szCs w:val="20"/>
                <w:color w:val="auto"/>
              </w:rPr>
            </w:pPr>
            <w:r>
              <w:rPr>
                <w:rFonts w:ascii="Arial" w:cs="Arial" w:eastAsia="Arial" w:hAnsi="Arial"/>
                <w:sz w:val="16"/>
                <w:szCs w:val="16"/>
                <w:color w:val="auto"/>
              </w:rPr>
              <w:t>Vice Chairman, Wealth</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Administration (AUA) by $2.1 billion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00"/>
              <w:spacing w:after="0"/>
              <w:rPr>
                <w:sz w:val="20"/>
                <w:szCs w:val="20"/>
                <w:color w:val="auto"/>
              </w:rPr>
            </w:pPr>
            <w:r>
              <w:rPr>
                <w:rFonts w:ascii="Arial" w:cs="Arial" w:eastAsia="Arial" w:hAnsi="Arial"/>
                <w:sz w:val="16"/>
                <w:szCs w:val="16"/>
                <w:color w:val="auto"/>
              </w:rPr>
              <w:t>Management Group</w:t>
            </w:r>
          </w:p>
        </w:tc>
        <w:tc>
          <w:tcPr>
            <w:tcW w:w="240" w:type="dxa"/>
            <w:vAlign w:val="bottom"/>
          </w:tcPr>
          <w:p>
            <w:pPr>
              <w:spacing w:after="0"/>
              <w:rPr>
                <w:sz w:val="18"/>
                <w:szCs w:val="18"/>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BF5B5A"/>
              </w:rPr>
              <w:t>•</w:t>
            </w:r>
          </w:p>
        </w:tc>
        <w:tc>
          <w:tcPr>
            <w:tcW w:w="6820" w:type="dxa"/>
            <w:vAlign w:val="bottom"/>
            <w:vMerge w:val="restart"/>
          </w:tcPr>
          <w:p>
            <w:pPr>
              <w:ind w:left="40"/>
              <w:spacing w:after="0"/>
              <w:rPr>
                <w:sz w:val="20"/>
                <w:szCs w:val="20"/>
                <w:color w:val="auto"/>
              </w:rPr>
            </w:pPr>
            <w:r>
              <w:rPr>
                <w:rFonts w:ascii="Arial" w:cs="Arial" w:eastAsia="Arial" w:hAnsi="Arial"/>
                <w:sz w:val="16"/>
                <w:szCs w:val="16"/>
                <w:color w:val="auto"/>
              </w:rPr>
              <w:t>Achieved record-breaking levels of non-interest income and gross contributions, surpassing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budget projections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Increased productivity and competitiveness by implementing digital technology tools to</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streamline processes, enhance efficiency and improve accessibility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Cultivated a high-performance culture centered on continuous learning, a growth mindset,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leadership development, innovation and accountability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Concluded Phase 1 of the Culture Shaping initiative under the Bank’s Enterprise Strategic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820" w:type="dxa"/>
            <w:vAlign w:val="bottom"/>
            <w:tcBorders>
              <w:bottom w:val="single" w:sz="8" w:color="7F7F7F"/>
            </w:tcBorders>
          </w:tcPr>
          <w:p>
            <w:pPr>
              <w:spacing w:after="0"/>
              <w:rPr>
                <w:sz w:val="2"/>
                <w:szCs w:val="2"/>
                <w:color w:val="auto"/>
              </w:rPr>
            </w:pPr>
          </w:p>
        </w:tc>
        <w:tc>
          <w:tcPr>
            <w:tcW w:w="240" w:type="dxa"/>
            <w:vAlign w:val="bottom"/>
            <w:tcBorders>
              <w:bottom w:val="single" w:sz="8" w:color="7F7F7F"/>
            </w:tcBorders>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6820" w:type="dxa"/>
            <w:vAlign w:val="bottom"/>
            <w:tcBorders>
              <w:bottom w:val="single" w:sz="8" w:color="7F7F7F"/>
            </w:tcBorders>
          </w:tcPr>
          <w:p>
            <w:pPr>
              <w:spacing w:after="0"/>
              <w:rPr>
                <w:sz w:val="2"/>
                <w:szCs w:val="2"/>
                <w:color w:val="auto"/>
              </w:rPr>
            </w:pPr>
          </w:p>
        </w:tc>
        <w:tc>
          <w:tcPr>
            <w:tcW w:w="12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820" w:type="dxa"/>
            <w:vAlign w:val="bottom"/>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Neill A. Char</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ind w:left="60"/>
              <w:spacing w:after="0"/>
              <w:rPr>
                <w:sz w:val="20"/>
                <w:szCs w:val="20"/>
                <w:color w:val="auto"/>
              </w:rPr>
            </w:pPr>
            <w:r>
              <w:rPr>
                <w:rFonts w:ascii="Arial" w:cs="Arial" w:eastAsia="Arial" w:hAnsi="Arial"/>
                <w:sz w:val="16"/>
                <w:szCs w:val="16"/>
                <w:color w:val="BF5B5A"/>
              </w:rPr>
              <w:t>•</w:t>
            </w:r>
          </w:p>
        </w:tc>
        <w:tc>
          <w:tcPr>
            <w:tcW w:w="6820" w:type="dxa"/>
            <w:vAlign w:val="bottom"/>
          </w:tcPr>
          <w:p>
            <w:pPr>
              <w:ind w:left="40"/>
              <w:spacing w:after="0"/>
              <w:rPr>
                <w:sz w:val="20"/>
                <w:szCs w:val="20"/>
                <w:color w:val="auto"/>
              </w:rPr>
            </w:pPr>
            <w:r>
              <w:rPr>
                <w:rFonts w:ascii="Arial" w:cs="Arial" w:eastAsia="Arial" w:hAnsi="Arial"/>
                <w:sz w:val="16"/>
                <w:szCs w:val="16"/>
                <w:color w:val="auto"/>
              </w:rPr>
              <w:t>Implemented various technological enhancements and tools within the retail space to</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820" w:type="dxa"/>
            <w:vAlign w:val="bottom"/>
          </w:tcPr>
          <w:p>
            <w:pPr>
              <w:ind w:left="100"/>
              <w:spacing w:after="0"/>
              <w:rPr>
                <w:sz w:val="20"/>
                <w:szCs w:val="20"/>
                <w:color w:val="auto"/>
              </w:rPr>
            </w:pPr>
            <w:r>
              <w:rPr>
                <w:rFonts w:ascii="Arial" w:cs="Arial" w:eastAsia="Arial" w:hAnsi="Arial"/>
                <w:sz w:val="16"/>
                <w:szCs w:val="16"/>
                <w:color w:val="auto"/>
              </w:rPr>
              <w:t>Vice Chairman, Retail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improve the customer experience, banker engagement, retention, career pathing and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00"/>
              <w:spacing w:after="0"/>
              <w:rPr>
                <w:sz w:val="20"/>
                <w:szCs w:val="20"/>
                <w:color w:val="auto"/>
              </w:rPr>
            </w:pPr>
            <w:r>
              <w:rPr>
                <w:rFonts w:ascii="Arial" w:cs="Arial" w:eastAsia="Arial" w:hAnsi="Arial"/>
                <w:sz w:val="16"/>
                <w:szCs w:val="16"/>
                <w:color w:val="auto"/>
              </w:rPr>
              <w:t>and Commercial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20" w:type="dxa"/>
            <w:vAlign w:val="bottom"/>
          </w:tcPr>
          <w:p>
            <w:pPr>
              <w:ind w:left="40"/>
              <w:spacing w:after="0"/>
              <w:rPr>
                <w:sz w:val="20"/>
                <w:szCs w:val="20"/>
                <w:color w:val="auto"/>
              </w:rPr>
            </w:pPr>
            <w:r>
              <w:rPr>
                <w:rFonts w:ascii="Arial" w:cs="Arial" w:eastAsia="Arial" w:hAnsi="Arial"/>
                <w:sz w:val="16"/>
                <w:szCs w:val="16"/>
                <w:color w:val="auto"/>
              </w:rPr>
              <w:t>succession planning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100"/>
              <w:spacing w:after="0"/>
              <w:rPr>
                <w:sz w:val="20"/>
                <w:szCs w:val="20"/>
                <w:color w:val="auto"/>
              </w:rPr>
            </w:pPr>
            <w:r>
              <w:rPr>
                <w:rFonts w:ascii="Arial" w:cs="Arial" w:eastAsia="Arial" w:hAnsi="Arial"/>
                <w:sz w:val="16"/>
                <w:szCs w:val="16"/>
                <w:color w:val="auto"/>
              </w:rPr>
              <w:t>Banking Group</w:t>
            </w:r>
          </w:p>
        </w:tc>
        <w:tc>
          <w:tcPr>
            <w:tcW w:w="240" w:type="dxa"/>
            <w:vAlign w:val="bottom"/>
          </w:tcPr>
          <w:p>
            <w:pPr>
              <w:spacing w:after="0"/>
              <w:rPr>
                <w:sz w:val="18"/>
                <w:szCs w:val="18"/>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BF5B5A"/>
              </w:rPr>
              <w:t>•</w:t>
            </w:r>
          </w:p>
        </w:tc>
        <w:tc>
          <w:tcPr>
            <w:tcW w:w="6820" w:type="dxa"/>
            <w:vAlign w:val="bottom"/>
            <w:vMerge w:val="restart"/>
          </w:tcPr>
          <w:p>
            <w:pPr>
              <w:ind w:left="40"/>
              <w:spacing w:after="0"/>
              <w:rPr>
                <w:sz w:val="20"/>
                <w:szCs w:val="20"/>
                <w:color w:val="auto"/>
              </w:rPr>
            </w:pPr>
            <w:r>
              <w:rPr>
                <w:rFonts w:ascii="Arial" w:cs="Arial" w:eastAsia="Arial" w:hAnsi="Arial"/>
                <w:sz w:val="16"/>
                <w:szCs w:val="16"/>
                <w:color w:val="auto"/>
              </w:rPr>
              <w:t>Managed and led the Lahaina Fire crisis response, ensuring staff safety, arranging shelter,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060" w:right="280"/>
        <w:spacing w:after="0" w:line="321" w:lineRule="auto"/>
        <w:rPr>
          <w:sz w:val="20"/>
          <w:szCs w:val="20"/>
          <w:color w:val="auto"/>
        </w:rPr>
      </w:pPr>
      <w:r>
        <w:rPr>
          <w:rFonts w:ascii="Arial" w:cs="Arial" w:eastAsia="Arial" w:hAnsi="Arial"/>
          <w:sz w:val="16"/>
          <w:szCs w:val="16"/>
          <w:color w:val="auto"/>
        </w:rPr>
        <w:t>mobilizing emergency supplies and resources, deciding strategic directions and providing community support</w:t>
      </w:r>
    </w:p>
    <w:p>
      <w:pPr>
        <w:spacing w:after="0" w:line="21" w:lineRule="exact"/>
        <w:rPr>
          <w:sz w:val="20"/>
          <w:szCs w:val="20"/>
          <w:color w:val="auto"/>
        </w:rPr>
      </w:pPr>
    </w:p>
    <w:p>
      <w:pPr>
        <w:ind w:left="3060" w:right="480" w:hanging="156"/>
        <w:spacing w:after="0" w:line="321" w:lineRule="auto"/>
        <w:tabs>
          <w:tab w:leader="none" w:pos="3060" w:val="left"/>
        </w:tabs>
        <w:numPr>
          <w:ilvl w:val="1"/>
          <w:numId w:val="114"/>
        </w:numPr>
        <w:rPr>
          <w:rFonts w:ascii="Arial" w:cs="Arial" w:eastAsia="Arial" w:hAnsi="Arial"/>
          <w:sz w:val="16"/>
          <w:szCs w:val="16"/>
          <w:color w:val="BF5B5A"/>
        </w:rPr>
      </w:pPr>
      <w:r>
        <w:rPr>
          <w:rFonts w:ascii="Arial" w:cs="Arial" w:eastAsia="Arial" w:hAnsi="Arial"/>
          <w:sz w:val="16"/>
          <w:szCs w:val="16"/>
          <w:color w:val="auto"/>
        </w:rPr>
        <w:t>Maintained commercial loan growth and deposit balances amidst the uncertainties and complex challenges stemming from external challenges</w:t>
      </w:r>
    </w:p>
    <w:p>
      <w:pPr>
        <w:spacing w:after="0" w:line="20" w:lineRule="exact"/>
        <w:rPr>
          <w:rFonts w:ascii="Arial" w:cs="Arial" w:eastAsia="Arial" w:hAnsi="Arial"/>
          <w:sz w:val="16"/>
          <w:szCs w:val="16"/>
          <w:color w:val="BF5B5A"/>
        </w:rPr>
      </w:pPr>
    </w:p>
    <w:p>
      <w:pPr>
        <w:ind w:left="1140" w:right="60" w:hanging="360"/>
        <w:spacing w:after="0" w:line="291" w:lineRule="auto"/>
        <w:tabs>
          <w:tab w:leader="none" w:pos="11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Messrs. Mesick and Mizumoto’s employment terminated during 2023, and Messrs. Mesick and Mizumoto received bonuses in accordance with the terms of the Separation Agreements, which provided that each individual would be eligible to receive a discretionary bonus for 2023, pro rated for the portion of calendar year 2023 served, subject to the achievement of Company and individual performance goals; provided that the Company agreed to recommend to the Compensation Committee that each individual met expectations on all individual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-715645</wp:posOffset>
            </wp:positionV>
            <wp:extent cx="58293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15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46355</wp:posOffset>
            </wp:positionV>
            <wp:extent cx="27603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63"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Our NEOs and certain other employees receive grants of long- term, equity incentive compensation. These awards include performance-based awards under the First Hawaiian, Inc. Long Term Incentive Plan (the “LTIP”) and awards that vest over a period of time. The Compensation Committee sets performance goals under the LTIP for overlapping three-year performance periods. In 2023, the Compensation Committee decided to grant LTIP awards in the form of performance share units. In addition, the Compensation Committee decided to grant time-based restricted stock units under the Omnibus Plan. This approach was identical to the approach we utilized in 2022. For 2023, as was the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right="300"/>
        <w:spacing w:after="0" w:line="300" w:lineRule="auto"/>
        <w:rPr>
          <w:sz w:val="20"/>
          <w:szCs w:val="20"/>
          <w:color w:val="auto"/>
        </w:rPr>
      </w:pPr>
      <w:r>
        <w:rPr>
          <w:rFonts w:ascii="Arial" w:cs="Arial" w:eastAsia="Arial" w:hAnsi="Arial"/>
          <w:sz w:val="18"/>
          <w:szCs w:val="18"/>
          <w:color w:val="auto"/>
        </w:rPr>
        <w:t>case for 2022, 60% of equity awards consisted of performance share units and 40% consisted of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BF5B5A"/>
        </w:rPr>
        <w:t>Performance Share Units</w:t>
      </w:r>
    </w:p>
    <w:p>
      <w:pPr>
        <w:spacing w:after="0" w:line="171" w:lineRule="exact"/>
        <w:rPr>
          <w:sz w:val="20"/>
          <w:szCs w:val="20"/>
          <w:color w:val="auto"/>
        </w:rPr>
      </w:pPr>
    </w:p>
    <w:p>
      <w:pPr>
        <w:ind w:left="20" w:right="100"/>
        <w:spacing w:after="0" w:line="287" w:lineRule="auto"/>
        <w:rPr>
          <w:sz w:val="20"/>
          <w:szCs w:val="20"/>
          <w:color w:val="auto"/>
        </w:rPr>
      </w:pPr>
      <w:r>
        <w:rPr>
          <w:rFonts w:ascii="Arial" w:cs="Arial" w:eastAsia="Arial" w:hAnsi="Arial"/>
          <w:sz w:val="18"/>
          <w:szCs w:val="18"/>
          <w:color w:val="auto"/>
        </w:rPr>
        <w:t>The performance share units awarded for the 2023-2025 LTIP cycle (the “2023-2025 LTIP Awards”) provide for cliff vesting following the end of a three-year performance period, and can be earned between 0-200% of target based on performance. Performance is measured solely on a relative basis using two core return metrics and a modifier as follows:</w:t>
      </w:r>
    </w:p>
    <w:p>
      <w:pPr>
        <w:spacing w:after="0" w:line="586" w:lineRule="exact"/>
        <w:rPr>
          <w:sz w:val="20"/>
          <w:szCs w:val="20"/>
          <w:color w:val="auto"/>
        </w:rPr>
      </w:pPr>
    </w:p>
    <w:p>
      <w:pPr>
        <w:sectPr>
          <w:pgSz w:w="11900" w:h="16838" w:orient="portrait"/>
          <w:cols w:equalWidth="0" w:num="2">
            <w:col w:w="5060" w:space="540"/>
            <w:col w:w="4360"/>
          </w:cols>
          <w:pgMar w:left="580" w:top="97" w:right="1359" w:bottom="1440" w:gutter="0" w:footer="0" w:header="0"/>
          <w:type w:val="continuous"/>
        </w:sectPr>
      </w:pPr>
    </w:p>
    <w:p>
      <w:pPr>
        <w:spacing w:after="0" w:line="16"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55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6780"/>
        <w:spacing w:after="0"/>
        <w:rPr>
          <w:sz w:val="20"/>
          <w:szCs w:val="20"/>
          <w:color w:val="auto"/>
        </w:rPr>
      </w:pPr>
      <w:r>
        <w:rPr>
          <w:rFonts w:ascii="Arial" w:cs="Arial" w:eastAsia="Arial" w:hAnsi="Arial"/>
          <w:sz w:val="18"/>
          <w:szCs w:val="18"/>
          <w:b w:val="1"/>
          <w:bCs w:val="1"/>
          <w:color w:val="7F7F7F"/>
        </w:rPr>
        <w:t>EXECUTIVE COMPENSATION</w:t>
      </w:r>
    </w:p>
    <w:p>
      <w:pPr>
        <w:sectPr>
          <w:pgSz w:w="11900" w:h="16838" w:orient="portrait"/>
          <w:cols w:equalWidth="0" w:num="1">
            <w:col w:w="9960"/>
          </w:cols>
          <w:pgMar w:left="580" w:top="97" w:right="1359" w:bottom="1440" w:gutter="0" w:footer="0" w:header="0"/>
        </w:sectPr>
      </w:pPr>
    </w:p>
    <w:p>
      <w:pPr>
        <w:spacing w:after="0" w:line="279" w:lineRule="exact"/>
        <w:rPr>
          <w:sz w:val="20"/>
          <w:szCs w:val="20"/>
          <w:color w:val="auto"/>
        </w:rPr>
      </w:pPr>
    </w:p>
    <w:p>
      <w:pPr>
        <w:ind w:left="1420" w:right="340" w:hanging="280"/>
        <w:spacing w:after="0" w:line="292" w:lineRule="auto"/>
        <w:tabs>
          <w:tab w:leader="none" w:pos="1420" w:val="left"/>
        </w:tabs>
        <w:numPr>
          <w:ilvl w:val="0"/>
          <w:numId w:val="115"/>
        </w:numPr>
        <w:rPr>
          <w:rFonts w:ascii="Arial" w:cs="Arial" w:eastAsia="Arial" w:hAnsi="Arial"/>
          <w:sz w:val="18"/>
          <w:szCs w:val="18"/>
          <w:color w:val="BF5B5A"/>
        </w:rPr>
      </w:pPr>
      <w:r>
        <w:rPr>
          <w:rFonts w:ascii="Arial" w:cs="Arial" w:eastAsia="Arial" w:hAnsi="Arial"/>
          <w:sz w:val="18"/>
          <w:szCs w:val="18"/>
          <w:color w:val="auto"/>
        </w:rPr>
        <w:t>70% of earnout based on Return on Average Tangible Equity (ROATE) vs. Compensation Peer Group</w:t>
      </w:r>
    </w:p>
    <w:p>
      <w:pPr>
        <w:spacing w:after="0" w:line="68" w:lineRule="exact"/>
        <w:rPr>
          <w:rFonts w:ascii="Arial" w:cs="Arial" w:eastAsia="Arial" w:hAnsi="Arial"/>
          <w:sz w:val="18"/>
          <w:szCs w:val="18"/>
          <w:color w:val="BF5B5A"/>
        </w:rPr>
      </w:pPr>
    </w:p>
    <w:p>
      <w:pPr>
        <w:jc w:val="both"/>
        <w:ind w:left="1420" w:right="340" w:hanging="280"/>
        <w:spacing w:after="0" w:line="292" w:lineRule="auto"/>
        <w:tabs>
          <w:tab w:leader="none" w:pos="1420" w:val="left"/>
        </w:tabs>
        <w:numPr>
          <w:ilvl w:val="0"/>
          <w:numId w:val="115"/>
        </w:numPr>
        <w:rPr>
          <w:rFonts w:ascii="Arial" w:cs="Arial" w:eastAsia="Arial" w:hAnsi="Arial"/>
          <w:sz w:val="18"/>
          <w:szCs w:val="18"/>
          <w:color w:val="BF5B5A"/>
        </w:rPr>
      </w:pPr>
      <w:r>
        <w:rPr>
          <w:rFonts w:ascii="Arial" w:cs="Arial" w:eastAsia="Arial" w:hAnsi="Arial"/>
          <w:sz w:val="18"/>
          <w:szCs w:val="18"/>
          <w:color w:val="auto"/>
        </w:rPr>
        <w:t>30% of earnout based on Return on Average Tangible Assets (ROATA) vs. Compensation Peer Group</w:t>
      </w:r>
    </w:p>
    <w:p>
      <w:pPr>
        <w:spacing w:after="0" w:line="81" w:lineRule="exact"/>
        <w:rPr>
          <w:rFonts w:ascii="Arial" w:cs="Arial" w:eastAsia="Arial" w:hAnsi="Arial"/>
          <w:sz w:val="18"/>
          <w:szCs w:val="18"/>
          <w:color w:val="BF5B5A"/>
        </w:rPr>
      </w:pPr>
    </w:p>
    <w:p>
      <w:pPr>
        <w:ind w:left="1420" w:right="380" w:hanging="280"/>
        <w:spacing w:after="0" w:line="276" w:lineRule="auto"/>
        <w:tabs>
          <w:tab w:leader="none" w:pos="1420" w:val="left"/>
        </w:tabs>
        <w:numPr>
          <w:ilvl w:val="0"/>
          <w:numId w:val="115"/>
        </w:numPr>
        <w:rPr>
          <w:rFonts w:ascii="Arial" w:cs="Arial" w:eastAsia="Arial" w:hAnsi="Arial"/>
          <w:sz w:val="18"/>
          <w:szCs w:val="18"/>
          <w:color w:val="BF5B5A"/>
        </w:rPr>
      </w:pPr>
      <w:r>
        <w:rPr>
          <w:rFonts w:ascii="Arial" w:cs="Arial" w:eastAsia="Arial" w:hAnsi="Arial"/>
          <w:sz w:val="18"/>
          <w:szCs w:val="18"/>
          <w:color w:val="auto"/>
        </w:rPr>
        <w:t>+/-25% modified based on the Company’s TSR vs. KBW Regional Bank Index. Using the weightings presented above, ROATE, ROATA and TSR will be measured using the same performance schedule with the following associated payout factors:</w:t>
      </w:r>
    </w:p>
    <w:p>
      <w:pPr>
        <w:spacing w:after="0" w:line="15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BF5B5A"/>
        </w:rPr>
        <w:t>ROATE</w:t>
      </w:r>
      <w:r>
        <w:rPr>
          <w:rFonts w:ascii="Arial" w:cs="Arial" w:eastAsia="Arial" w:hAnsi="Arial"/>
          <w:sz w:val="26"/>
          <w:szCs w:val="26"/>
          <w:b w:val="1"/>
          <w:bCs w:val="1"/>
          <w:color w:val="BF5B5A"/>
          <w:vertAlign w:val="superscript"/>
        </w:rPr>
        <w:t>(1)</w:t>
      </w:r>
      <w:r>
        <w:rPr>
          <w:rFonts w:ascii="Arial" w:cs="Arial" w:eastAsia="Arial" w:hAnsi="Arial"/>
          <w:sz w:val="18"/>
          <w:szCs w:val="18"/>
          <w:b w:val="1"/>
          <w:bCs w:val="1"/>
          <w:color w:val="BF5B5A"/>
        </w:rPr>
        <w:t xml:space="preserve"> AND ROATA</w:t>
      </w:r>
      <w:r>
        <w:rPr>
          <w:rFonts w:ascii="Arial" w:cs="Arial" w:eastAsia="Arial" w:hAnsi="Arial"/>
          <w:sz w:val="26"/>
          <w:szCs w:val="26"/>
          <w:b w:val="1"/>
          <w:bCs w:val="1"/>
          <w:color w:val="BF5B5A"/>
          <w:vertAlign w:val="superscript"/>
        </w:rPr>
        <w:t>(2)</w:t>
      </w:r>
      <w:r>
        <w:rPr>
          <w:rFonts w:ascii="Arial" w:cs="Arial" w:eastAsia="Arial" w:hAnsi="Arial"/>
          <w:sz w:val="18"/>
          <w:szCs w:val="18"/>
          <w:b w:val="1"/>
          <w:bCs w:val="1"/>
          <w:color w:val="BF5B5A"/>
        </w:rPr>
        <w:t xml:space="preserve"> VS.</w:t>
      </w:r>
    </w:p>
    <w:p>
      <w:pPr>
        <w:ind w:left="1680"/>
        <w:spacing w:after="0"/>
        <w:rPr>
          <w:sz w:val="20"/>
          <w:szCs w:val="20"/>
          <w:color w:val="auto"/>
        </w:rPr>
      </w:pPr>
      <w:r>
        <w:rPr>
          <w:rFonts w:ascii="Arial" w:cs="Arial" w:eastAsia="Arial" w:hAnsi="Arial"/>
          <w:sz w:val="18"/>
          <w:szCs w:val="18"/>
          <w:b w:val="1"/>
          <w:bCs w:val="1"/>
          <w:color w:val="BF5B5A"/>
        </w:rPr>
        <w:t>COMPENSATION PEER GROUP</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368"/>
        </w:trPr>
        <w:tc>
          <w:tcPr>
            <w:tcW w:w="2140" w:type="dxa"/>
            <w:vAlign w:val="bottom"/>
            <w:shd w:val="clear" w:color="auto" w:fill="BF5B5A"/>
          </w:tcPr>
          <w:p>
            <w:pPr>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 Performance</w:t>
            </w:r>
          </w:p>
        </w:tc>
        <w:tc>
          <w:tcPr>
            <w:tcW w:w="500" w:type="dxa"/>
            <w:vAlign w:val="bottom"/>
            <w:shd w:val="clear" w:color="auto" w:fill="BF5B5A"/>
          </w:tcPr>
          <w:p>
            <w:pPr>
              <w:ind w:left="240"/>
              <w:spacing w:after="0"/>
              <w:rPr>
                <w:sz w:val="20"/>
                <w:szCs w:val="20"/>
                <w:color w:val="auto"/>
              </w:rPr>
            </w:pPr>
            <w:r>
              <w:rPr>
                <w:rFonts w:ascii="Arial" w:cs="Arial" w:eastAsia="Arial" w:hAnsi="Arial"/>
                <w:sz w:val="16"/>
                <w:szCs w:val="16"/>
                <w:b w:val="1"/>
                <w:bCs w:val="1"/>
                <w:color w:val="FFFFFF"/>
              </w:rPr>
              <w:t>​ ​</w:t>
            </w:r>
          </w:p>
        </w:tc>
        <w:tc>
          <w:tcPr>
            <w:tcW w:w="156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w w:val="96"/>
              </w:rPr>
              <w:t>% of Target Award</w:t>
            </w:r>
            <w:r>
              <w:rPr>
                <w:rFonts w:ascii="Arial" w:cs="Arial" w:eastAsia="Arial" w:hAnsi="Arial"/>
                <w:sz w:val="19"/>
                <w:szCs w:val="19"/>
                <w:b w:val="1"/>
                <w:bCs w:val="1"/>
                <w:color w:val="FFFFFF"/>
                <w:w w:val="96"/>
                <w:vertAlign w:val="superscript"/>
              </w:rPr>
              <w:t>(3)</w:t>
            </w:r>
          </w:p>
        </w:tc>
        <w:tc>
          <w:tcPr>
            <w:tcW w:w="14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r>
      <w:tr>
        <w:trPr>
          <w:trHeight w:val="283"/>
        </w:trPr>
        <w:tc>
          <w:tcPr>
            <w:tcW w:w="2140" w:type="dxa"/>
            <w:vAlign w:val="bottom"/>
            <w:tcBorders>
              <w:bottom w:val="single" w:sz="8" w:color="7F7F7F"/>
            </w:tcBorders>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75th percentile or higher</w:t>
            </w:r>
          </w:p>
        </w:tc>
        <w:tc>
          <w:tcPr>
            <w:tcW w:w="5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7F7F7F"/>
            </w:tcBorders>
            <w:gridSpan w:val="2"/>
          </w:tcPr>
          <w:p>
            <w:pPr>
              <w:jc w:val="right"/>
              <w:ind w:right="419"/>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​200%</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2140" w:type="dxa"/>
            <w:vAlign w:val="bottom"/>
            <w:tcBorders>
              <w:bottom w:val="single" w:sz="8" w:color="7F7F7F"/>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Median</w:t>
            </w:r>
          </w:p>
        </w:tc>
        <w:tc>
          <w:tcPr>
            <w:tcW w:w="5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1560" w:type="dxa"/>
            <w:vAlign w:val="bottom"/>
            <w:tcBorders>
              <w:bottom w:val="single" w:sz="8" w:color="7F7F7F"/>
            </w:tcBorders>
            <w:gridSpan w:val="2"/>
          </w:tcPr>
          <w:p>
            <w:pPr>
              <w:jc w:val="right"/>
              <w:ind w:right="419"/>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​100%</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2140" w:type="dxa"/>
            <w:vAlign w:val="bottom"/>
            <w:tcBorders>
              <w:bottom w:val="single" w:sz="8" w:color="7F7F7F"/>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30th percentile</w:t>
            </w:r>
          </w:p>
        </w:tc>
        <w:tc>
          <w:tcPr>
            <w:tcW w:w="5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7F7F7F"/>
            </w:tcBorders>
          </w:tcPr>
          <w:p>
            <w:pPr>
              <w:ind w:left="6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40" w:type="dxa"/>
            <w:vAlign w:val="bottom"/>
            <w:tcBorders>
              <w:bottom w:val="single" w:sz="8" w:color="7F7F7F"/>
            </w:tcBorders>
          </w:tcPr>
          <w:p>
            <w:pPr>
              <w:jc w:val="right"/>
              <w:ind w:right="419"/>
              <w:spacing w:after="0"/>
              <w:rPr>
                <w:sz w:val="20"/>
                <w:szCs w:val="20"/>
                <w:color w:val="auto"/>
              </w:rPr>
            </w:pPr>
            <w:r>
              <w:rPr>
                <w:rFonts w:ascii="Arial" w:cs="Arial" w:eastAsia="Arial" w:hAnsi="Arial"/>
                <w:sz w:val="16"/>
                <w:szCs w:val="16"/>
                <w:color w:val="auto"/>
                <w:w w:val="99"/>
              </w:rPr>
              <w:t>50%</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2140" w:type="dxa"/>
            <w:vAlign w:val="bottom"/>
            <w:tcBorders>
              <w:bottom w:val="single" w:sz="8" w:color="7F7F7F"/>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&lt;30th percentile</w:t>
            </w:r>
          </w:p>
        </w:tc>
        <w:tc>
          <w:tcPr>
            <w:tcW w:w="50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7F7F7F"/>
            </w:tcBorders>
          </w:tcPr>
          <w:p>
            <w:pPr>
              <w:ind w:left="6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40" w:type="dxa"/>
            <w:vAlign w:val="bottom"/>
            <w:tcBorders>
              <w:bottom w:val="single" w:sz="8" w:color="7F7F7F"/>
            </w:tcBorders>
          </w:tcPr>
          <w:p>
            <w:pPr>
              <w:jc w:val="right"/>
              <w:ind w:right="419"/>
              <w:spacing w:after="0"/>
              <w:rPr>
                <w:sz w:val="20"/>
                <w:szCs w:val="20"/>
                <w:color w:val="auto"/>
              </w:rPr>
            </w:pPr>
            <w:r>
              <w:rPr>
                <w:rFonts w:ascii="Arial" w:cs="Arial" w:eastAsia="Arial" w:hAnsi="Arial"/>
                <w:sz w:val="16"/>
                <w:szCs w:val="16"/>
                <w:color w:val="auto"/>
              </w:rPr>
              <w:t>0%</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bl>
    <w:p>
      <w:pPr>
        <w:spacing w:after="0" w:line="148" w:lineRule="exact"/>
        <w:rPr>
          <w:sz w:val="20"/>
          <w:szCs w:val="20"/>
          <w:color w:val="auto"/>
        </w:rPr>
      </w:pPr>
    </w:p>
    <w:p>
      <w:pPr>
        <w:ind w:left="1140" w:right="480" w:hanging="360"/>
        <w:spacing w:after="0" w:line="295" w:lineRule="auto"/>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ROATE is defined as the ratio of core net income to average tangible stockholders’ equity for FHI and reported net income to average tangible stockholders’ equity for the peer group.</w:t>
      </w:r>
    </w:p>
    <w:p>
      <w:pPr>
        <w:spacing w:after="0" w:line="53" w:lineRule="exact"/>
        <w:rPr>
          <w:rFonts w:ascii="Arial" w:cs="Arial" w:eastAsia="Arial" w:hAnsi="Arial"/>
          <w:sz w:val="16"/>
          <w:szCs w:val="16"/>
          <w:color w:val="auto"/>
        </w:rPr>
      </w:pPr>
    </w:p>
    <w:p>
      <w:pPr>
        <w:ind w:left="1140" w:right="480" w:hanging="360"/>
        <w:spacing w:after="0" w:line="295" w:lineRule="auto"/>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ROATA is defined as the ratio of core net income to average tangible assets for FHI and reported net income to average total tangible assets for the peer group.</w:t>
      </w:r>
    </w:p>
    <w:p>
      <w:pPr>
        <w:spacing w:after="0" w:line="40" w:lineRule="exact"/>
        <w:rPr>
          <w:rFonts w:ascii="Arial" w:cs="Arial" w:eastAsia="Arial" w:hAnsi="Arial"/>
          <w:sz w:val="16"/>
          <w:szCs w:val="16"/>
          <w:color w:val="auto"/>
        </w:rPr>
      </w:pPr>
    </w:p>
    <w:p>
      <w:pPr>
        <w:ind w:left="1140" w:right="660" w:hanging="360"/>
        <w:spacing w:after="0" w:line="321" w:lineRule="auto"/>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Payouts for results within the stated performance levels are interpolated on a straight-line basis.</w:t>
      </w:r>
    </w:p>
    <w:p>
      <w:pPr>
        <w:spacing w:after="0" w:line="25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BF5B5A"/>
        </w:rPr>
        <w:t>2023 NEO Long-Term Equity Awards</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awards were granted in 2023 to the NEOs: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BF5B5A"/>
        </w:rPr>
        <w:t>TSR VS. KBW REGIONAL BANK INDEX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560" w:type="dxa"/>
            <w:vAlign w:val="bottom"/>
            <w:shd w:val="clear" w:color="auto" w:fill="BF5B5A"/>
          </w:tcPr>
          <w:p>
            <w:pPr>
              <w:ind w:left="20"/>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 Performance</w:t>
            </w:r>
          </w:p>
        </w:tc>
        <w:tc>
          <w:tcPr>
            <w:tcW w:w="860" w:type="dxa"/>
            <w:vAlign w:val="bottom"/>
            <w:shd w:val="clear" w:color="auto" w:fill="BF5B5A"/>
          </w:tcPr>
          <w:p>
            <w:pPr>
              <w:ind w:left="620"/>
              <w:spacing w:after="0"/>
              <w:rPr>
                <w:sz w:val="20"/>
                <w:szCs w:val="20"/>
                <w:color w:val="auto"/>
              </w:rPr>
            </w:pPr>
            <w:r>
              <w:rPr>
                <w:rFonts w:ascii="Arial" w:cs="Arial" w:eastAsia="Arial" w:hAnsi="Arial"/>
                <w:sz w:val="16"/>
                <w:szCs w:val="16"/>
                <w:b w:val="1"/>
                <w:bCs w:val="1"/>
                <w:color w:val="FFFFFF"/>
              </w:rPr>
              <w:t>​ ​</w:t>
            </w:r>
          </w:p>
        </w:tc>
        <w:tc>
          <w:tcPr>
            <w:tcW w:w="80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w w:val="95"/>
              </w:rPr>
              <w:t>Modifier</w:t>
            </w:r>
            <w:r>
              <w:rPr>
                <w:rFonts w:ascii="Arial" w:cs="Arial" w:eastAsia="Arial" w:hAnsi="Arial"/>
                <w:sz w:val="19"/>
                <w:szCs w:val="19"/>
                <w:b w:val="1"/>
                <w:bCs w:val="1"/>
                <w:color w:val="FFFFFF"/>
                <w:w w:val="95"/>
                <w:vertAlign w:val="superscript"/>
              </w:rPr>
              <w:t>(1)</w:t>
            </w:r>
          </w:p>
        </w:tc>
        <w:tc>
          <w:tcPr>
            <w:tcW w:w="14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r>
      <w:tr>
        <w:trPr>
          <w:trHeight w:val="283"/>
        </w:trPr>
        <w:tc>
          <w:tcPr>
            <w:tcW w:w="2560" w:type="dxa"/>
            <w:vAlign w:val="bottom"/>
            <w:tcBorders>
              <w:bottom w:val="single" w:sz="8" w:color="7F7F7F"/>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75th percentile or higher</w:t>
            </w:r>
          </w:p>
        </w:tc>
        <w:tc>
          <w:tcPr>
            <w:tcW w:w="860" w:type="dxa"/>
            <w:vAlign w:val="bottom"/>
            <w:tcBorders>
              <w:bottom w:val="single" w:sz="8" w:color="7F7F7F"/>
            </w:tcBorders>
          </w:tcPr>
          <w:p>
            <w:pPr>
              <w:ind w:left="68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7F7F7F"/>
            </w:tcBorders>
          </w:tcPr>
          <w:p>
            <w:pPr>
              <w:ind w:left="2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​+25%</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2560" w:type="dxa"/>
            <w:vAlign w:val="bottom"/>
            <w:tcBorders>
              <w:bottom w:val="single" w:sz="8" w:color="7F7F7F"/>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Median</w:t>
            </w:r>
          </w:p>
        </w:tc>
        <w:tc>
          <w:tcPr>
            <w:tcW w:w="860" w:type="dxa"/>
            <w:vAlign w:val="bottom"/>
            <w:tcBorders>
              <w:bottom w:val="single" w:sz="8" w:color="7F7F7F"/>
            </w:tcBorders>
          </w:tcPr>
          <w:p>
            <w:pPr>
              <w:ind w:left="68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7F7F7F"/>
            </w:tcBorders>
          </w:tcPr>
          <w:p>
            <w:pPr>
              <w:ind w:left="2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0</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77"/>
        </w:trPr>
        <w:tc>
          <w:tcPr>
            <w:tcW w:w="2560" w:type="dxa"/>
            <w:vAlign w:val="bottom"/>
            <w:tcBorders>
              <w:bottom w:val="single" w:sz="8" w:color="7F7F7F"/>
            </w:tcBorders>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30th percentile or lower</w:t>
            </w:r>
          </w:p>
        </w:tc>
        <w:tc>
          <w:tcPr>
            <w:tcW w:w="860" w:type="dxa"/>
            <w:vAlign w:val="bottom"/>
            <w:tcBorders>
              <w:bottom w:val="single" w:sz="8" w:color="7F7F7F"/>
            </w:tcBorders>
          </w:tcPr>
          <w:p>
            <w:pPr>
              <w:ind w:left="68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7F7F7F"/>
            </w:tcBorders>
          </w:tcPr>
          <w:p>
            <w:pPr>
              <w:ind w:left="2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​-25%</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ind w:left="380" w:right="360" w:hanging="367"/>
        <w:spacing w:after="0" w:line="321" w:lineRule="auto"/>
        <w:tabs>
          <w:tab w:leader="none" w:pos="3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Payouts for results within the stated performance levels are interpolated on a straight-line basis.</w:t>
      </w:r>
    </w:p>
    <w:p>
      <w:pPr>
        <w:spacing w:after="0" w:line="84" w:lineRule="exact"/>
        <w:rPr>
          <w:sz w:val="20"/>
          <w:szCs w:val="20"/>
          <w:color w:val="auto"/>
        </w:rPr>
      </w:pPr>
    </w:p>
    <w:p>
      <w:pPr>
        <w:ind w:left="20" w:right="20"/>
        <w:spacing w:after="0" w:line="275" w:lineRule="auto"/>
        <w:rPr>
          <w:sz w:val="20"/>
          <w:szCs w:val="20"/>
          <w:color w:val="auto"/>
        </w:rPr>
      </w:pPr>
      <w:r>
        <w:rPr>
          <w:rFonts w:ascii="Arial" w:cs="Arial" w:eastAsia="Arial" w:hAnsi="Arial"/>
          <w:sz w:val="18"/>
          <w:szCs w:val="18"/>
          <w:color w:val="auto"/>
        </w:rPr>
        <w:t>No LTIP awards will be earned at greater than 200% of target. Accordingly, if the resulting payout factor based on performance against the ROATE and ROATA metrics and the TSR modifier exceeds 200% of target, the payout will be reduced to 200% of target. Additionally, if First Hawaiian’s absolute TSR over the three-year performance period is negative, there can be no upward adjustment using the TSR modifier. TSR will be calculated assuming the reinvestment of dividends and using a 30-day trading average to establish starting and ending share prices.</w:t>
      </w:r>
    </w:p>
    <w:p>
      <w:pPr>
        <w:spacing w:after="0" w:line="348" w:lineRule="exact"/>
        <w:rPr>
          <w:sz w:val="20"/>
          <w:szCs w:val="20"/>
          <w:color w:val="auto"/>
        </w:rPr>
      </w:pPr>
    </w:p>
    <w:p>
      <w:pPr>
        <w:ind w:left="20" w:right="380"/>
        <w:spacing w:after="0" w:line="279" w:lineRule="auto"/>
        <w:rPr>
          <w:sz w:val="20"/>
          <w:szCs w:val="20"/>
          <w:color w:val="auto"/>
        </w:rPr>
      </w:pPr>
      <w:r>
        <w:rPr>
          <w:rFonts w:ascii="Arial" w:cs="Arial" w:eastAsia="Arial" w:hAnsi="Arial"/>
          <w:sz w:val="18"/>
          <w:szCs w:val="18"/>
          <w:color w:val="auto"/>
        </w:rPr>
        <w:t>The Compensation Committee believes this approach appropriately measures long term performance, is well aligned with the interests of stockholders and provides balance between financial results and TSR.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BF5B5A"/>
        </w:rPr>
        <w:t>Restricted Stock Units</w:t>
      </w:r>
    </w:p>
    <w:p>
      <w:pPr>
        <w:spacing w:after="0" w:line="171" w:lineRule="exact"/>
        <w:rPr>
          <w:sz w:val="20"/>
          <w:szCs w:val="20"/>
          <w:color w:val="auto"/>
        </w:rPr>
      </w:pPr>
    </w:p>
    <w:p>
      <w:pPr>
        <w:ind w:left="20" w:right="40"/>
        <w:spacing w:after="0" w:line="283" w:lineRule="auto"/>
        <w:rPr>
          <w:sz w:val="20"/>
          <w:szCs w:val="20"/>
          <w:color w:val="auto"/>
        </w:rPr>
      </w:pPr>
      <w:r>
        <w:rPr>
          <w:rFonts w:ascii="Arial" w:cs="Arial" w:eastAsia="Arial" w:hAnsi="Arial"/>
          <w:sz w:val="18"/>
          <w:szCs w:val="18"/>
          <w:color w:val="auto"/>
        </w:rPr>
        <w:t>Additionally, for 2023 the Compensation Committee approved grants of restricted stock units to all NEOs that vest in equal annual installments over a three-year period.</w:t>
      </w:r>
    </w:p>
    <w:p>
      <w:pPr>
        <w:spacing w:after="0" w:line="1010" w:lineRule="exact"/>
        <w:rPr>
          <w:sz w:val="20"/>
          <w:szCs w:val="20"/>
          <w:color w:val="auto"/>
        </w:rPr>
      </w:pPr>
    </w:p>
    <w:p>
      <w:pPr>
        <w:sectPr>
          <w:pgSz w:w="11900" w:h="16838" w:orient="portrait"/>
          <w:cols w:equalWidth="0" w:num="2">
            <w:col w:w="5440" w:space="160"/>
            <w:col w:w="4360"/>
          </w:cols>
          <w:pgMar w:left="580" w:top="97" w:right="1359" w:bottom="1440" w:gutter="0" w:footer="0" w:header="0"/>
          <w:type w:val="continuous"/>
        </w:sectPr>
      </w:pPr>
    </w:p>
    <w:p>
      <w:pPr>
        <w:spacing w:after="0" w:line="14"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2140" w:type="dxa"/>
            <w:vAlign w:val="bottom"/>
            <w:shd w:val="clear" w:color="auto" w:fill="BF5B5A"/>
          </w:tcPr>
          <w:p>
            <w:pPr>
              <w:spacing w:after="0"/>
              <w:rPr>
                <w:sz w:val="19"/>
                <w:szCs w:val="19"/>
                <w:color w:val="auto"/>
              </w:rPr>
            </w:pPr>
          </w:p>
        </w:tc>
        <w:tc>
          <w:tcPr>
            <w:tcW w:w="460" w:type="dxa"/>
            <w:vAlign w:val="bottom"/>
            <w:shd w:val="clear" w:color="auto" w:fill="BF5B5A"/>
          </w:tcPr>
          <w:p>
            <w:pPr>
              <w:spacing w:after="0"/>
              <w:rPr>
                <w:sz w:val="19"/>
                <w:szCs w:val="19"/>
                <w:color w:val="auto"/>
              </w:rPr>
            </w:pPr>
          </w:p>
        </w:tc>
        <w:tc>
          <w:tcPr>
            <w:tcW w:w="186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w w:val="98"/>
              </w:rPr>
              <w:t>Number of Performance</w:t>
            </w:r>
          </w:p>
        </w:tc>
        <w:tc>
          <w:tcPr>
            <w:tcW w:w="340" w:type="dxa"/>
            <w:vAlign w:val="bottom"/>
            <w:shd w:val="clear" w:color="auto" w:fill="BF5B5A"/>
          </w:tcPr>
          <w:p>
            <w:pPr>
              <w:spacing w:after="0"/>
              <w:rPr>
                <w:sz w:val="19"/>
                <w:szCs w:val="19"/>
                <w:color w:val="auto"/>
              </w:rPr>
            </w:pPr>
          </w:p>
        </w:tc>
        <w:tc>
          <w:tcPr>
            <w:tcW w:w="164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w w:val="98"/>
              </w:rPr>
              <w:t>Number of Restricted</w:t>
            </w:r>
          </w:p>
        </w:tc>
        <w:tc>
          <w:tcPr>
            <w:tcW w:w="340" w:type="dxa"/>
            <w:vAlign w:val="bottom"/>
            <w:shd w:val="clear" w:color="auto" w:fill="BF5B5A"/>
          </w:tcPr>
          <w:p>
            <w:pPr>
              <w:spacing w:after="0"/>
              <w:rPr>
                <w:sz w:val="19"/>
                <w:szCs w:val="19"/>
                <w:color w:val="auto"/>
              </w:rPr>
            </w:pPr>
          </w:p>
        </w:tc>
        <w:tc>
          <w:tcPr>
            <w:tcW w:w="222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w w:val="96"/>
              </w:rPr>
              <w:t>Total Grant Date Fair Value</w:t>
            </w:r>
            <w:r>
              <w:rPr>
                <w:rFonts w:ascii="Arial" w:cs="Arial" w:eastAsia="Arial" w:hAnsi="Arial"/>
                <w:sz w:val="19"/>
                <w:szCs w:val="19"/>
                <w:b w:val="1"/>
                <w:bCs w:val="1"/>
                <w:color w:val="FFFFFF"/>
                <w:w w:val="96"/>
                <w:vertAlign w:val="superscript"/>
              </w:rPr>
              <w:t>(1)</w:t>
            </w:r>
          </w:p>
        </w:tc>
        <w:tc>
          <w:tcPr>
            <w:tcW w:w="180" w:type="dxa"/>
            <w:vAlign w:val="bottom"/>
            <w:shd w:val="clear" w:color="auto" w:fill="BF5B5A"/>
          </w:tcPr>
          <w:p>
            <w:pPr>
              <w:spacing w:after="0"/>
              <w:rPr>
                <w:sz w:val="19"/>
                <w:szCs w:val="19"/>
                <w:color w:val="auto"/>
              </w:rPr>
            </w:pPr>
          </w:p>
        </w:tc>
      </w:tr>
      <w:tr>
        <w:trPr>
          <w:trHeight w:val="230"/>
        </w:trPr>
        <w:tc>
          <w:tcPr>
            <w:tcW w:w="214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460" w:type="dxa"/>
            <w:vAlign w:val="bottom"/>
            <w:shd w:val="clear" w:color="auto" w:fill="BF5B5A"/>
          </w:tcPr>
          <w:p>
            <w:pPr>
              <w:ind w:left="280"/>
              <w:spacing w:after="0"/>
              <w:rPr>
                <w:sz w:val="20"/>
                <w:szCs w:val="20"/>
                <w:color w:val="auto"/>
              </w:rPr>
            </w:pPr>
            <w:r>
              <w:rPr>
                <w:rFonts w:ascii="Arial" w:cs="Arial" w:eastAsia="Arial" w:hAnsi="Arial"/>
                <w:sz w:val="16"/>
                <w:szCs w:val="16"/>
                <w:b w:val="1"/>
                <w:bCs w:val="1"/>
                <w:color w:val="FFFFFF"/>
              </w:rPr>
              <w:t>​ ​</w:t>
            </w:r>
          </w:p>
        </w:tc>
        <w:tc>
          <w:tcPr>
            <w:tcW w:w="1860" w:type="dxa"/>
            <w:vAlign w:val="bottom"/>
            <w:shd w:val="clear" w:color="auto" w:fill="BF5B5A"/>
          </w:tcPr>
          <w:p>
            <w:pPr>
              <w:ind w:left="500"/>
              <w:spacing w:after="0"/>
              <w:rPr>
                <w:sz w:val="20"/>
                <w:szCs w:val="20"/>
                <w:color w:val="auto"/>
              </w:rPr>
            </w:pPr>
            <w:r>
              <w:rPr>
                <w:rFonts w:ascii="Arial" w:cs="Arial" w:eastAsia="Arial" w:hAnsi="Arial"/>
                <w:sz w:val="16"/>
                <w:szCs w:val="16"/>
                <w:b w:val="1"/>
                <w:bCs w:val="1"/>
                <w:color w:val="FFFFFF"/>
              </w:rPr>
              <w:t>Share Units</w:t>
            </w:r>
          </w:p>
        </w:tc>
        <w:tc>
          <w:tcPr>
            <w:tcW w:w="3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640" w:type="dxa"/>
            <w:vAlign w:val="bottom"/>
            <w:shd w:val="clear" w:color="auto" w:fill="BF5B5A"/>
          </w:tcPr>
          <w:p>
            <w:pPr>
              <w:ind w:left="400"/>
              <w:spacing w:after="0"/>
              <w:rPr>
                <w:sz w:val="20"/>
                <w:szCs w:val="20"/>
                <w:color w:val="auto"/>
              </w:rPr>
            </w:pPr>
            <w:r>
              <w:rPr>
                <w:rFonts w:ascii="Arial" w:cs="Arial" w:eastAsia="Arial" w:hAnsi="Arial"/>
                <w:sz w:val="16"/>
                <w:szCs w:val="16"/>
                <w:b w:val="1"/>
                <w:bCs w:val="1"/>
                <w:color w:val="FFFFFF"/>
              </w:rPr>
              <w:t>Stock Units</w:t>
            </w:r>
          </w:p>
        </w:tc>
        <w:tc>
          <w:tcPr>
            <w:tcW w:w="3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900" w:type="dxa"/>
            <w:vAlign w:val="bottom"/>
            <w:shd w:val="clear" w:color="auto" w:fill="BF5B5A"/>
          </w:tcPr>
          <w:p>
            <w:pPr>
              <w:spacing w:after="0"/>
              <w:rPr>
                <w:sz w:val="20"/>
                <w:szCs w:val="20"/>
                <w:color w:val="auto"/>
              </w:rPr>
            </w:pPr>
          </w:p>
        </w:tc>
        <w:tc>
          <w:tcPr>
            <w:tcW w:w="1320" w:type="dxa"/>
            <w:vAlign w:val="bottom"/>
            <w:shd w:val="clear" w:color="auto" w:fill="BF5B5A"/>
          </w:tcPr>
          <w:p>
            <w:pPr>
              <w:jc w:val="right"/>
              <w:ind w:right="919"/>
              <w:spacing w:after="0"/>
              <w:rPr>
                <w:sz w:val="20"/>
                <w:szCs w:val="20"/>
                <w:color w:val="auto"/>
              </w:rPr>
            </w:pPr>
            <w:r>
              <w:rPr>
                <w:rFonts w:ascii="Arial" w:cs="Arial" w:eastAsia="Arial" w:hAnsi="Arial"/>
                <w:sz w:val="16"/>
                <w:szCs w:val="16"/>
                <w:b w:val="1"/>
                <w:bCs w:val="1"/>
                <w:color w:val="FFFFFF"/>
              </w:rPr>
              <w:t>($)</w:t>
            </w:r>
          </w:p>
        </w:tc>
        <w:tc>
          <w:tcPr>
            <w:tcW w:w="18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57"/>
        </w:trPr>
        <w:tc>
          <w:tcPr>
            <w:tcW w:w="214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​51,646</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34,431</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220" w:type="dxa"/>
            <w:vAlign w:val="bottom"/>
            <w:tcBorders>
              <w:bottom w:val="single" w:sz="8" w:color="7F7F7F"/>
            </w:tcBorders>
            <w:gridSpan w:val="2"/>
          </w:tcPr>
          <w:p>
            <w:pPr>
              <w:jc w:val="right"/>
              <w:ind w:right="59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$2,299,977</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M. Moses</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​15,044</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10,030</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320" w:type="dxa"/>
            <w:vAlign w:val="bottom"/>
            <w:tcBorders>
              <w:bottom w:val="single" w:sz="8" w:color="7F7F7F"/>
            </w:tcBorders>
          </w:tcPr>
          <w:p>
            <w:pPr>
              <w:jc w:val="right"/>
              <w:ind w:right="599"/>
              <w:spacing w:after="0"/>
              <w:rPr>
                <w:sz w:val="20"/>
                <w:szCs w:val="20"/>
                <w:color w:val="auto"/>
              </w:rPr>
            </w:pPr>
            <w:r>
              <w:rPr>
                <w:rFonts w:ascii="Arial" w:cs="Arial" w:eastAsia="Arial" w:hAnsi="Arial"/>
                <w:sz w:val="16"/>
                <w:szCs w:val="16"/>
                <w:color w:val="auto"/>
              </w:rPr>
              <w:t>669,977</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​15,718</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10,479</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320" w:type="dxa"/>
            <w:vAlign w:val="bottom"/>
            <w:tcBorders>
              <w:bottom w:val="single" w:sz="8" w:color="7F7F7F"/>
            </w:tcBorders>
          </w:tcPr>
          <w:p>
            <w:pPr>
              <w:jc w:val="right"/>
              <w:ind w:right="599"/>
              <w:spacing w:after="0"/>
              <w:rPr>
                <w:sz w:val="20"/>
                <w:szCs w:val="20"/>
                <w:color w:val="auto"/>
              </w:rPr>
            </w:pPr>
            <w:r>
              <w:rPr>
                <w:rFonts w:ascii="Arial" w:cs="Arial" w:eastAsia="Arial" w:hAnsi="Arial"/>
                <w:sz w:val="16"/>
                <w:szCs w:val="16"/>
                <w:color w:val="auto"/>
              </w:rPr>
              <w:t>699,984</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6,736</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4,491</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320" w:type="dxa"/>
            <w:vAlign w:val="bottom"/>
            <w:tcBorders>
              <w:bottom w:val="single" w:sz="8" w:color="7F7F7F"/>
            </w:tcBorders>
          </w:tcPr>
          <w:p>
            <w:pPr>
              <w:jc w:val="right"/>
              <w:ind w:right="599"/>
              <w:spacing w:after="0"/>
              <w:rPr>
                <w:sz w:val="20"/>
                <w:szCs w:val="20"/>
                <w:color w:val="auto"/>
              </w:rPr>
            </w:pPr>
            <w:r>
              <w:rPr>
                <w:rFonts w:ascii="Arial" w:cs="Arial" w:eastAsia="Arial" w:hAnsi="Arial"/>
                <w:sz w:val="16"/>
                <w:szCs w:val="16"/>
                <w:color w:val="auto"/>
              </w:rPr>
              <w:t>299,985</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Neill A. Char</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6,736</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4,491</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320" w:type="dxa"/>
            <w:vAlign w:val="bottom"/>
            <w:tcBorders>
              <w:bottom w:val="single" w:sz="8" w:color="7F7F7F"/>
            </w:tcBorders>
          </w:tcPr>
          <w:p>
            <w:pPr>
              <w:jc w:val="right"/>
              <w:ind w:right="599"/>
              <w:spacing w:after="0"/>
              <w:rPr>
                <w:sz w:val="20"/>
                <w:szCs w:val="20"/>
                <w:color w:val="auto"/>
              </w:rPr>
            </w:pPr>
            <w:r>
              <w:rPr>
                <w:rFonts w:ascii="Arial" w:cs="Arial" w:eastAsia="Arial" w:hAnsi="Arial"/>
                <w:sz w:val="16"/>
                <w:szCs w:val="16"/>
                <w:color w:val="auto"/>
              </w:rPr>
              <w:t>299,985</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Ralph M. Mesick</w:t>
            </w:r>
          </w:p>
        </w:tc>
        <w:tc>
          <w:tcPr>
            <w:tcW w:w="46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9,543</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7F7F7F"/>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6,362</w:t>
            </w:r>
          </w:p>
        </w:tc>
        <w:tc>
          <w:tcPr>
            <w:tcW w:w="3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1320" w:type="dxa"/>
            <w:vAlign w:val="bottom"/>
            <w:tcBorders>
              <w:bottom w:val="single" w:sz="8" w:color="7F7F7F"/>
            </w:tcBorders>
          </w:tcPr>
          <w:p>
            <w:pPr>
              <w:jc w:val="right"/>
              <w:ind w:right="599"/>
              <w:spacing w:after="0"/>
              <w:rPr>
                <w:sz w:val="20"/>
                <w:szCs w:val="20"/>
                <w:color w:val="auto"/>
              </w:rPr>
            </w:pPr>
            <w:r>
              <w:rPr>
                <w:rFonts w:ascii="Arial" w:cs="Arial" w:eastAsia="Arial" w:hAnsi="Arial"/>
                <w:sz w:val="16"/>
                <w:szCs w:val="16"/>
                <w:color w:val="auto"/>
              </w:rPr>
              <w:t>424,982</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14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Lance A. Mizumoto</w:t>
            </w:r>
          </w:p>
        </w:tc>
        <w:tc>
          <w:tcPr>
            <w:tcW w:w="460" w:type="dxa"/>
            <w:vAlign w:val="bottom"/>
            <w:tcBorders>
              <w:bottom w:val="single" w:sz="8" w:color="BF5B5A"/>
            </w:tcBorders>
          </w:tcPr>
          <w:p>
            <w:pPr>
              <w:ind w:left="28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BF5B5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7,298</w:t>
            </w:r>
          </w:p>
        </w:tc>
        <w:tc>
          <w:tcPr>
            <w:tcW w:w="3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BF5B5A"/>
            </w:tcBorders>
          </w:tcPr>
          <w:p>
            <w:pPr>
              <w:ind w:left="6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4,865</w:t>
            </w:r>
          </w:p>
        </w:tc>
        <w:tc>
          <w:tcPr>
            <w:tcW w:w="3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BF5B5A"/>
            </w:tcBorders>
          </w:tcPr>
          <w:p>
            <w:pPr>
              <w:ind w:left="7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1320" w:type="dxa"/>
            <w:vAlign w:val="bottom"/>
            <w:tcBorders>
              <w:bottom w:val="single" w:sz="8" w:color="BF5B5A"/>
            </w:tcBorders>
          </w:tcPr>
          <w:p>
            <w:pPr>
              <w:jc w:val="right"/>
              <w:ind w:right="599"/>
              <w:spacing w:after="0"/>
              <w:rPr>
                <w:sz w:val="20"/>
                <w:szCs w:val="20"/>
                <w:color w:val="auto"/>
              </w:rPr>
            </w:pPr>
            <w:r>
              <w:rPr>
                <w:rFonts w:ascii="Arial" w:cs="Arial" w:eastAsia="Arial" w:hAnsi="Arial"/>
                <w:sz w:val="16"/>
                <w:szCs w:val="16"/>
                <w:color w:val="auto"/>
              </w:rPr>
              <w:t>324,995</w:t>
            </w:r>
          </w:p>
        </w:tc>
        <w:tc>
          <w:tcPr>
            <w:tcW w:w="18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ind w:left="1140" w:right="180" w:hanging="360"/>
        <w:spacing w:after="0" w:line="301" w:lineRule="auto"/>
        <w:tabs>
          <w:tab w:leader="none" w:pos="11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amounts in this column represent the grant date fair value, assuming target performance for the 2023-2025 LTIP Awards, as determined in accordance with Financial Accounting Standards Board (“FASB”) Accounting Standards Codification (“ASC”) Topic 718.</w:t>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56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7F7F7F"/>
        </w:rPr>
        <w:t>EXECUTIVE COMPENSATION</w:t>
      </w:r>
    </w:p>
    <w:p>
      <w:pPr>
        <w:spacing w:after="0" w:line="32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Results of 2021-2023 LTIP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90" w:lineRule="exact"/>
        <w:rPr>
          <w:sz w:val="20"/>
          <w:szCs w:val="20"/>
          <w:color w:val="auto"/>
        </w:rPr>
      </w:pPr>
    </w:p>
    <w:p>
      <w:pPr>
        <w:ind w:left="780" w:right="240"/>
        <w:spacing w:after="0" w:line="292" w:lineRule="auto"/>
        <w:rPr>
          <w:sz w:val="20"/>
          <w:szCs w:val="20"/>
          <w:color w:val="auto"/>
        </w:rPr>
      </w:pPr>
      <w:r>
        <w:rPr>
          <w:rFonts w:ascii="Arial" w:cs="Arial" w:eastAsia="Arial" w:hAnsi="Arial"/>
          <w:sz w:val="18"/>
          <w:szCs w:val="18"/>
          <w:color w:val="auto"/>
        </w:rPr>
        <w:t>In 2021, the Performance Share Unit Awards granted to the NEOs were based on ROATE and ROATA plus a TSR modifier, the achievement of which resulted in a payout of 121.3% of target shares awarded, as presented in the table below:</w:t>
      </w:r>
    </w:p>
    <w:p>
      <w:pPr>
        <w:spacing w:after="0" w:line="154"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2300" w:type="dxa"/>
            <w:vAlign w:val="bottom"/>
            <w:shd w:val="clear" w:color="auto" w:fill="BF5B5A"/>
          </w:tcPr>
          <w:p>
            <w:pPr>
              <w:spacing w:after="0"/>
              <w:rPr>
                <w:sz w:val="20"/>
                <w:szCs w:val="20"/>
                <w:color w:val="auto"/>
              </w:rPr>
            </w:pPr>
          </w:p>
        </w:tc>
        <w:tc>
          <w:tcPr>
            <w:tcW w:w="180" w:type="dxa"/>
            <w:vAlign w:val="bottom"/>
            <w:shd w:val="clear" w:color="auto" w:fill="BF5B5A"/>
          </w:tcPr>
          <w:p>
            <w:pPr>
              <w:spacing w:after="0"/>
              <w:rPr>
                <w:sz w:val="20"/>
                <w:szCs w:val="20"/>
                <w:color w:val="auto"/>
              </w:rPr>
            </w:pPr>
          </w:p>
        </w:tc>
        <w:tc>
          <w:tcPr>
            <w:tcW w:w="220" w:type="dxa"/>
            <w:vAlign w:val="bottom"/>
            <w:shd w:val="clear" w:color="auto" w:fill="BF5B5A"/>
          </w:tcPr>
          <w:p>
            <w:pPr>
              <w:spacing w:after="0"/>
              <w:rPr>
                <w:sz w:val="20"/>
                <w:szCs w:val="20"/>
                <w:color w:val="auto"/>
              </w:rPr>
            </w:pPr>
          </w:p>
        </w:tc>
        <w:tc>
          <w:tcPr>
            <w:tcW w:w="500" w:type="dxa"/>
            <w:vAlign w:val="bottom"/>
            <w:shd w:val="clear" w:color="auto" w:fill="BF5B5A"/>
          </w:tcPr>
          <w:p>
            <w:pPr>
              <w:spacing w:after="0"/>
              <w:rPr>
                <w:sz w:val="20"/>
                <w:szCs w:val="20"/>
                <w:color w:val="auto"/>
              </w:rPr>
            </w:pPr>
          </w:p>
        </w:tc>
        <w:tc>
          <w:tcPr>
            <w:tcW w:w="1480" w:type="dxa"/>
            <w:vAlign w:val="bottom"/>
            <w:shd w:val="clear" w:color="auto" w:fill="BF5B5A"/>
          </w:tcPr>
          <w:p>
            <w:pPr>
              <w:spacing w:after="0"/>
              <w:rPr>
                <w:sz w:val="20"/>
                <w:szCs w:val="20"/>
                <w:color w:val="auto"/>
              </w:rPr>
            </w:pPr>
          </w:p>
        </w:tc>
        <w:tc>
          <w:tcPr>
            <w:tcW w:w="180" w:type="dxa"/>
            <w:vAlign w:val="bottom"/>
            <w:shd w:val="clear" w:color="auto" w:fill="BF5B5A"/>
          </w:tcPr>
          <w:p>
            <w:pPr>
              <w:spacing w:after="0"/>
              <w:rPr>
                <w:sz w:val="20"/>
                <w:szCs w:val="20"/>
                <w:color w:val="auto"/>
              </w:rPr>
            </w:pPr>
          </w:p>
        </w:tc>
        <w:tc>
          <w:tcPr>
            <w:tcW w:w="220" w:type="dxa"/>
            <w:vAlign w:val="bottom"/>
            <w:shd w:val="clear" w:color="auto" w:fill="BF5B5A"/>
          </w:tcPr>
          <w:p>
            <w:pPr>
              <w:spacing w:after="0"/>
              <w:rPr>
                <w:sz w:val="20"/>
                <w:szCs w:val="20"/>
                <w:color w:val="auto"/>
              </w:rPr>
            </w:pPr>
          </w:p>
        </w:tc>
        <w:tc>
          <w:tcPr>
            <w:tcW w:w="1300" w:type="dxa"/>
            <w:vAlign w:val="bottom"/>
            <w:shd w:val="clear" w:color="auto" w:fill="BF5B5A"/>
          </w:tcPr>
          <w:p>
            <w:pPr>
              <w:spacing w:after="0"/>
              <w:rPr>
                <w:sz w:val="20"/>
                <w:szCs w:val="20"/>
                <w:color w:val="auto"/>
              </w:rPr>
            </w:pPr>
          </w:p>
        </w:tc>
        <w:tc>
          <w:tcPr>
            <w:tcW w:w="400" w:type="dxa"/>
            <w:vAlign w:val="bottom"/>
            <w:shd w:val="clear" w:color="auto" w:fill="BF5B5A"/>
          </w:tcPr>
          <w:p>
            <w:pPr>
              <w:spacing w:after="0"/>
              <w:rPr>
                <w:sz w:val="20"/>
                <w:szCs w:val="20"/>
                <w:color w:val="auto"/>
              </w:rPr>
            </w:pPr>
          </w:p>
        </w:tc>
        <w:tc>
          <w:tcPr>
            <w:tcW w:w="920" w:type="dxa"/>
            <w:vAlign w:val="bottom"/>
            <w:shd w:val="clear" w:color="auto" w:fill="BF5B5A"/>
          </w:tcPr>
          <w:p>
            <w:pPr>
              <w:spacing w:after="0"/>
              <w:rPr>
                <w:sz w:val="20"/>
                <w:szCs w:val="20"/>
                <w:color w:val="auto"/>
              </w:rPr>
            </w:pPr>
          </w:p>
        </w:tc>
        <w:tc>
          <w:tcPr>
            <w:tcW w:w="180" w:type="dxa"/>
            <w:vAlign w:val="bottom"/>
            <w:shd w:val="clear" w:color="auto" w:fill="BF5B5A"/>
          </w:tcPr>
          <w:p>
            <w:pPr>
              <w:spacing w:after="0"/>
              <w:rPr>
                <w:sz w:val="20"/>
                <w:szCs w:val="20"/>
                <w:color w:val="auto"/>
              </w:rPr>
            </w:pPr>
          </w:p>
        </w:tc>
        <w:tc>
          <w:tcPr>
            <w:tcW w:w="160" w:type="dxa"/>
            <w:vAlign w:val="bottom"/>
            <w:shd w:val="clear" w:color="auto" w:fill="BF5B5A"/>
          </w:tcPr>
          <w:p>
            <w:pPr>
              <w:spacing w:after="0"/>
              <w:rPr>
                <w:sz w:val="20"/>
                <w:szCs w:val="20"/>
                <w:color w:val="auto"/>
              </w:rPr>
            </w:pPr>
          </w:p>
        </w:tc>
        <w:tc>
          <w:tcPr>
            <w:tcW w:w="1000" w:type="dxa"/>
            <w:vAlign w:val="bottom"/>
            <w:shd w:val="clear" w:color="auto" w:fill="BF5B5A"/>
          </w:tcPr>
          <w:p>
            <w:pPr>
              <w:jc w:val="center"/>
              <w:ind w:right="22"/>
              <w:spacing w:after="0"/>
              <w:rPr>
                <w:sz w:val="20"/>
                <w:szCs w:val="20"/>
                <w:color w:val="auto"/>
              </w:rPr>
            </w:pPr>
            <w:r>
              <w:rPr>
                <w:rFonts w:ascii="Arial" w:cs="Arial" w:eastAsia="Arial" w:hAnsi="Arial"/>
                <w:sz w:val="14"/>
                <w:szCs w:val="14"/>
                <w:b w:val="1"/>
                <w:bCs w:val="1"/>
                <w:color w:val="FFFFFF"/>
                <w:w w:val="89"/>
              </w:rPr>
              <w:t>Total</w:t>
            </w:r>
          </w:p>
        </w:tc>
        <w:tc>
          <w:tcPr>
            <w:tcW w:w="140" w:type="dxa"/>
            <w:vAlign w:val="bottom"/>
            <w:shd w:val="clear" w:color="auto" w:fill="BF5B5A"/>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BF5B5A"/>
          </w:tcPr>
          <w:p>
            <w:pPr>
              <w:ind w:left="100"/>
              <w:spacing w:after="0"/>
              <w:rPr>
                <w:sz w:val="20"/>
                <w:szCs w:val="20"/>
                <w:color w:val="auto"/>
              </w:rPr>
            </w:pPr>
            <w:r>
              <w:rPr>
                <w:rFonts w:ascii="Arial" w:cs="Arial" w:eastAsia="Arial" w:hAnsi="Arial"/>
                <w:sz w:val="14"/>
                <w:szCs w:val="14"/>
                <w:b w:val="1"/>
                <w:bCs w:val="1"/>
                <w:color w:val="FFFFFF"/>
              </w:rPr>
              <w:t>Performance Measure</w:t>
            </w:r>
          </w:p>
        </w:tc>
        <w:tc>
          <w:tcPr>
            <w:tcW w:w="180" w:type="dxa"/>
            <w:vAlign w:val="bottom"/>
            <w:shd w:val="clear" w:color="auto" w:fill="BF5B5A"/>
          </w:tcPr>
          <w:p>
            <w:pPr>
              <w:spacing w:after="0"/>
              <w:rPr>
                <w:sz w:val="14"/>
                <w:szCs w:val="14"/>
                <w:color w:val="auto"/>
              </w:rPr>
            </w:pPr>
          </w:p>
        </w:tc>
        <w:tc>
          <w:tcPr>
            <w:tcW w:w="220" w:type="dxa"/>
            <w:vAlign w:val="bottom"/>
            <w:shd w:val="clear" w:color="auto" w:fill="BF5B5A"/>
          </w:tcPr>
          <w:p>
            <w:pPr>
              <w:spacing w:after="0"/>
              <w:rPr>
                <w:sz w:val="14"/>
                <w:szCs w:val="14"/>
                <w:color w:val="auto"/>
              </w:rPr>
            </w:pPr>
          </w:p>
        </w:tc>
        <w:tc>
          <w:tcPr>
            <w:tcW w:w="500" w:type="dxa"/>
            <w:vAlign w:val="bottom"/>
            <w:shd w:val="clear" w:color="auto" w:fill="BF5B5A"/>
          </w:tcPr>
          <w:p>
            <w:pPr>
              <w:spacing w:after="0"/>
              <w:rPr>
                <w:sz w:val="14"/>
                <w:szCs w:val="14"/>
                <w:color w:val="auto"/>
              </w:rPr>
            </w:pPr>
          </w:p>
        </w:tc>
        <w:tc>
          <w:tcPr>
            <w:tcW w:w="1480" w:type="dxa"/>
            <w:vAlign w:val="bottom"/>
            <w:shd w:val="clear" w:color="auto" w:fill="BF5B5A"/>
          </w:tcPr>
          <w:p>
            <w:pPr>
              <w:spacing w:after="0"/>
              <w:rPr>
                <w:sz w:val="14"/>
                <w:szCs w:val="14"/>
                <w:color w:val="auto"/>
              </w:rPr>
            </w:pPr>
          </w:p>
        </w:tc>
        <w:tc>
          <w:tcPr>
            <w:tcW w:w="180" w:type="dxa"/>
            <w:vAlign w:val="bottom"/>
            <w:shd w:val="clear" w:color="auto" w:fill="BF5B5A"/>
          </w:tcPr>
          <w:p>
            <w:pPr>
              <w:spacing w:after="0"/>
              <w:rPr>
                <w:sz w:val="14"/>
                <w:szCs w:val="14"/>
                <w:color w:val="auto"/>
              </w:rPr>
            </w:pPr>
          </w:p>
        </w:tc>
        <w:tc>
          <w:tcPr>
            <w:tcW w:w="220" w:type="dxa"/>
            <w:vAlign w:val="bottom"/>
            <w:shd w:val="clear" w:color="auto" w:fill="BF5B5A"/>
          </w:tcPr>
          <w:p>
            <w:pPr>
              <w:spacing w:after="0"/>
              <w:rPr>
                <w:sz w:val="14"/>
                <w:szCs w:val="14"/>
                <w:color w:val="auto"/>
              </w:rPr>
            </w:pPr>
          </w:p>
        </w:tc>
        <w:tc>
          <w:tcPr>
            <w:tcW w:w="1300" w:type="dxa"/>
            <w:vAlign w:val="bottom"/>
            <w:shd w:val="clear" w:color="auto" w:fill="BF5B5A"/>
          </w:tcPr>
          <w:p>
            <w:pPr>
              <w:ind w:left="380"/>
              <w:spacing w:after="0"/>
              <w:rPr>
                <w:sz w:val="20"/>
                <w:szCs w:val="20"/>
                <w:color w:val="auto"/>
              </w:rPr>
            </w:pPr>
            <w:r>
              <w:rPr>
                <w:rFonts w:ascii="Arial" w:cs="Arial" w:eastAsia="Arial" w:hAnsi="Arial"/>
                <w:sz w:val="14"/>
                <w:szCs w:val="14"/>
                <w:b w:val="1"/>
                <w:bCs w:val="1"/>
                <w:color w:val="FFFFFF"/>
              </w:rPr>
              <w:t>Actual</w:t>
            </w:r>
          </w:p>
        </w:tc>
        <w:tc>
          <w:tcPr>
            <w:tcW w:w="400" w:type="dxa"/>
            <w:vAlign w:val="bottom"/>
            <w:shd w:val="clear" w:color="auto" w:fill="BF5B5A"/>
          </w:tcPr>
          <w:p>
            <w:pPr>
              <w:spacing w:after="0"/>
              <w:rPr>
                <w:sz w:val="14"/>
                <w:szCs w:val="14"/>
                <w:color w:val="auto"/>
              </w:rPr>
            </w:pPr>
          </w:p>
        </w:tc>
        <w:tc>
          <w:tcPr>
            <w:tcW w:w="920" w:type="dxa"/>
            <w:vAlign w:val="bottom"/>
            <w:shd w:val="clear" w:color="auto" w:fill="BF5B5A"/>
          </w:tcPr>
          <w:p>
            <w:pPr>
              <w:jc w:val="center"/>
              <w:ind w:right="22"/>
              <w:spacing w:after="0"/>
              <w:rPr>
                <w:sz w:val="20"/>
                <w:szCs w:val="20"/>
                <w:color w:val="auto"/>
              </w:rPr>
            </w:pPr>
            <w:r>
              <w:rPr>
                <w:rFonts w:ascii="Arial" w:cs="Arial" w:eastAsia="Arial" w:hAnsi="Arial"/>
                <w:sz w:val="14"/>
                <w:szCs w:val="14"/>
                <w:b w:val="1"/>
                <w:bCs w:val="1"/>
                <w:color w:val="FFFFFF"/>
                <w:w w:val="98"/>
              </w:rPr>
              <w:t>Award</w:t>
            </w:r>
          </w:p>
        </w:tc>
        <w:tc>
          <w:tcPr>
            <w:tcW w:w="180" w:type="dxa"/>
            <w:vAlign w:val="bottom"/>
            <w:shd w:val="clear" w:color="auto" w:fill="BF5B5A"/>
          </w:tcPr>
          <w:p>
            <w:pPr>
              <w:spacing w:after="0"/>
              <w:rPr>
                <w:sz w:val="14"/>
                <w:szCs w:val="14"/>
                <w:color w:val="auto"/>
              </w:rPr>
            </w:pPr>
          </w:p>
        </w:tc>
        <w:tc>
          <w:tcPr>
            <w:tcW w:w="160" w:type="dxa"/>
            <w:vAlign w:val="bottom"/>
            <w:shd w:val="clear" w:color="auto" w:fill="BF5B5A"/>
          </w:tcPr>
          <w:p>
            <w:pPr>
              <w:spacing w:after="0"/>
              <w:rPr>
                <w:sz w:val="14"/>
                <w:szCs w:val="14"/>
                <w:color w:val="auto"/>
              </w:rPr>
            </w:pPr>
          </w:p>
        </w:tc>
        <w:tc>
          <w:tcPr>
            <w:tcW w:w="1000" w:type="dxa"/>
            <w:vAlign w:val="bottom"/>
            <w:shd w:val="clear" w:color="auto" w:fill="BF5B5A"/>
          </w:tcPr>
          <w:p>
            <w:pPr>
              <w:jc w:val="center"/>
              <w:ind w:right="22"/>
              <w:spacing w:after="0"/>
              <w:rPr>
                <w:sz w:val="20"/>
                <w:szCs w:val="20"/>
                <w:color w:val="auto"/>
              </w:rPr>
            </w:pPr>
            <w:r>
              <w:rPr>
                <w:rFonts w:ascii="Arial" w:cs="Arial" w:eastAsia="Arial" w:hAnsi="Arial"/>
                <w:sz w:val="14"/>
                <w:szCs w:val="14"/>
                <w:b w:val="1"/>
                <w:bCs w:val="1"/>
                <w:color w:val="FFFFFF"/>
                <w:w w:val="98"/>
              </w:rPr>
              <w:t>Shares</w:t>
            </w:r>
          </w:p>
        </w:tc>
        <w:tc>
          <w:tcPr>
            <w:tcW w:w="140" w:type="dxa"/>
            <w:vAlign w:val="bottom"/>
            <w:shd w:val="clear" w:color="auto" w:fill="BF5B5A"/>
          </w:tcPr>
          <w:p>
            <w:pPr>
              <w:spacing w:after="0"/>
              <w:rPr>
                <w:sz w:val="14"/>
                <w:szCs w:val="14"/>
                <w:color w:val="auto"/>
              </w:rPr>
            </w:pPr>
          </w:p>
        </w:tc>
        <w:tc>
          <w:tcPr>
            <w:tcW w:w="20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1"/>
        </w:trPr>
        <w:tc>
          <w:tcPr>
            <w:tcW w:w="2300" w:type="dxa"/>
            <w:vAlign w:val="bottom"/>
            <w:shd w:val="clear" w:color="auto" w:fill="BF5B5A"/>
          </w:tcPr>
          <w:p>
            <w:pPr>
              <w:ind w:left="60"/>
              <w:spacing w:after="0"/>
              <w:rPr>
                <w:sz w:val="20"/>
                <w:szCs w:val="20"/>
                <w:color w:val="auto"/>
              </w:rPr>
            </w:pPr>
            <w:r>
              <w:rPr>
                <w:rFonts w:ascii="Arial" w:cs="Arial" w:eastAsia="Arial" w:hAnsi="Arial"/>
                <w:sz w:val="14"/>
                <w:szCs w:val="14"/>
                <w:b w:val="1"/>
                <w:bCs w:val="1"/>
                <w:color w:val="FFFFFF"/>
              </w:rPr>
              <w:t>​(% weight)</w:t>
            </w:r>
          </w:p>
        </w:tc>
        <w:tc>
          <w:tcPr>
            <w:tcW w:w="400" w:type="dxa"/>
            <w:vAlign w:val="bottom"/>
            <w:gridSpan w:val="2"/>
            <w:shd w:val="clear" w:color="auto" w:fill="BF5B5A"/>
          </w:tcPr>
          <w:p>
            <w:pPr>
              <w:ind w:left="140"/>
              <w:spacing w:after="0"/>
              <w:rPr>
                <w:sz w:val="20"/>
                <w:szCs w:val="20"/>
                <w:color w:val="auto"/>
              </w:rPr>
            </w:pPr>
            <w:r>
              <w:rPr>
                <w:rFonts w:ascii="Arial" w:cs="Arial" w:eastAsia="Arial" w:hAnsi="Arial"/>
                <w:sz w:val="14"/>
                <w:szCs w:val="14"/>
                <w:b w:val="1"/>
                <w:bCs w:val="1"/>
                <w:color w:val="FFFFFF"/>
              </w:rPr>
              <w:t>​ ​</w:t>
            </w:r>
          </w:p>
        </w:tc>
        <w:tc>
          <w:tcPr>
            <w:tcW w:w="1980" w:type="dxa"/>
            <w:vAlign w:val="bottom"/>
            <w:gridSpan w:val="2"/>
            <w:shd w:val="clear" w:color="auto" w:fill="BF5B5A"/>
          </w:tcPr>
          <w:p>
            <w:pPr>
              <w:ind w:left="380"/>
              <w:spacing w:after="0"/>
              <w:rPr>
                <w:sz w:val="20"/>
                <w:szCs w:val="20"/>
                <w:color w:val="auto"/>
              </w:rPr>
            </w:pPr>
            <w:r>
              <w:rPr>
                <w:rFonts w:ascii="Arial" w:cs="Arial" w:eastAsia="Arial" w:hAnsi="Arial"/>
                <w:sz w:val="14"/>
                <w:szCs w:val="14"/>
                <w:b w:val="1"/>
                <w:bCs w:val="1"/>
                <w:color w:val="FFFFFF"/>
              </w:rPr>
              <w:t>Payout Schedule</w:t>
            </w:r>
          </w:p>
        </w:tc>
        <w:tc>
          <w:tcPr>
            <w:tcW w:w="400" w:type="dxa"/>
            <w:vAlign w:val="bottom"/>
            <w:gridSpan w:val="2"/>
            <w:shd w:val="clear" w:color="auto" w:fill="BF5B5A"/>
          </w:tcPr>
          <w:p>
            <w:pPr>
              <w:jc w:val="right"/>
              <w:ind w:right="39"/>
              <w:spacing w:after="0"/>
              <w:rPr>
                <w:sz w:val="20"/>
                <w:szCs w:val="20"/>
                <w:color w:val="auto"/>
              </w:rPr>
            </w:pPr>
            <w:r>
              <w:rPr>
                <w:rFonts w:ascii="Arial" w:cs="Arial" w:eastAsia="Arial" w:hAnsi="Arial"/>
                <w:sz w:val="14"/>
                <w:szCs w:val="14"/>
                <w:b w:val="1"/>
                <w:bCs w:val="1"/>
                <w:color w:val="FFFFFF"/>
              </w:rPr>
              <w:t>​ ​</w:t>
            </w:r>
          </w:p>
        </w:tc>
        <w:tc>
          <w:tcPr>
            <w:tcW w:w="1300" w:type="dxa"/>
            <w:vAlign w:val="bottom"/>
            <w:shd w:val="clear" w:color="auto" w:fill="BF5B5A"/>
          </w:tcPr>
          <w:p>
            <w:pPr>
              <w:ind w:left="360"/>
              <w:spacing w:after="0"/>
              <w:rPr>
                <w:sz w:val="20"/>
                <w:szCs w:val="20"/>
                <w:color w:val="auto"/>
              </w:rPr>
            </w:pPr>
            <w:r>
              <w:rPr>
                <w:rFonts w:ascii="Arial" w:cs="Arial" w:eastAsia="Arial" w:hAnsi="Arial"/>
                <w:sz w:val="14"/>
                <w:szCs w:val="14"/>
                <w:b w:val="1"/>
                <w:bCs w:val="1"/>
                <w:color w:val="FFFFFF"/>
              </w:rPr>
              <w:t>Results</w:t>
            </w:r>
          </w:p>
        </w:tc>
        <w:tc>
          <w:tcPr>
            <w:tcW w:w="400" w:type="dxa"/>
            <w:vAlign w:val="bottom"/>
            <w:shd w:val="clear" w:color="auto" w:fill="BF5B5A"/>
          </w:tcPr>
          <w:p>
            <w:pPr>
              <w:ind w:left="16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5"/>
              </w:rPr>
              <w:t>Earned (%)</w:t>
            </w:r>
          </w:p>
        </w:tc>
        <w:tc>
          <w:tcPr>
            <w:tcW w:w="340" w:type="dxa"/>
            <w:vAlign w:val="bottom"/>
            <w:gridSpan w:val="2"/>
            <w:shd w:val="clear" w:color="auto" w:fill="BF5B5A"/>
          </w:tcPr>
          <w:p>
            <w:pPr>
              <w:ind w:left="140"/>
              <w:spacing w:after="0"/>
              <w:rPr>
                <w:sz w:val="20"/>
                <w:szCs w:val="20"/>
                <w:color w:val="auto"/>
              </w:rPr>
            </w:pPr>
            <w:r>
              <w:rPr>
                <w:rFonts w:ascii="Arial" w:cs="Arial" w:eastAsia="Arial" w:hAnsi="Arial"/>
                <w:sz w:val="14"/>
                <w:szCs w:val="14"/>
                <w:b w:val="1"/>
                <w:bCs w:val="1"/>
                <w:color w:val="FFFFFF"/>
              </w:rPr>
              <w:t>​ ​</w:t>
            </w:r>
          </w:p>
        </w:tc>
        <w:tc>
          <w:tcPr>
            <w:tcW w:w="100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6"/>
              </w:rPr>
              <w:t>Earned</w:t>
            </w:r>
          </w:p>
        </w:tc>
        <w:tc>
          <w:tcPr>
            <w:tcW w:w="140" w:type="dxa"/>
            <w:vAlign w:val="bottom"/>
            <w:shd w:val="clear" w:color="auto" w:fill="BF5B5A"/>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300" w:type="dxa"/>
            <w:vAlign w:val="bottom"/>
          </w:tcPr>
          <w:p>
            <w:pPr>
              <w:ind w:left="6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Return on Average Tangible</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 ​</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ROATE:</w:t>
            </w:r>
          </w:p>
        </w:tc>
        <w:tc>
          <w:tcPr>
            <w:tcW w:w="400" w:type="dxa"/>
            <w:vAlign w:val="bottom"/>
          </w:tcPr>
          <w:p>
            <w:pPr>
              <w:ind w:left="160"/>
              <w:spacing w:after="0"/>
              <w:rPr>
                <w:sz w:val="20"/>
                <w:szCs w:val="20"/>
                <w:color w:val="auto"/>
              </w:rPr>
            </w:pPr>
            <w:r>
              <w:rPr>
                <w:rFonts w:ascii="Arial" w:cs="Arial" w:eastAsia="Arial" w:hAnsi="Arial"/>
                <w:sz w:val="16"/>
                <w:szCs w:val="16"/>
                <w:color w:val="auto"/>
              </w:rPr>
              <w:t>​ ​</w:t>
            </w:r>
          </w:p>
        </w:tc>
        <w:tc>
          <w:tcPr>
            <w:tcW w:w="920" w:type="dxa"/>
            <w:vAlign w:val="bottom"/>
          </w:tcPr>
          <w:p>
            <w:pPr>
              <w:jc w:val="center"/>
              <w:spacing w:after="0"/>
              <w:rPr>
                <w:sz w:val="20"/>
                <w:szCs w:val="20"/>
                <w:color w:val="auto"/>
              </w:rPr>
            </w:pPr>
            <w:r>
              <w:rPr>
                <w:rFonts w:ascii="Arial" w:cs="Arial" w:eastAsia="Arial" w:hAnsi="Arial"/>
                <w:sz w:val="16"/>
                <w:szCs w:val="16"/>
                <w:color w:val="auto"/>
              </w:rPr>
              <w:t>140% of</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 ​</w:t>
            </w:r>
          </w:p>
        </w:tc>
        <w:tc>
          <w:tcPr>
            <w:tcW w:w="100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300" w:type="dxa"/>
            <w:vAlign w:val="bottom"/>
          </w:tcPr>
          <w:p>
            <w:pPr>
              <w:ind w:left="10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vMerge w:val="restart"/>
          </w:tcPr>
          <w:p>
            <w:pPr>
              <w:ind w:left="120"/>
              <w:spacing w:after="0"/>
              <w:rPr>
                <w:sz w:val="20"/>
                <w:szCs w:val="20"/>
                <w:color w:val="auto"/>
              </w:rPr>
            </w:pPr>
            <w:r>
              <w:rPr>
                <w:rFonts w:ascii="Arial" w:cs="Arial" w:eastAsia="Arial" w:hAnsi="Arial"/>
                <w:sz w:val="16"/>
                <w:szCs w:val="16"/>
                <w:color w:val="auto"/>
              </w:rPr>
              <w:t>≥ 75</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Percentile: 200%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54.38%</w:t>
            </w:r>
          </w:p>
        </w:tc>
        <w:tc>
          <w:tcPr>
            <w:tcW w:w="4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Target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300" w:type="dxa"/>
            <w:vAlign w:val="bottom"/>
            <w:vMerge w:val="restart"/>
          </w:tcPr>
          <w:p>
            <w:pPr>
              <w:ind w:left="100"/>
              <w:spacing w:after="0"/>
              <w:rPr>
                <w:sz w:val="20"/>
                <w:szCs w:val="20"/>
                <w:color w:val="auto"/>
              </w:rPr>
            </w:pPr>
            <w:r>
              <w:rPr>
                <w:rFonts w:ascii="Arial" w:cs="Arial" w:eastAsia="Arial" w:hAnsi="Arial"/>
                <w:sz w:val="16"/>
                <w:szCs w:val="16"/>
                <w:color w:val="auto"/>
              </w:rPr>
              <w:t>Relative to the Peer</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3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rPr>
              <w:t>Unmodified</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tcPr>
          <w:p>
            <w:pPr>
              <w:ind w:left="100"/>
              <w:spacing w:after="0"/>
              <w:rPr>
                <w:sz w:val="20"/>
                <w:szCs w:val="20"/>
                <w:color w:val="auto"/>
              </w:rPr>
            </w:pPr>
            <w:r>
              <w:rPr>
                <w:rFonts w:ascii="Arial" w:cs="Arial" w:eastAsia="Arial" w:hAnsi="Arial"/>
                <w:sz w:val="16"/>
                <w:szCs w:val="16"/>
                <w:color w:val="auto"/>
              </w:rPr>
              <w:t>Group (70%)</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restart"/>
          </w:tcPr>
          <w:p>
            <w:pPr>
              <w:ind w:left="180"/>
              <w:spacing w:after="0"/>
              <w:rPr>
                <w:sz w:val="20"/>
                <w:szCs w:val="20"/>
                <w:color w:val="auto"/>
              </w:rPr>
            </w:pPr>
            <w:r>
              <w:rPr>
                <w:rFonts w:ascii="Arial" w:cs="Arial" w:eastAsia="Arial" w:hAnsi="Arial"/>
                <w:sz w:val="16"/>
                <w:szCs w:val="16"/>
                <w:color w:val="auto"/>
              </w:rPr>
              <w:t>50</w:t>
            </w:r>
            <w:r>
              <w:rPr>
                <w:rFonts w:ascii="Arial" w:cs="Arial" w:eastAsia="Arial" w:hAnsi="Arial"/>
                <w:sz w:val="19"/>
                <w:szCs w:val="19"/>
                <w:color w:val="auto"/>
                <w:vertAlign w:val="superscript"/>
              </w:rPr>
              <w:t>th</w:t>
            </w:r>
          </w:p>
        </w:tc>
        <w:tc>
          <w:tcPr>
            <w:tcW w:w="1480" w:type="dxa"/>
            <w:vAlign w:val="bottom"/>
            <w:vMerge w:val="restart"/>
          </w:tcPr>
          <w:p>
            <w:pPr>
              <w:spacing w:after="0"/>
              <w:rPr>
                <w:sz w:val="20"/>
                <w:szCs w:val="20"/>
                <w:color w:val="auto"/>
              </w:rPr>
            </w:pPr>
            <w:r>
              <w:rPr>
                <w:rFonts w:ascii="Arial" w:cs="Arial" w:eastAsia="Arial" w:hAnsi="Arial"/>
                <w:sz w:val="16"/>
                <w:szCs w:val="16"/>
                <w:color w:val="auto"/>
              </w:rPr>
              <w:t>Percentile: 100%</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89th</w:t>
            </w: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30</w:t>
            </w:r>
            <w:r>
              <w:rPr>
                <w:rFonts w:ascii="Arial" w:cs="Arial" w:eastAsia="Arial" w:hAnsi="Arial"/>
                <w:sz w:val="19"/>
                <w:szCs w:val="19"/>
                <w:color w:val="auto"/>
                <w:vertAlign w:val="superscript"/>
              </w:rPr>
              <w:t>th</w:t>
            </w:r>
          </w:p>
        </w:tc>
        <w:tc>
          <w:tcPr>
            <w:tcW w:w="1480" w:type="dxa"/>
            <w:vAlign w:val="bottom"/>
            <w:vMerge w:val="restart"/>
          </w:tcPr>
          <w:p>
            <w:pPr>
              <w:ind w:left="40"/>
              <w:spacing w:after="0"/>
              <w:rPr>
                <w:sz w:val="20"/>
                <w:szCs w:val="20"/>
                <w:color w:val="auto"/>
              </w:rPr>
            </w:pPr>
            <w:r>
              <w:rPr>
                <w:rFonts w:ascii="Arial" w:cs="Arial" w:eastAsia="Arial" w:hAnsi="Arial"/>
                <w:sz w:val="16"/>
                <w:szCs w:val="16"/>
                <w:color w:val="auto"/>
              </w:rPr>
              <w:t>Percentile: 50%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spacing w:after="0" w:line="176" w:lineRule="exact"/>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300" w:type="dxa"/>
            <w:vAlign w:val="bottom"/>
            <w:tcBorders>
              <w:bottom w:val="single" w:sz="8" w:color="7F7F7F"/>
            </w:tcBorders>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1300" w:type="dxa"/>
            <w:vAlign w:val="bottom"/>
            <w:tcBorders>
              <w:bottom w:val="single" w:sz="8" w:color="7F7F7F"/>
            </w:tcBorders>
          </w:tcPr>
          <w:p>
            <w:pPr>
              <w:spacing w:after="0"/>
              <w:rPr>
                <w:sz w:val="2"/>
                <w:szCs w:val="2"/>
                <w:color w:val="auto"/>
              </w:rPr>
            </w:pPr>
          </w:p>
        </w:tc>
        <w:tc>
          <w:tcPr>
            <w:tcW w:w="400" w:type="dxa"/>
            <w:vAlign w:val="bottom"/>
            <w:tcBorders>
              <w:bottom w:val="single" w:sz="8" w:color="7F7F7F"/>
            </w:tcBorders>
          </w:tcPr>
          <w:p>
            <w:pPr>
              <w:spacing w:after="0"/>
              <w:rPr>
                <w:sz w:val="2"/>
                <w:szCs w:val="2"/>
                <w:color w:val="auto"/>
              </w:rPr>
            </w:pPr>
          </w:p>
        </w:tc>
        <w:tc>
          <w:tcPr>
            <w:tcW w:w="920" w:type="dxa"/>
            <w:vAlign w:val="bottom"/>
            <w:tcBorders>
              <w:bottom w:val="single" w:sz="8" w:color="7F7F7F"/>
            </w:tcBorders>
          </w:tcPr>
          <w:p>
            <w:pPr>
              <w:spacing w:after="0"/>
              <w:rPr>
                <w:sz w:val="2"/>
                <w:szCs w:val="2"/>
                <w:color w:val="auto"/>
              </w:rPr>
            </w:pPr>
          </w:p>
        </w:tc>
        <w:tc>
          <w:tcPr>
            <w:tcW w:w="180" w:type="dxa"/>
            <w:vAlign w:val="bottom"/>
            <w:tcBorders>
              <w:bottom w:val="single" w:sz="8" w:color="7F7F7F"/>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300" w:type="dxa"/>
            <w:vAlign w:val="bottom"/>
            <w:vMerge w:val="restart"/>
          </w:tcPr>
          <w:p>
            <w:pPr>
              <w:ind w:left="60"/>
              <w:spacing w:after="0"/>
              <w:rPr>
                <w:sz w:val="20"/>
                <w:szCs w:val="20"/>
                <w:color w:val="auto"/>
              </w:rPr>
            </w:pPr>
            <w:r>
              <w:rPr>
                <w:rFonts w:ascii="Arial" w:cs="Arial" w:eastAsia="Arial" w:hAnsi="Arial"/>
                <w:sz w:val="16"/>
                <w:szCs w:val="16"/>
                <w:color w:val="auto"/>
              </w:rPr>
              <w:t>​Return on Average Tangible</w:t>
            </w:r>
          </w:p>
        </w:tc>
        <w:tc>
          <w:tcPr>
            <w:tcW w:w="4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5"/>
              </w:rPr>
              <w:t>ROATA: 3.36%</w:t>
            </w:r>
          </w:p>
        </w:tc>
        <w:tc>
          <w:tcPr>
            <w:tcW w:w="4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21.7% of</w:t>
            </w:r>
          </w:p>
        </w:tc>
        <w:tc>
          <w:tcPr>
            <w:tcW w:w="34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9"/>
              </w:rPr>
              <w:t>161.7%</w:t>
            </w: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30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300" w:type="dxa"/>
            <w:vAlign w:val="bottom"/>
            <w:vMerge w:val="restart"/>
          </w:tcPr>
          <w:p>
            <w:pPr>
              <w:ind w:left="100"/>
              <w:spacing w:after="0"/>
              <w:rPr>
                <w:sz w:val="20"/>
                <w:szCs w:val="20"/>
                <w:color w:val="auto"/>
              </w:rPr>
            </w:pPr>
            <w:r>
              <w:rPr>
                <w:rFonts w:ascii="Arial" w:cs="Arial" w:eastAsia="Arial" w:hAnsi="Arial"/>
                <w:sz w:val="16"/>
                <w:szCs w:val="16"/>
                <w:color w:val="auto"/>
              </w:rPr>
              <w:t>Assets Relative to the Peer</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80" w:type="dxa"/>
            <w:vAlign w:val="bottom"/>
            <w:gridSpan w:val="2"/>
            <w:vMerge w:val="restart"/>
          </w:tcPr>
          <w:p>
            <w:pPr>
              <w:ind w:left="220"/>
              <w:spacing w:after="0"/>
              <w:rPr>
                <w:sz w:val="20"/>
                <w:szCs w:val="20"/>
                <w:color w:val="auto"/>
              </w:rPr>
            </w:pPr>
            <w:r>
              <w:rPr>
                <w:rFonts w:ascii="Arial" w:cs="Arial" w:eastAsia="Arial" w:hAnsi="Arial"/>
                <w:sz w:val="16"/>
                <w:szCs w:val="16"/>
                <w:color w:val="auto"/>
              </w:rPr>
              <w:t>&lt; 30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Percentile: 0%</w:t>
            </w: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Percentile:</w:t>
            </w:r>
          </w:p>
        </w:tc>
        <w:tc>
          <w:tcPr>
            <w:tcW w:w="40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99"/>
              </w:rPr>
              <w:t>Target</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100"/>
              <w:spacing w:after="0"/>
              <w:rPr>
                <w:sz w:val="20"/>
                <w:szCs w:val="20"/>
                <w:color w:val="auto"/>
              </w:rPr>
            </w:pPr>
            <w:r>
              <w:rPr>
                <w:rFonts w:ascii="Arial" w:cs="Arial" w:eastAsia="Arial" w:hAnsi="Arial"/>
                <w:sz w:val="16"/>
                <w:szCs w:val="16"/>
                <w:color w:val="auto"/>
              </w:rPr>
              <w:t>Group (30%)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39th</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300" w:type="dxa"/>
            <w:vAlign w:val="bottom"/>
            <w:tcBorders>
              <w:bottom w:val="single" w:sz="8" w:color="7F7F7F"/>
            </w:tcBorders>
          </w:tcPr>
          <w:p>
            <w:pPr>
              <w:spacing w:after="0"/>
              <w:rPr>
                <w:sz w:val="6"/>
                <w:szCs w:val="6"/>
                <w:color w:val="auto"/>
              </w:rPr>
            </w:pPr>
          </w:p>
        </w:tc>
        <w:tc>
          <w:tcPr>
            <w:tcW w:w="180" w:type="dxa"/>
            <w:vAlign w:val="bottom"/>
            <w:tcBorders>
              <w:bottom w:val="single" w:sz="8" w:color="7F7F7F"/>
            </w:tcBorders>
          </w:tcPr>
          <w:p>
            <w:pPr>
              <w:spacing w:after="0"/>
              <w:rPr>
                <w:sz w:val="6"/>
                <w:szCs w:val="6"/>
                <w:color w:val="auto"/>
              </w:rPr>
            </w:pPr>
          </w:p>
        </w:tc>
        <w:tc>
          <w:tcPr>
            <w:tcW w:w="22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tcPr>
          <w:p>
            <w:pPr>
              <w:spacing w:after="0"/>
              <w:rPr>
                <w:sz w:val="6"/>
                <w:szCs w:val="6"/>
                <w:color w:val="auto"/>
              </w:rPr>
            </w:pPr>
          </w:p>
        </w:tc>
        <w:tc>
          <w:tcPr>
            <w:tcW w:w="1480" w:type="dxa"/>
            <w:vAlign w:val="bottom"/>
            <w:tcBorders>
              <w:bottom w:val="single" w:sz="8" w:color="7F7F7F"/>
            </w:tcBorders>
          </w:tcPr>
          <w:p>
            <w:pPr>
              <w:spacing w:after="0"/>
              <w:rPr>
                <w:sz w:val="6"/>
                <w:szCs w:val="6"/>
                <w:color w:val="auto"/>
              </w:rPr>
            </w:pPr>
          </w:p>
        </w:tc>
        <w:tc>
          <w:tcPr>
            <w:tcW w:w="400" w:type="dxa"/>
            <w:vAlign w:val="bottom"/>
            <w:tcBorders>
              <w:bottom w:val="single" w:sz="8" w:color="7F7F7F"/>
            </w:tcBorders>
            <w:gridSpan w:val="2"/>
          </w:tcPr>
          <w:p>
            <w:pPr>
              <w:spacing w:after="0"/>
              <w:rPr>
                <w:sz w:val="6"/>
                <w:szCs w:val="6"/>
                <w:color w:val="auto"/>
              </w:rPr>
            </w:pPr>
          </w:p>
        </w:tc>
        <w:tc>
          <w:tcPr>
            <w:tcW w:w="1300" w:type="dxa"/>
            <w:vAlign w:val="bottom"/>
            <w:tcBorders>
              <w:bottom w:val="single" w:sz="8" w:color="7F7F7F"/>
            </w:tcBorders>
          </w:tcPr>
          <w:p>
            <w:pPr>
              <w:spacing w:after="0"/>
              <w:rPr>
                <w:sz w:val="6"/>
                <w:szCs w:val="6"/>
                <w:color w:val="auto"/>
              </w:rPr>
            </w:pPr>
          </w:p>
        </w:tc>
        <w:tc>
          <w:tcPr>
            <w:tcW w:w="400" w:type="dxa"/>
            <w:vAlign w:val="bottom"/>
            <w:tcBorders>
              <w:bottom w:val="single" w:sz="8" w:color="7F7F7F"/>
            </w:tcBorders>
          </w:tcPr>
          <w:p>
            <w:pPr>
              <w:spacing w:after="0"/>
              <w:rPr>
                <w:sz w:val="6"/>
                <w:szCs w:val="6"/>
                <w:color w:val="auto"/>
              </w:rPr>
            </w:pPr>
          </w:p>
        </w:tc>
        <w:tc>
          <w:tcPr>
            <w:tcW w:w="920" w:type="dxa"/>
            <w:vAlign w:val="bottom"/>
            <w:tcBorders>
              <w:bottom w:val="single" w:sz="8" w:color="7F7F7F"/>
            </w:tcBorders>
          </w:tcPr>
          <w:p>
            <w:pPr>
              <w:spacing w:after="0"/>
              <w:rPr>
                <w:sz w:val="6"/>
                <w:szCs w:val="6"/>
                <w:color w:val="auto"/>
              </w:rPr>
            </w:pPr>
          </w:p>
        </w:tc>
        <w:tc>
          <w:tcPr>
            <w:tcW w:w="340" w:type="dxa"/>
            <w:vAlign w:val="bottom"/>
            <w:tcBorders>
              <w:bottom w:val="single" w:sz="8" w:color="7F7F7F"/>
            </w:tcBorders>
            <w:gridSpan w:val="2"/>
          </w:tcPr>
          <w:p>
            <w:pPr>
              <w:spacing w:after="0"/>
              <w:rPr>
                <w:sz w:val="6"/>
                <w:szCs w:val="6"/>
                <w:color w:val="auto"/>
              </w:rPr>
            </w:pPr>
          </w:p>
        </w:tc>
        <w:tc>
          <w:tcPr>
            <w:tcW w:w="1000" w:type="dxa"/>
            <w:vAlign w:val="bottom"/>
            <w:tcBorders>
              <w:bottom w:val="single" w:sz="8" w:color="7F7F7F"/>
            </w:tcBorders>
          </w:tcPr>
          <w:p>
            <w:pPr>
              <w:spacing w:after="0"/>
              <w:rPr>
                <w:sz w:val="6"/>
                <w:szCs w:val="6"/>
                <w:color w:val="auto"/>
              </w:rPr>
            </w:pPr>
          </w:p>
        </w:tc>
        <w:tc>
          <w:tcPr>
            <w:tcW w:w="140" w:type="dxa"/>
            <w:vAlign w:val="bottom"/>
            <w:tcBorders>
              <w:bottom w:val="single" w:sz="8" w:color="7F7F7F"/>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300" w:type="dxa"/>
            <w:vAlign w:val="bottom"/>
          </w:tcPr>
          <w:p>
            <w:pPr>
              <w:ind w:left="60"/>
              <w:spacing w:after="0"/>
              <w:rPr>
                <w:sz w:val="20"/>
                <w:szCs w:val="20"/>
                <w:color w:val="auto"/>
              </w:rPr>
            </w:pPr>
            <w:r>
              <w:rPr>
                <w:rFonts w:ascii="Arial" w:cs="Arial" w:eastAsia="Arial" w:hAnsi="Arial"/>
                <w:sz w:val="16"/>
                <w:szCs w:val="16"/>
                <w:color w:val="auto"/>
              </w:rPr>
              <w:t>​Relative Total Shareholder</w:t>
            </w:r>
          </w:p>
        </w:tc>
        <w:tc>
          <w:tcPr>
            <w:tcW w:w="400" w:type="dxa"/>
            <w:vAlign w:val="bottom"/>
            <w:gridSpan w:val="2"/>
          </w:tcPr>
          <w:p>
            <w:pPr>
              <w:ind w:left="140"/>
              <w:spacing w:after="0"/>
              <w:rPr>
                <w:sz w:val="20"/>
                <w:szCs w:val="20"/>
                <w:color w:val="auto"/>
              </w:rPr>
            </w:pPr>
            <w:r>
              <w:rPr>
                <w:rFonts w:ascii="Arial" w:cs="Arial" w:eastAsia="Arial" w:hAnsi="Arial"/>
                <w:sz w:val="16"/>
                <w:szCs w:val="16"/>
                <w:color w:val="auto"/>
              </w:rPr>
              <w:t>​ ​</w:t>
            </w:r>
          </w:p>
        </w:tc>
        <w:tc>
          <w:tcPr>
            <w:tcW w:w="500" w:type="dxa"/>
            <w:vAlign w:val="bottom"/>
          </w:tcPr>
          <w:p>
            <w:pPr>
              <w:ind w:left="100"/>
              <w:spacing w:after="0"/>
              <w:rPr>
                <w:sz w:val="20"/>
                <w:szCs w:val="20"/>
                <w:color w:val="auto"/>
              </w:rPr>
            </w:pPr>
            <w:r>
              <w:rPr>
                <w:rFonts w:ascii="Arial" w:cs="Arial" w:eastAsia="Arial" w:hAnsi="Arial"/>
                <w:sz w:val="16"/>
                <w:szCs w:val="16"/>
                <w:color w:val="auto"/>
              </w:rPr>
              <w:t>≥75</w:t>
            </w:r>
            <w:r>
              <w:rPr>
                <w:rFonts w:ascii="Arial" w:cs="Arial" w:eastAsia="Arial" w:hAnsi="Arial"/>
                <w:sz w:val="19"/>
                <w:szCs w:val="19"/>
                <w:color w:val="auto"/>
                <w:vertAlign w:val="superscript"/>
              </w:rPr>
              <w:t>th</w:t>
            </w:r>
          </w:p>
        </w:tc>
        <w:tc>
          <w:tcPr>
            <w:tcW w:w="1480" w:type="dxa"/>
            <w:vAlign w:val="bottom"/>
          </w:tcPr>
          <w:p>
            <w:pPr>
              <w:spacing w:after="0"/>
              <w:rPr>
                <w:sz w:val="20"/>
                <w:szCs w:val="20"/>
                <w:color w:val="auto"/>
              </w:rPr>
            </w:pPr>
            <w:r>
              <w:rPr>
                <w:rFonts w:ascii="Arial" w:cs="Arial" w:eastAsia="Arial" w:hAnsi="Arial"/>
                <w:sz w:val="16"/>
                <w:szCs w:val="16"/>
                <w:color w:val="auto"/>
              </w:rPr>
              <w:t>Percentile: x125%</w:t>
            </w:r>
          </w:p>
        </w:tc>
        <w:tc>
          <w:tcPr>
            <w:tcW w:w="400" w:type="dxa"/>
            <w:vAlign w:val="bottom"/>
            <w:gridSpan w:val="2"/>
          </w:tcPr>
          <w:p>
            <w:pPr>
              <w:jc w:val="right"/>
              <w:ind w:right="39"/>
              <w:spacing w:after="0"/>
              <w:rPr>
                <w:sz w:val="20"/>
                <w:szCs w:val="20"/>
                <w:color w:val="auto"/>
              </w:rPr>
            </w:pPr>
            <w:r>
              <w:rPr>
                <w:rFonts w:ascii="Arial" w:cs="Arial" w:eastAsia="Arial" w:hAnsi="Arial"/>
                <w:sz w:val="16"/>
                <w:szCs w:val="16"/>
                <w:color w:val="auto"/>
              </w:rPr>
              <w:t>​ ​</w:t>
            </w:r>
          </w:p>
        </w:tc>
        <w:tc>
          <w:tcPr>
            <w:tcW w:w="1300" w:type="dxa"/>
            <w:vAlign w:val="bottom"/>
          </w:tcPr>
          <w:p>
            <w:pPr>
              <w:jc w:val="center"/>
              <w:spacing w:after="0"/>
              <w:rPr>
                <w:sz w:val="20"/>
                <w:szCs w:val="20"/>
                <w:color w:val="auto"/>
              </w:rPr>
            </w:pPr>
            <w:r>
              <w:rPr>
                <w:rFonts w:ascii="Arial" w:cs="Arial" w:eastAsia="Arial" w:hAnsi="Arial"/>
                <w:sz w:val="16"/>
                <w:szCs w:val="16"/>
                <w:color w:val="auto"/>
                <w:w w:val="95"/>
              </w:rPr>
              <w:t>FHI TSR:</w:t>
            </w:r>
          </w:p>
        </w:tc>
        <w:tc>
          <w:tcPr>
            <w:tcW w:w="400" w:type="dxa"/>
            <w:vAlign w:val="bottom"/>
          </w:tcPr>
          <w:p>
            <w:pPr>
              <w:ind w:left="160"/>
              <w:spacing w:after="0"/>
              <w:rPr>
                <w:sz w:val="20"/>
                <w:szCs w:val="20"/>
                <w:color w:val="auto"/>
              </w:rPr>
            </w:pPr>
            <w:r>
              <w:rPr>
                <w:rFonts w:ascii="Arial" w:cs="Arial" w:eastAsia="Arial" w:hAnsi="Arial"/>
                <w:sz w:val="16"/>
                <w:szCs w:val="16"/>
                <w:color w:val="auto"/>
              </w:rPr>
              <w:t>​ ​</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x75%</w:t>
            </w:r>
          </w:p>
        </w:tc>
        <w:tc>
          <w:tcPr>
            <w:tcW w:w="340" w:type="dxa"/>
            <w:vAlign w:val="bottom"/>
            <w:gridSpan w:val="2"/>
          </w:tcPr>
          <w:p>
            <w:pPr>
              <w:ind w:left="140"/>
              <w:spacing w:after="0"/>
              <w:rPr>
                <w:sz w:val="20"/>
                <w:szCs w:val="20"/>
                <w:color w:val="auto"/>
              </w:rPr>
            </w:pPr>
            <w:r>
              <w:rPr>
                <w:rFonts w:ascii="Arial" w:cs="Arial" w:eastAsia="Arial" w:hAnsi="Arial"/>
                <w:sz w:val="16"/>
                <w:szCs w:val="16"/>
                <w:color w:val="auto"/>
              </w:rPr>
              <w:t>​ ​</w:t>
            </w:r>
          </w:p>
        </w:tc>
        <w:tc>
          <w:tcPr>
            <w:tcW w:w="1000" w:type="dxa"/>
            <w:vAlign w:val="bottom"/>
          </w:tcPr>
          <w:p>
            <w:pPr>
              <w:jc w:val="center"/>
              <w:spacing w:after="0"/>
              <w:rPr>
                <w:sz w:val="20"/>
                <w:szCs w:val="20"/>
                <w:color w:val="auto"/>
              </w:rPr>
            </w:pPr>
            <w:r>
              <w:rPr>
                <w:rFonts w:ascii="Arial" w:cs="Arial" w:eastAsia="Arial" w:hAnsi="Arial"/>
                <w:sz w:val="16"/>
                <w:szCs w:val="16"/>
                <w:color w:val="auto"/>
              </w:rPr>
              <w:t>Modified</w:t>
            </w:r>
          </w:p>
        </w:tc>
        <w:tc>
          <w:tcPr>
            <w:tcW w:w="140" w:type="dxa"/>
            <w:vAlign w:val="bottom"/>
          </w:tcPr>
          <w:p>
            <w:pPr>
              <w:ind w:left="80"/>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300" w:type="dxa"/>
            <w:vAlign w:val="bottom"/>
          </w:tcPr>
          <w:p>
            <w:pPr>
              <w:ind w:left="100"/>
              <w:spacing w:after="0"/>
              <w:rPr>
                <w:sz w:val="20"/>
                <w:szCs w:val="20"/>
                <w:color w:val="auto"/>
              </w:rPr>
            </w:pPr>
            <w:r>
              <w:rPr>
                <w:rFonts w:ascii="Arial" w:cs="Arial" w:eastAsia="Arial" w:hAnsi="Arial"/>
                <w:sz w:val="16"/>
                <w:szCs w:val="16"/>
                <w:color w:val="auto"/>
              </w:rPr>
              <w:t>Return (TSR) Modifier</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color w:val="auto"/>
              </w:rPr>
              <w:t>50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Percentile: x100%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(4.59)%</w:t>
            </w: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th</w:t>
            </w:r>
          </w:p>
        </w:tc>
        <w:tc>
          <w:tcPr>
            <w:tcW w:w="1480" w:type="dxa"/>
            <w:vAlign w:val="bottom"/>
            <w:vMerge w:val="restart"/>
          </w:tcPr>
          <w:p>
            <w:pPr>
              <w:ind w:left="40"/>
              <w:spacing w:after="0"/>
              <w:rPr>
                <w:sz w:val="20"/>
                <w:szCs w:val="20"/>
                <w:color w:val="auto"/>
              </w:rPr>
            </w:pPr>
            <w:r>
              <w:rPr>
                <w:rFonts w:ascii="Arial" w:cs="Arial" w:eastAsia="Arial" w:hAnsi="Arial"/>
                <w:sz w:val="16"/>
                <w:szCs w:val="16"/>
                <w:color w:val="auto"/>
              </w:rPr>
              <w:t>Percentile: x75%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Percentile: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ind w:left="140"/>
              <w:spacing w:after="0" w:line="107" w:lineRule="exact"/>
              <w:rPr>
                <w:sz w:val="20"/>
                <w:szCs w:val="20"/>
                <w:color w:val="auto"/>
              </w:rPr>
            </w:pPr>
            <w:r>
              <w:rPr>
                <w:rFonts w:ascii="Arial" w:cs="Arial" w:eastAsia="Arial" w:hAnsi="Arial"/>
                <w:sz w:val="12"/>
                <w:szCs w:val="12"/>
                <w:color w:val="auto"/>
              </w:rPr>
              <w:t>≤30</w:t>
            </w:r>
          </w:p>
        </w:tc>
        <w:tc>
          <w:tcPr>
            <w:tcW w:w="14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28th</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300" w:type="dxa"/>
            <w:vAlign w:val="bottom"/>
            <w:tcBorders>
              <w:bottom w:val="single" w:sz="8" w:color="BF5B5A"/>
            </w:tcBorders>
          </w:tcPr>
          <w:p>
            <w:pPr>
              <w:spacing w:after="0"/>
              <w:rPr>
                <w:sz w:val="2"/>
                <w:szCs w:val="2"/>
                <w:color w:val="auto"/>
              </w:rPr>
            </w:pPr>
          </w:p>
        </w:tc>
        <w:tc>
          <w:tcPr>
            <w:tcW w:w="180" w:type="dxa"/>
            <w:vAlign w:val="bottom"/>
            <w:tcBorders>
              <w:bottom w:val="single" w:sz="8" w:color="BF5B5A"/>
            </w:tcBorders>
          </w:tcPr>
          <w:p>
            <w:pPr>
              <w:spacing w:after="0"/>
              <w:rPr>
                <w:sz w:val="2"/>
                <w:szCs w:val="2"/>
                <w:color w:val="auto"/>
              </w:rPr>
            </w:pPr>
          </w:p>
        </w:tc>
        <w:tc>
          <w:tcPr>
            <w:tcW w:w="220" w:type="dxa"/>
            <w:vAlign w:val="bottom"/>
            <w:tcBorders>
              <w:bottom w:val="single" w:sz="8" w:color="BF5B5A"/>
            </w:tcBorders>
          </w:tcPr>
          <w:p>
            <w:pPr>
              <w:spacing w:after="0"/>
              <w:rPr>
                <w:sz w:val="2"/>
                <w:szCs w:val="2"/>
                <w:color w:val="auto"/>
              </w:rPr>
            </w:pPr>
          </w:p>
        </w:tc>
        <w:tc>
          <w:tcPr>
            <w:tcW w:w="500" w:type="dxa"/>
            <w:vAlign w:val="bottom"/>
            <w:tcBorders>
              <w:bottom w:val="single" w:sz="8" w:color="BF5B5A"/>
            </w:tcBorders>
          </w:tcPr>
          <w:p>
            <w:pPr>
              <w:spacing w:after="0"/>
              <w:rPr>
                <w:sz w:val="2"/>
                <w:szCs w:val="2"/>
                <w:color w:val="auto"/>
              </w:rPr>
            </w:pPr>
          </w:p>
        </w:tc>
        <w:tc>
          <w:tcPr>
            <w:tcW w:w="1480" w:type="dxa"/>
            <w:vAlign w:val="bottom"/>
            <w:tcBorders>
              <w:bottom w:val="single" w:sz="8" w:color="BF5B5A"/>
            </w:tcBorders>
          </w:tcPr>
          <w:p>
            <w:pPr>
              <w:spacing w:after="0"/>
              <w:rPr>
                <w:sz w:val="2"/>
                <w:szCs w:val="2"/>
                <w:color w:val="auto"/>
              </w:rPr>
            </w:pPr>
          </w:p>
        </w:tc>
        <w:tc>
          <w:tcPr>
            <w:tcW w:w="180" w:type="dxa"/>
            <w:vAlign w:val="bottom"/>
            <w:tcBorders>
              <w:bottom w:val="single" w:sz="8" w:color="BF5B5A"/>
            </w:tcBorders>
          </w:tcPr>
          <w:p>
            <w:pPr>
              <w:spacing w:after="0"/>
              <w:rPr>
                <w:sz w:val="2"/>
                <w:szCs w:val="2"/>
                <w:color w:val="auto"/>
              </w:rPr>
            </w:pPr>
          </w:p>
        </w:tc>
        <w:tc>
          <w:tcPr>
            <w:tcW w:w="220" w:type="dxa"/>
            <w:vAlign w:val="bottom"/>
            <w:tcBorders>
              <w:bottom w:val="single" w:sz="8" w:color="BF5B5A"/>
            </w:tcBorders>
          </w:tcPr>
          <w:p>
            <w:pPr>
              <w:spacing w:after="0"/>
              <w:rPr>
                <w:sz w:val="2"/>
                <w:szCs w:val="2"/>
                <w:color w:val="auto"/>
              </w:rPr>
            </w:pPr>
          </w:p>
        </w:tc>
        <w:tc>
          <w:tcPr>
            <w:tcW w:w="1300" w:type="dxa"/>
            <w:vAlign w:val="bottom"/>
            <w:tcBorders>
              <w:bottom w:val="single" w:sz="8" w:color="BF5B5A"/>
            </w:tcBorders>
          </w:tcPr>
          <w:p>
            <w:pPr>
              <w:spacing w:after="0"/>
              <w:rPr>
                <w:sz w:val="2"/>
                <w:szCs w:val="2"/>
                <w:color w:val="auto"/>
              </w:rPr>
            </w:pPr>
          </w:p>
        </w:tc>
        <w:tc>
          <w:tcPr>
            <w:tcW w:w="400" w:type="dxa"/>
            <w:vAlign w:val="bottom"/>
            <w:tcBorders>
              <w:bottom w:val="single" w:sz="8" w:color="BF5B5A"/>
            </w:tcBorders>
          </w:tcPr>
          <w:p>
            <w:pPr>
              <w:spacing w:after="0"/>
              <w:rPr>
                <w:sz w:val="2"/>
                <w:szCs w:val="2"/>
                <w:color w:val="auto"/>
              </w:rPr>
            </w:pPr>
          </w:p>
        </w:tc>
        <w:tc>
          <w:tcPr>
            <w:tcW w:w="920" w:type="dxa"/>
            <w:vAlign w:val="bottom"/>
            <w:tcBorders>
              <w:bottom w:val="single" w:sz="8" w:color="BF5B5A"/>
            </w:tcBorders>
          </w:tcPr>
          <w:p>
            <w:pPr>
              <w:spacing w:after="0"/>
              <w:rPr>
                <w:sz w:val="2"/>
                <w:szCs w:val="2"/>
                <w:color w:val="auto"/>
              </w:rPr>
            </w:pPr>
          </w:p>
        </w:tc>
        <w:tc>
          <w:tcPr>
            <w:tcW w:w="180" w:type="dxa"/>
            <w:vAlign w:val="bottom"/>
            <w:tcBorders>
              <w:bottom w:val="single" w:sz="8" w:color="BF5B5A"/>
            </w:tcBorders>
          </w:tcPr>
          <w:p>
            <w:pPr>
              <w:spacing w:after="0"/>
              <w:rPr>
                <w:sz w:val="2"/>
                <w:szCs w:val="2"/>
                <w:color w:val="auto"/>
              </w:rPr>
            </w:pPr>
          </w:p>
        </w:tc>
        <w:tc>
          <w:tcPr>
            <w:tcW w:w="160" w:type="dxa"/>
            <w:vAlign w:val="bottom"/>
            <w:tcBorders>
              <w:bottom w:val="single" w:sz="8" w:color="BF5B5A"/>
            </w:tcBorders>
          </w:tcPr>
          <w:p>
            <w:pPr>
              <w:spacing w:after="0"/>
              <w:rPr>
                <w:sz w:val="2"/>
                <w:szCs w:val="2"/>
                <w:color w:val="auto"/>
              </w:rPr>
            </w:pPr>
          </w:p>
        </w:tc>
        <w:tc>
          <w:tcPr>
            <w:tcW w:w="1000" w:type="dxa"/>
            <w:vAlign w:val="bottom"/>
            <w:tcBorders>
              <w:bottom w:val="single" w:sz="8" w:color="BF5B5A"/>
            </w:tcBorders>
          </w:tcPr>
          <w:p>
            <w:pPr>
              <w:spacing w:after="0"/>
              <w:rPr>
                <w:sz w:val="2"/>
                <w:szCs w:val="2"/>
                <w:color w:val="auto"/>
              </w:rPr>
            </w:pPr>
          </w:p>
        </w:tc>
        <w:tc>
          <w:tcPr>
            <w:tcW w:w="140" w:type="dxa"/>
            <w:vAlign w:val="bottom"/>
            <w:tcBorders>
              <w:bottom w:val="single" w:sz="8" w:color="BF5B5A"/>
            </w:tcBorders>
          </w:tcPr>
          <w:p>
            <w:pPr>
              <w:spacing w:after="0"/>
              <w:rPr>
                <w:sz w:val="2"/>
                <w:szCs w:val="2"/>
                <w:color w:val="auto"/>
              </w:rPr>
            </w:pPr>
          </w:p>
        </w:tc>
        <w:tc>
          <w:tcPr>
            <w:tcW w:w="200" w:type="dxa"/>
            <w:vAlign w:val="bottom"/>
            <w:tcBorders>
              <w:bottom w:val="single" w:sz="8" w:color="BF5B5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780" w:right="260"/>
        <w:spacing w:after="0" w:line="303" w:lineRule="auto"/>
        <w:rPr>
          <w:sz w:val="20"/>
          <w:szCs w:val="20"/>
          <w:color w:val="auto"/>
        </w:rPr>
      </w:pPr>
      <w:r>
        <w:rPr>
          <w:rFonts w:ascii="Arial" w:cs="Arial" w:eastAsia="Arial" w:hAnsi="Arial"/>
          <w:sz w:val="18"/>
          <w:szCs w:val="18"/>
          <w:color w:val="auto"/>
        </w:rPr>
        <w:t>As a result of this performance, the NEOs earned the following Performance Share Unit Awards for the 2021 to 2023 performance cycle:</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4380" w:type="dxa"/>
            <w:vAlign w:val="bottom"/>
            <w:shd w:val="clear" w:color="auto" w:fill="BF5B5A"/>
          </w:tcPr>
          <w:p>
            <w:pPr>
              <w:spacing w:after="0"/>
              <w:rPr>
                <w:sz w:val="16"/>
                <w:szCs w:val="16"/>
                <w:color w:val="auto"/>
              </w:rPr>
            </w:pPr>
          </w:p>
        </w:tc>
        <w:tc>
          <w:tcPr>
            <w:tcW w:w="2740" w:type="dxa"/>
            <w:vAlign w:val="bottom"/>
            <w:shd w:val="clear" w:color="auto" w:fill="BF5B5A"/>
          </w:tcPr>
          <w:p>
            <w:pPr>
              <w:spacing w:after="0"/>
              <w:rPr>
                <w:sz w:val="16"/>
                <w:szCs w:val="16"/>
                <w:color w:val="auto"/>
              </w:rPr>
            </w:pPr>
          </w:p>
        </w:tc>
        <w:tc>
          <w:tcPr>
            <w:tcW w:w="1860" w:type="dxa"/>
            <w:vAlign w:val="bottom"/>
            <w:gridSpan w:val="2"/>
            <w:shd w:val="clear" w:color="auto" w:fill="BF5B5A"/>
          </w:tcPr>
          <w:p>
            <w:pPr>
              <w:jc w:val="right"/>
              <w:ind w:right="19"/>
              <w:spacing w:after="0"/>
              <w:rPr>
                <w:sz w:val="20"/>
                <w:szCs w:val="20"/>
                <w:color w:val="auto"/>
              </w:rPr>
            </w:pPr>
            <w:r>
              <w:rPr>
                <w:rFonts w:ascii="Arial" w:cs="Arial" w:eastAsia="Arial" w:hAnsi="Arial"/>
                <w:sz w:val="16"/>
                <w:szCs w:val="16"/>
                <w:b w:val="1"/>
                <w:bCs w:val="1"/>
                <w:color w:val="FFFFFF"/>
                <w:w w:val="95"/>
              </w:rPr>
              <w:t>Number of Performance</w:t>
            </w:r>
          </w:p>
        </w:tc>
        <w:tc>
          <w:tcPr>
            <w:tcW w:w="200" w:type="dxa"/>
            <w:vAlign w:val="bottom"/>
            <w:shd w:val="clear" w:color="auto" w:fill="BF5B5A"/>
          </w:tcPr>
          <w:p>
            <w:pPr>
              <w:spacing w:after="0"/>
              <w:rPr>
                <w:sz w:val="16"/>
                <w:szCs w:val="16"/>
                <w:color w:val="auto"/>
              </w:rPr>
            </w:pPr>
          </w:p>
        </w:tc>
      </w:tr>
      <w:tr>
        <w:trPr>
          <w:trHeight w:val="230"/>
        </w:trPr>
        <w:tc>
          <w:tcPr>
            <w:tcW w:w="43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 Named Executive Officer</w:t>
            </w:r>
          </w:p>
        </w:tc>
        <w:tc>
          <w:tcPr>
            <w:tcW w:w="2740" w:type="dxa"/>
            <w:vAlign w:val="bottom"/>
            <w:shd w:val="clear" w:color="auto" w:fill="BF5B5A"/>
          </w:tcPr>
          <w:p>
            <w:pPr>
              <w:ind w:left="2500"/>
              <w:spacing w:after="0"/>
              <w:rPr>
                <w:sz w:val="20"/>
                <w:szCs w:val="20"/>
                <w:color w:val="auto"/>
              </w:rPr>
            </w:pPr>
            <w:r>
              <w:rPr>
                <w:rFonts w:ascii="Arial" w:cs="Arial" w:eastAsia="Arial" w:hAnsi="Arial"/>
                <w:sz w:val="16"/>
                <w:szCs w:val="16"/>
                <w:b w:val="1"/>
                <w:bCs w:val="1"/>
                <w:color w:val="FFFFFF"/>
              </w:rPr>
              <w:t>​ ​</w:t>
            </w:r>
          </w:p>
        </w:tc>
        <w:tc>
          <w:tcPr>
            <w:tcW w:w="1860" w:type="dxa"/>
            <w:vAlign w:val="bottom"/>
            <w:gridSpan w:val="2"/>
            <w:shd w:val="clear" w:color="auto" w:fill="BF5B5A"/>
          </w:tcPr>
          <w:p>
            <w:pPr>
              <w:jc w:val="right"/>
              <w:ind w:right="79"/>
              <w:spacing w:after="0"/>
              <w:rPr>
                <w:sz w:val="20"/>
                <w:szCs w:val="20"/>
                <w:color w:val="auto"/>
              </w:rPr>
            </w:pPr>
            <w:r>
              <w:rPr>
                <w:rFonts w:ascii="Arial" w:cs="Arial" w:eastAsia="Arial" w:hAnsi="Arial"/>
                <w:sz w:val="16"/>
                <w:szCs w:val="16"/>
                <w:b w:val="1"/>
                <w:bCs w:val="1"/>
                <w:color w:val="FFFFFF"/>
              </w:rPr>
              <w:t>Share Awards Earned</w:t>
            </w:r>
          </w:p>
        </w:tc>
        <w:tc>
          <w:tcPr>
            <w:tcW w:w="20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r>
      <w:tr>
        <w:trPr>
          <w:trHeight w:val="257"/>
        </w:trPr>
        <w:tc>
          <w:tcPr>
            <w:tcW w:w="438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gridSpan w:val="2"/>
          </w:tcPr>
          <w:p>
            <w:pPr>
              <w:jc w:val="right"/>
              <w:ind w:right="57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​49,644</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43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M. Moses</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7F7F7F"/>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Borders>
              <w:bottom w:val="single" w:sz="8" w:color="7F7F7F"/>
            </w:tcBorders>
          </w:tcPr>
          <w:p>
            <w:pPr>
              <w:jc w:val="right"/>
              <w:ind w:right="5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43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gridSpan w:val="2"/>
          </w:tcPr>
          <w:p>
            <w:pPr>
              <w:jc w:val="right"/>
              <w:ind w:right="5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6,431</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43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gridSpan w:val="2"/>
          </w:tcPr>
          <w:p>
            <w:pPr>
              <w:jc w:val="right"/>
              <w:ind w:right="5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7,588</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438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Neill A. Char</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gridSpan w:val="2"/>
          </w:tcPr>
          <w:p>
            <w:pPr>
              <w:jc w:val="right"/>
              <w:ind w:right="5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5,243</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91"/>
        </w:trPr>
        <w:tc>
          <w:tcPr>
            <w:tcW w:w="4380" w:type="dxa"/>
            <w:vAlign w:val="bottom"/>
            <w:tcBorders>
              <w:bottom w:val="single" w:sz="8" w:color="7F7F7F"/>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Ralph M. Mesick</w:t>
            </w:r>
            <w:r>
              <w:rPr>
                <w:rFonts w:ascii="Arial" w:cs="Arial" w:eastAsia="Arial" w:hAnsi="Arial"/>
                <w:sz w:val="19"/>
                <w:szCs w:val="19"/>
                <w:color w:val="auto"/>
                <w:vertAlign w:val="superscript"/>
              </w:rPr>
              <w:t>(1)</w:t>
            </w:r>
          </w:p>
        </w:tc>
        <w:tc>
          <w:tcPr>
            <w:tcW w:w="2740" w:type="dxa"/>
            <w:vAlign w:val="bottom"/>
            <w:tcBorders>
              <w:bottom w:val="single" w:sz="8" w:color="7F7F7F"/>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7F7F7F"/>
            </w:tcBorders>
            <w:gridSpan w:val="2"/>
          </w:tcPr>
          <w:p>
            <w:pPr>
              <w:jc w:val="right"/>
              <w:ind w:right="579"/>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​11,499</w:t>
            </w:r>
          </w:p>
        </w:tc>
        <w:tc>
          <w:tcPr>
            <w:tcW w:w="20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w:t>
            </w:r>
          </w:p>
        </w:tc>
      </w:tr>
      <w:tr>
        <w:trPr>
          <w:trHeight w:val="290"/>
        </w:trPr>
        <w:tc>
          <w:tcPr>
            <w:tcW w:w="4380" w:type="dxa"/>
            <w:vAlign w:val="bottom"/>
            <w:tcBorders>
              <w:bottom w:val="single" w:sz="8" w:color="BF5B5A"/>
            </w:tcBorders>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Lance A. Mizumoto</w:t>
            </w:r>
            <w:r>
              <w:rPr>
                <w:rFonts w:ascii="Arial" w:cs="Arial" w:eastAsia="Arial" w:hAnsi="Arial"/>
                <w:sz w:val="19"/>
                <w:szCs w:val="19"/>
                <w:color w:val="auto"/>
                <w:vertAlign w:val="superscript"/>
              </w:rPr>
              <w:t>(1)</w:t>
            </w:r>
          </w:p>
        </w:tc>
        <w:tc>
          <w:tcPr>
            <w:tcW w:w="2740" w:type="dxa"/>
            <w:vAlign w:val="bottom"/>
            <w:tcBorders>
              <w:bottom w:val="single" w:sz="8" w:color="BF5B5A"/>
            </w:tcBorders>
          </w:tcPr>
          <w:p>
            <w:pPr>
              <w:ind w:left="2540"/>
              <w:spacing w:after="0"/>
              <w:rPr>
                <w:sz w:val="20"/>
                <w:szCs w:val="20"/>
                <w:color w:val="auto"/>
              </w:rPr>
            </w:pPr>
            <w:r>
              <w:rPr>
                <w:rFonts w:ascii="Arial" w:cs="Arial" w:eastAsia="Arial" w:hAnsi="Arial"/>
                <w:sz w:val="16"/>
                <w:szCs w:val="16"/>
                <w:color w:val="auto"/>
              </w:rPr>
              <w:t>​ ​</w:t>
            </w:r>
          </w:p>
        </w:tc>
        <w:tc>
          <w:tcPr>
            <w:tcW w:w="1860" w:type="dxa"/>
            <w:vAlign w:val="bottom"/>
            <w:tcBorders>
              <w:bottom w:val="single" w:sz="8" w:color="BF5B5A"/>
            </w:tcBorders>
            <w:gridSpan w:val="2"/>
          </w:tcPr>
          <w:p>
            <w:pPr>
              <w:jc w:val="right"/>
              <w:ind w:right="579"/>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8,220</w:t>
            </w:r>
          </w:p>
        </w:tc>
        <w:tc>
          <w:tcPr>
            <w:tcW w:w="200" w:type="dxa"/>
            <w:vAlign w:val="bottom"/>
            <w:tcBorders>
              <w:bottom w:val="single" w:sz="8" w:color="BF5B5A"/>
            </w:tcBorders>
          </w:tcPr>
          <w:p>
            <w:pPr>
              <w:ind w:left="80"/>
              <w:spacing w:after="0"/>
              <w:rPr>
                <w:sz w:val="20"/>
                <w:szCs w:val="20"/>
                <w:color w:val="auto"/>
              </w:rPr>
            </w:pPr>
            <w:r>
              <w:rPr>
                <w:rFonts w:ascii="Arial" w:cs="Arial" w:eastAsia="Arial" w:hAnsi="Arial"/>
                <w:sz w:val="16"/>
                <w:szCs w:val="16"/>
                <w:color w:val="auto"/>
              </w:rPr>
              <w:t>​​</w:t>
            </w:r>
          </w:p>
        </w:tc>
      </w:tr>
    </w:tbl>
    <w:p>
      <w:pPr>
        <w:ind w:left="1140" w:right="300" w:hanging="360"/>
        <w:spacing w:after="0" w:line="301" w:lineRule="auto"/>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Portions of these awards granted to Messrs. Mesick and Mizumoto were forfeited in connection with their terminations of employment on July 1, 2023 and October 1, 2023, respectively. See “—</w:t>
      </w:r>
      <w:r>
        <w:rPr>
          <w:rFonts w:ascii="Arial" w:cs="Arial" w:eastAsia="Arial" w:hAnsi="Arial"/>
          <w:sz w:val="16"/>
          <w:szCs w:val="16"/>
          <w:i w:val="1"/>
          <w:iCs w:val="1"/>
          <w:color w:val="auto"/>
        </w:rPr>
        <w:t>Employment Agreements, Offer Letters and</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Payments</w:t>
      </w:r>
      <w:r>
        <w:rPr>
          <w:rFonts w:ascii="Arial" w:cs="Arial" w:eastAsia="Arial" w:hAnsi="Arial"/>
          <w:sz w:val="16"/>
          <w:szCs w:val="16"/>
          <w:color w:val="auto"/>
        </w:rPr>
        <w:t>”).</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Employment Agreements, Offer Letters and Severance Payments</w:t>
      </w:r>
    </w:p>
    <w:p>
      <w:pPr>
        <w:sectPr>
          <w:pgSz w:w="11900" w:h="16838" w:orient="portrait"/>
          <w:cols w:equalWidth="0" w:num="1">
            <w:col w:w="10160"/>
          </w:cols>
          <w:pgMar w:left="580" w:top="97" w:right="1159" w:bottom="1440" w:gutter="0" w:footer="0" w:header="0"/>
        </w:sectPr>
      </w:pPr>
    </w:p>
    <w:p>
      <w:pPr>
        <w:spacing w:after="0" w:line="235"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auto"/>
        </w:rPr>
        <w:t>Employment Agreement with Mr.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53340</wp:posOffset>
            </wp:positionV>
            <wp:extent cx="27603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5" w:lineRule="exact"/>
        <w:rPr>
          <w:sz w:val="20"/>
          <w:szCs w:val="20"/>
          <w:color w:val="auto"/>
        </w:rPr>
      </w:pPr>
    </w:p>
    <w:p>
      <w:pPr>
        <w:ind w:left="780" w:right="60"/>
        <w:spacing w:after="0" w:line="264" w:lineRule="auto"/>
        <w:rPr>
          <w:sz w:val="20"/>
          <w:szCs w:val="20"/>
          <w:color w:val="auto"/>
        </w:rPr>
      </w:pPr>
      <w:r>
        <w:rPr>
          <w:rFonts w:ascii="Arial" w:cs="Arial" w:eastAsia="Arial" w:hAnsi="Arial"/>
          <w:sz w:val="18"/>
          <w:szCs w:val="18"/>
          <w:color w:val="auto"/>
        </w:rPr>
        <w:t>We entered into an employment agreement with Mr. Harrison, which became effective on January 1, 2012. The agreement was for an initial term of</w:t>
      </w:r>
    </w:p>
    <w:p>
      <w:pPr>
        <w:spacing w:after="0" w:line="1"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color w:val="auto"/>
        </w:rPr>
        <w:t>two years with automatic one-year extensions at the end of each year unless notice of termination is provided. During the initial term of the agreement, Mr. Harrison served as President and Chief Executive Officer, reporting to the board of directors of First Hawaiian Bank and the Chief Executive Officer of BancWest. Mr. Harrison has since been named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Chairman and President and he continues to serve as Chief Executive Officer of First Hawaiian.</w:t>
      </w:r>
    </w:p>
    <w:p>
      <w:pPr>
        <w:spacing w:after="0" w:line="99"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Material terms of the employment agreement include an annual base salary, participation in the Bonus Plan and annual equity awards, including performance-and time-vesting equity, as may be established by the Committee.</w:t>
      </w:r>
    </w:p>
    <w:p>
      <w:pPr>
        <w:spacing w:after="0" w:line="1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Mr. Harrison’s employment agreement also includes severance benefits, which have since been replaced by his participation in the First Hawaiian, Inc.</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Amended and Restated (the “Executive Severance Plan”) as described under “</w:t>
      </w:r>
      <w:r>
        <w:rPr>
          <w:rFonts w:ascii="Arial" w:cs="Arial" w:eastAsia="Arial" w:hAnsi="Arial"/>
          <w:sz w:val="18"/>
          <w:szCs w:val="18"/>
          <w:i w:val="1"/>
          <w:iCs w:val="1"/>
          <w:color w:val="auto"/>
        </w:rPr>
        <w:t>Executive Compensation</w:t>
      </w:r>
    </w:p>
    <w:p>
      <w:pPr>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ectPr>
          <w:pgSz w:w="11900" w:h="16838" w:orient="portrait"/>
          <w:cols w:equalWidth="0" w:num="2">
            <w:col w:w="5060" w:space="560"/>
            <w:col w:w="4540"/>
          </w:cols>
          <w:pgMar w:left="580" w:top="97" w:right="1159" w:bottom="1440" w:gutter="0" w:footer="0" w:header="0"/>
          <w:type w:val="continuous"/>
        </w:sectPr>
      </w:pPr>
    </w:p>
    <w:p>
      <w:pPr>
        <w:spacing w:after="0" w:line="47"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57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60"/>
          </w:cols>
          <w:pgMar w:left="580" w:top="97" w:right="115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268" w:lineRule="exact"/>
        <w:rPr>
          <w:sz w:val="20"/>
          <w:szCs w:val="20"/>
          <w:color w:val="auto"/>
        </w:rPr>
      </w:pPr>
    </w:p>
    <w:p>
      <w:pPr>
        <w:ind w:left="780" w:right="20"/>
        <w:spacing w:after="0" w:line="332" w:lineRule="auto"/>
        <w:rPr>
          <w:sz w:val="20"/>
          <w:szCs w:val="20"/>
          <w:color w:val="auto"/>
        </w:rPr>
      </w:pPr>
      <w:r>
        <w:rPr>
          <w:rFonts w:ascii="Arial" w:cs="Arial" w:eastAsia="Arial" w:hAnsi="Arial"/>
          <w:sz w:val="17"/>
          <w:szCs w:val="17"/>
          <w:i w:val="1"/>
          <w:iCs w:val="1"/>
          <w:color w:val="auto"/>
        </w:rPr>
        <w:t>Executive Compensation Tables—Potential Payments upon Termination or Change in Control” below.</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employment agreement also contains:</w:t>
      </w:r>
    </w:p>
    <w:p>
      <w:pPr>
        <w:spacing w:after="0" w:line="158" w:lineRule="exact"/>
        <w:rPr>
          <w:sz w:val="20"/>
          <w:szCs w:val="20"/>
          <w:color w:val="auto"/>
        </w:rPr>
      </w:pPr>
    </w:p>
    <w:p>
      <w:pPr>
        <w:ind w:left="1500" w:right="80" w:hanging="360"/>
        <w:spacing w:after="0" w:line="283" w:lineRule="auto"/>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confidentiality provision that applies during the term of employment and for one year following any termination of employment,</w:t>
      </w:r>
    </w:p>
    <w:p>
      <w:pPr>
        <w:spacing w:after="0" w:line="103" w:lineRule="exact"/>
        <w:rPr>
          <w:rFonts w:ascii="Arial" w:cs="Arial" w:eastAsia="Arial" w:hAnsi="Arial"/>
          <w:sz w:val="18"/>
          <w:szCs w:val="18"/>
          <w:color w:val="auto"/>
        </w:rPr>
      </w:pPr>
    </w:p>
    <w:p>
      <w:pPr>
        <w:ind w:left="1500" w:right="80" w:hanging="360"/>
        <w:spacing w:after="0" w:line="279" w:lineRule="auto"/>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non-competition provision that applies during the term of employment and for one year following any termination of employment that results in severance benefits, and</w:t>
      </w:r>
    </w:p>
    <w:p>
      <w:pPr>
        <w:spacing w:after="0" w:line="92" w:lineRule="exact"/>
        <w:rPr>
          <w:rFonts w:ascii="Arial" w:cs="Arial" w:eastAsia="Arial" w:hAnsi="Arial"/>
          <w:sz w:val="18"/>
          <w:szCs w:val="18"/>
          <w:color w:val="auto"/>
        </w:rPr>
      </w:pPr>
    </w:p>
    <w:p>
      <w:pPr>
        <w:ind w:left="1500" w:right="80" w:hanging="360"/>
        <w:spacing w:after="0" w:line="283" w:lineRule="auto"/>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employee non-solicitation provision that applies during the term of employment and for one year following any termination of employment.</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Offer Letter with Mr.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46355</wp:posOffset>
            </wp:positionV>
            <wp:extent cx="276034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50" w:lineRule="exact"/>
        <w:rPr>
          <w:sz w:val="20"/>
          <w:szCs w:val="20"/>
          <w:color w:val="auto"/>
        </w:rPr>
      </w:pPr>
    </w:p>
    <w:p>
      <w:pPr>
        <w:ind w:left="780" w:right="80"/>
        <w:spacing w:after="0" w:line="263" w:lineRule="auto"/>
        <w:rPr>
          <w:sz w:val="20"/>
          <w:szCs w:val="20"/>
          <w:color w:val="auto"/>
        </w:rPr>
      </w:pPr>
      <w:r>
        <w:rPr>
          <w:rFonts w:ascii="Arial" w:cs="Arial" w:eastAsia="Arial" w:hAnsi="Arial"/>
          <w:sz w:val="18"/>
          <w:szCs w:val="18"/>
          <w:color w:val="auto"/>
        </w:rPr>
        <w:t>In connection with his appointment as Vice Chairman and Chief Financial Officer of the Company and the Bank, Mr. Moses entered into an offer letter with the Company on December 14, 2022. Mr. Moses’s offer letter provides for a base salary of $475,000 and an annual bonus equal to 75% of his base salary for 2023, subject to the achievement of performance goals, and based on a target of 75% of base salary for future years.</w:t>
      </w:r>
    </w:p>
    <w:p>
      <w:pPr>
        <w:spacing w:after="0" w:line="2" w:lineRule="exact"/>
        <w:rPr>
          <w:sz w:val="20"/>
          <w:szCs w:val="20"/>
          <w:color w:val="auto"/>
        </w:rPr>
      </w:pPr>
    </w:p>
    <w:p>
      <w:pPr>
        <w:ind w:left="780" w:right="20"/>
        <w:spacing w:after="0" w:line="261" w:lineRule="auto"/>
        <w:rPr>
          <w:sz w:val="20"/>
          <w:szCs w:val="20"/>
          <w:color w:val="auto"/>
        </w:rPr>
      </w:pPr>
      <w:r>
        <w:rPr>
          <w:rFonts w:ascii="Arial" w:cs="Arial" w:eastAsia="Arial" w:hAnsi="Arial"/>
          <w:sz w:val="18"/>
          <w:szCs w:val="18"/>
          <w:color w:val="auto"/>
        </w:rPr>
        <w:t>Mr. Moses is eligible to participate in the Company’s Long-Term Incentive Plan and was granted an award valued at $670,000 for the 2023-2025 performance period, in the form of performance share units and restricted stock units. In addition, Mr. Moses became entitled to a one-time sign-on cash award of $700,000 upon joining the Company, of which $500,000 was paid on the first regularly scheduled pay date following the commencement of employment. The remaining $200,000 was paid in the form of restricted stock units that vest 50% on the first anniversary of his employment start date and 50% on the second anniversary of his employment start date. Mr. Moses is entitled to a relocation allowance of $100,000, which will be grossed up, will receive an annual $7,200 automobile allowance and will be eligible to participate in the Company’s benefit plans, including the Executive Severance Plan.</w:t>
      </w:r>
    </w:p>
    <w:p>
      <w:pPr>
        <w:spacing w:after="0" w:line="200" w:lineRule="exact"/>
        <w:rPr>
          <w:sz w:val="20"/>
          <w:szCs w:val="20"/>
          <w:color w:val="auto"/>
        </w:rPr>
      </w:pPr>
    </w:p>
    <w:p>
      <w:pPr>
        <w:spacing w:after="0" w:line="338" w:lineRule="exact"/>
        <w:rPr>
          <w:sz w:val="20"/>
          <w:szCs w:val="20"/>
          <w:color w:val="auto"/>
        </w:rPr>
      </w:pPr>
    </w:p>
    <w:p>
      <w:pPr>
        <w:ind w:left="820" w:right="20"/>
        <w:spacing w:after="0" w:line="285" w:lineRule="auto"/>
        <w:rPr>
          <w:sz w:val="20"/>
          <w:szCs w:val="20"/>
          <w:color w:val="auto"/>
        </w:rPr>
      </w:pPr>
      <w:r>
        <w:rPr>
          <w:rFonts w:ascii="Arial" w:cs="Arial" w:eastAsia="Arial" w:hAnsi="Arial"/>
          <w:sz w:val="22"/>
          <w:szCs w:val="22"/>
          <w:b w:val="1"/>
          <w:bCs w:val="1"/>
          <w:color w:val="auto"/>
        </w:rPr>
        <w:t>Payments to Mr. Mesick in Connection with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276034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58" w:lineRule="exact"/>
        <w:rPr>
          <w:sz w:val="20"/>
          <w:szCs w:val="20"/>
          <w:color w:val="auto"/>
        </w:rPr>
      </w:pPr>
    </w:p>
    <w:p>
      <w:pPr>
        <w:ind w:left="780"/>
        <w:spacing w:after="0" w:line="303" w:lineRule="auto"/>
        <w:rPr>
          <w:sz w:val="20"/>
          <w:szCs w:val="20"/>
          <w:color w:val="auto"/>
        </w:rPr>
      </w:pPr>
      <w:r>
        <w:rPr>
          <w:rFonts w:ascii="Arial" w:cs="Arial" w:eastAsia="Arial" w:hAnsi="Arial"/>
          <w:sz w:val="18"/>
          <w:szCs w:val="18"/>
          <w:color w:val="auto"/>
        </w:rPr>
        <w:t>Effective July 1, 2023, Mr. Mesick was terminated by the Company without Cause (as defined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 w:right="200"/>
        <w:spacing w:after="0" w:line="271" w:lineRule="auto"/>
        <w:rPr>
          <w:sz w:val="20"/>
          <w:szCs w:val="20"/>
          <w:color w:val="auto"/>
        </w:rPr>
      </w:pPr>
      <w:r>
        <w:rPr>
          <w:rFonts w:ascii="Arial" w:cs="Arial" w:eastAsia="Arial" w:hAnsi="Arial"/>
          <w:sz w:val="18"/>
          <w:szCs w:val="18"/>
          <w:color w:val="auto"/>
        </w:rPr>
        <w:t>Executive Severance Plan) from his positions with the Company and the Bank. Mr. Mesick’s termination of employment constituted a qualifying termination under the Executive Severance Plan, and he thus was entitled, subject to his execution and non-revocation of a release of claims, to payments and benefits thereunder in an amount equal to $1,127,527, which represents the sum of</w:t>
      </w:r>
    </w:p>
    <w:p>
      <w:pPr>
        <w:spacing w:after="0" w:line="7" w:lineRule="exact"/>
        <w:rPr>
          <w:sz w:val="20"/>
          <w:szCs w:val="20"/>
          <w:color w:val="auto"/>
        </w:rPr>
      </w:pPr>
    </w:p>
    <w:p>
      <w:pPr>
        <w:ind w:left="7" w:right="20" w:hanging="7"/>
        <w:spacing w:after="0" w:line="271" w:lineRule="auto"/>
        <w:tabs>
          <w:tab w:leader="none" w:pos="2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Mr. Mesick’s highest base salary earned during 2020, 2021 and 2022 plus (ii) the average bonus payments actually received by Mr. Mesick for 2021 and 2022, payable in a lump sum within 15 days following the date on which the release became effective and irrevocable. Mr. Mesick’s termination of employment also constituted a retirement under the terms of the Omnibus Plan and, accordingly,</w:t>
      </w:r>
    </w:p>
    <w:p>
      <w:pPr>
        <w:spacing w:after="0" w:line="2" w:lineRule="exact"/>
        <w:rPr>
          <w:rFonts w:ascii="Arial" w:cs="Arial" w:eastAsia="Arial" w:hAnsi="Arial"/>
          <w:sz w:val="18"/>
          <w:szCs w:val="18"/>
          <w:color w:val="auto"/>
        </w:rPr>
      </w:pPr>
    </w:p>
    <w:p>
      <w:pPr>
        <w:ind w:left="7" w:hanging="7"/>
        <w:spacing w:after="0" w:line="271" w:lineRule="auto"/>
        <w:tabs>
          <w:tab w:leader="none" w:pos="2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Mr. Mesick’s 2021-2023 LTIP Award vested at actual performance, prorated based on the portion of the performance period served, (ii) Mr. Mesick’s</w:t>
      </w:r>
    </w:p>
    <w:p>
      <w:pPr>
        <w:ind w:left="7"/>
        <w:spacing w:after="0" w:line="271" w:lineRule="auto"/>
        <w:rPr>
          <w:rFonts w:ascii="Arial" w:cs="Arial" w:eastAsia="Arial" w:hAnsi="Arial"/>
          <w:sz w:val="18"/>
          <w:szCs w:val="18"/>
          <w:color w:val="auto"/>
        </w:rPr>
      </w:pPr>
      <w:r>
        <w:rPr>
          <w:rFonts w:ascii="Arial" w:cs="Arial" w:eastAsia="Arial" w:hAnsi="Arial"/>
          <w:sz w:val="18"/>
          <w:szCs w:val="18"/>
          <w:color w:val="auto"/>
        </w:rPr>
        <w:t>2022-2024 LTIP Award and 2023-2025 LTIP Award remain outstanding and eligible to vest based on achievement of performance targets; provided that the earned awards will be pro rated based on his service from the beginning of the performance period through his retirement date and (iii) a pro rated portion of Mr. Mesick’s outstanding restricted stock unit awards vested upon his retirement date. In addition, in accordance with his Separation Agreement, Mr. Mesick received a 2023 bonus in the amount of $79,122, which reflected Mr. Mesick’s achievement of Company and individual performance goals, with such bonus pro rated for the portion of calendar year 2023 served. Pursuant to the terms of the Executive Severance Plan,</w:t>
      </w:r>
    </w:p>
    <w:p>
      <w:pPr>
        <w:spacing w:after="0" w:line="4" w:lineRule="exact"/>
        <w:rPr>
          <w:rFonts w:ascii="Arial" w:cs="Arial" w:eastAsia="Arial" w:hAnsi="Arial"/>
          <w:sz w:val="18"/>
          <w:szCs w:val="18"/>
          <w:color w:val="auto"/>
        </w:rPr>
      </w:pPr>
    </w:p>
    <w:p>
      <w:pPr>
        <w:ind w:left="7" w:right="140"/>
        <w:spacing w:after="0" w:line="271" w:lineRule="auto"/>
        <w:rPr>
          <w:rFonts w:ascii="Arial" w:cs="Arial" w:eastAsia="Arial" w:hAnsi="Arial"/>
          <w:sz w:val="18"/>
          <w:szCs w:val="18"/>
          <w:color w:val="auto"/>
        </w:rPr>
      </w:pPr>
      <w:r>
        <w:rPr>
          <w:rFonts w:ascii="Arial" w:cs="Arial" w:eastAsia="Arial" w:hAnsi="Arial"/>
          <w:sz w:val="18"/>
          <w:szCs w:val="18"/>
          <w:color w:val="auto"/>
        </w:rPr>
        <w:t>Mr. Mesick will be bound by non-competition, non-disclosure, non-disparagement and non-solicitation of employees and customers covenants for</w:t>
      </w:r>
    </w:p>
    <w:p>
      <w:pPr>
        <w:ind w:left="7"/>
        <w:spacing w:after="0"/>
        <w:rPr>
          <w:rFonts w:ascii="Arial" w:cs="Arial" w:eastAsia="Arial" w:hAnsi="Arial"/>
          <w:sz w:val="18"/>
          <w:szCs w:val="18"/>
          <w:color w:val="auto"/>
        </w:rPr>
      </w:pPr>
      <w:r>
        <w:rPr>
          <w:rFonts w:ascii="Arial" w:cs="Arial" w:eastAsia="Arial" w:hAnsi="Arial"/>
          <w:sz w:val="18"/>
          <w:szCs w:val="18"/>
          <w:color w:val="auto"/>
        </w:rPr>
        <w:t>12 months following termination of employment.</w:t>
      </w:r>
    </w:p>
    <w:p>
      <w:pPr>
        <w:spacing w:after="0" w:line="328" w:lineRule="exact"/>
        <w:rPr>
          <w:sz w:val="20"/>
          <w:szCs w:val="20"/>
          <w:color w:val="auto"/>
        </w:rPr>
      </w:pPr>
    </w:p>
    <w:p>
      <w:pPr>
        <w:ind w:left="47" w:right="240"/>
        <w:spacing w:after="0" w:line="383" w:lineRule="auto"/>
        <w:rPr>
          <w:sz w:val="20"/>
          <w:szCs w:val="20"/>
          <w:color w:val="auto"/>
        </w:rPr>
      </w:pPr>
      <w:r>
        <w:rPr>
          <w:rFonts w:ascii="Arial" w:cs="Arial" w:eastAsia="Arial" w:hAnsi="Arial"/>
          <w:sz w:val="19"/>
          <w:szCs w:val="19"/>
          <w:b w:val="1"/>
          <w:bCs w:val="1"/>
          <w:color w:val="auto"/>
        </w:rPr>
        <w:t>Payments to Mr. Mizumoto in Connection with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27603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29" w:lineRule="exact"/>
        <w:rPr>
          <w:sz w:val="20"/>
          <w:szCs w:val="20"/>
          <w:color w:val="auto"/>
        </w:rPr>
      </w:pPr>
    </w:p>
    <w:p>
      <w:pPr>
        <w:ind w:left="7" w:right="220"/>
        <w:spacing w:after="0" w:line="272" w:lineRule="auto"/>
        <w:rPr>
          <w:sz w:val="20"/>
          <w:szCs w:val="20"/>
          <w:color w:val="auto"/>
        </w:rPr>
      </w:pPr>
      <w:r>
        <w:rPr>
          <w:rFonts w:ascii="Arial" w:cs="Arial" w:eastAsia="Arial" w:hAnsi="Arial"/>
          <w:sz w:val="18"/>
          <w:szCs w:val="18"/>
          <w:color w:val="auto"/>
        </w:rPr>
        <w:t>Effective October 1, 2023, Mr. Mizumoto was terminated by the Company without Cause (as defined in the Executive Severance Plan) from his positions with the Company and the Bank.</w:t>
      </w:r>
    </w:p>
    <w:p>
      <w:pPr>
        <w:spacing w:after="0" w:line="3" w:lineRule="exact"/>
        <w:rPr>
          <w:sz w:val="20"/>
          <w:szCs w:val="20"/>
          <w:color w:val="auto"/>
        </w:rPr>
      </w:pPr>
    </w:p>
    <w:p>
      <w:pPr>
        <w:ind w:left="7" w:right="20"/>
        <w:spacing w:after="0" w:line="274" w:lineRule="auto"/>
        <w:rPr>
          <w:sz w:val="20"/>
          <w:szCs w:val="20"/>
          <w:color w:val="auto"/>
        </w:rPr>
      </w:pPr>
      <w:r>
        <w:rPr>
          <w:rFonts w:ascii="Arial" w:cs="Arial" w:eastAsia="Arial" w:hAnsi="Arial"/>
          <w:sz w:val="18"/>
          <w:szCs w:val="18"/>
          <w:color w:val="auto"/>
        </w:rPr>
        <w:t>Mr. Mizumoto’s termination of employment constituted a qualifying termination under the Executive Severance Plan, and he thus was entitled, subject to his execution and non-revocation of a release of claims, to payments and benefits thereunder in an amount equal to $842,299, which</w:t>
      </w:r>
    </w:p>
    <w:p>
      <w:pPr>
        <w:spacing w:after="0" w:line="818" w:lineRule="exact"/>
        <w:rPr>
          <w:sz w:val="20"/>
          <w:szCs w:val="20"/>
          <w:color w:val="auto"/>
        </w:rPr>
      </w:pPr>
    </w:p>
    <w:p>
      <w:pPr>
        <w:sectPr>
          <w:pgSz w:w="11900" w:h="16838" w:orient="portrait"/>
          <w:cols w:equalWidth="0" w:num="2">
            <w:col w:w="5100" w:space="513"/>
            <w:col w:w="4347"/>
          </w:cols>
          <w:pgMar w:left="580" w:top="97" w:right="1359" w:bottom="1440" w:gutter="0" w:footer="0" w:header="0"/>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58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80" w:right="100"/>
        <w:spacing w:after="0" w:line="262" w:lineRule="auto"/>
        <w:rPr>
          <w:sz w:val="20"/>
          <w:szCs w:val="20"/>
          <w:color w:val="auto"/>
        </w:rPr>
      </w:pPr>
      <w:r>
        <w:rPr>
          <w:rFonts w:ascii="Arial" w:cs="Arial" w:eastAsia="Arial" w:hAnsi="Arial"/>
          <w:sz w:val="18"/>
          <w:szCs w:val="18"/>
          <w:color w:val="auto"/>
        </w:rPr>
        <w:t>represents the sum of (i) Mr. Mizumoto’s highest base salary earned during 2020, 2021 and 2022 plus (ii) the average bonus payments actually received by Mr. Mizumoto for 2021 and 2022, payable in a lump sum within 15 days following the date on which the release became effective and irrevocable. Mr. Mizumoto’s termination of employment also constituted a retirement under the terms of the Omnibus Plan and, accordingly,</w:t>
      </w:r>
    </w:p>
    <w:p>
      <w:pPr>
        <w:spacing w:after="0" w:line="1" w:lineRule="exact"/>
        <w:rPr>
          <w:sz w:val="20"/>
          <w:szCs w:val="20"/>
          <w:color w:val="auto"/>
        </w:rPr>
      </w:pPr>
    </w:p>
    <w:p>
      <w:pPr>
        <w:ind w:left="780"/>
        <w:spacing w:after="0" w:line="261" w:lineRule="auto"/>
        <w:tabs>
          <w:tab w:leader="none" w:pos="10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Mr. Mizumoto’s 2021-2023 LTIP Award vested at actual performance, prorated based on the portion of the performance period served, (ii) Mr. Mizumoto’s 2022-2024 LTIP Award and 2023-2025 LTIP Award remain outstanding and eligible to vest based on achievement of performance targets; provided that the earned awards will be pro rated based on his service from the beginning of the performance period through his retirement date and (iii) a pro rated portion of Mr. Mizumoto’s outstanding restricted stock unit awards vested upon his retirement date. In addition, in accordance with his Separation Agreement, Mr. Mizumoto received a 2023 bonus in the amount of $123,419, which reflected Mr. Mizumoto’s achievement of Company and individual performance goals, with such bonus pro rated for the portion of calendar year 2023 served. Pursuant to the terms of the Executive Severance Plan, Mr. Mizumoto will be bound by non-competition, non-disclosure, non-disparagement and non-solicitation of employees and customers covenants for 12 months following termination of employment.</w:t>
      </w:r>
    </w:p>
    <w:p>
      <w:pPr>
        <w:spacing w:after="0" w:line="200" w:lineRule="exact"/>
        <w:rPr>
          <w:sz w:val="20"/>
          <w:szCs w:val="20"/>
          <w:color w:val="auto"/>
        </w:rPr>
      </w:pPr>
    </w:p>
    <w:p>
      <w:pPr>
        <w:spacing w:after="0" w:line="327"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Other Benefits and Retirement Plans</w:t>
      </w:r>
    </w:p>
    <w:p>
      <w:pPr>
        <w:spacing w:after="0" w:line="355"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First Hawaiian, Inc. 401(k)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7" w:lineRule="exact"/>
        <w:rPr>
          <w:sz w:val="20"/>
          <w:szCs w:val="20"/>
          <w:color w:val="auto"/>
        </w:rPr>
      </w:pPr>
    </w:p>
    <w:p>
      <w:pPr>
        <w:ind w:left="780" w:right="20"/>
        <w:spacing w:after="0" w:line="263" w:lineRule="auto"/>
        <w:rPr>
          <w:sz w:val="20"/>
          <w:szCs w:val="20"/>
          <w:color w:val="auto"/>
        </w:rPr>
      </w:pPr>
      <w:r>
        <w:rPr>
          <w:rFonts w:ascii="Arial" w:cs="Arial" w:eastAsia="Arial" w:hAnsi="Arial"/>
          <w:sz w:val="18"/>
          <w:szCs w:val="18"/>
          <w:color w:val="auto"/>
        </w:rPr>
        <w:t>Effective January 6, 2017, we adopted the First Hawaiian, Inc. 401(k) Savings Plan (the “401(k) Plan”), a tax-qualified defined contribution savings plan for all eligible employees of First Hawaiian, including each of our NEOs. Under the 401(k) Plan, eligible employees may contribute up to 75% of their pay (subject to Internal Revenue Service (“IRS”) limitations) to the 401(k) Plan commencing upon their date of hire. Contributions are withheld by payroll deductions on a pre-tax basis. After participants have completed one year and 1,000 hours of service, First Hawaiian will match 100% of the first 5% of the pay that an employee contributes on a pre-tax basis to the 401(k) Plan up to the IRS allowable maximum. Participants are 100% vested</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9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in the employer matching contributions. All NEOs are eligible for such First Hawaiian matching contributions.</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First Hawaiian, Inc. Future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276034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9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Effective May 16, 2016, we adopted the First Hawaiian, Inc. Future Plan (the “Future Plan”). The Future Plan is a money purchase plan that is designed to help eligible employees build long-term savings through First Hawaiian contributions toward retirement. Under the Future Plan, First Hawaiian contributes an amount equal to 2.5% of an eligible employee’s base salary and any incentive compensation payments, excluding LTIP awards, subject to applicable IRS limits. Employees may direct how contributions will be invested. Contributions are made each calendar quarter to a Future Plan account that is held in the name of each participant. Employees vest ratably in the plan, over five years of service with First Hawaiian, or upon death, disability (as defined in the Future Plan) or attainment of age 65. All NEOs participate in the Future Plan.</w:t>
      </w:r>
    </w:p>
    <w:p>
      <w:pPr>
        <w:spacing w:after="0" w:line="288" w:lineRule="exact"/>
        <w:rPr>
          <w:sz w:val="20"/>
          <w:szCs w:val="20"/>
          <w:color w:val="auto"/>
        </w:rPr>
      </w:pPr>
    </w:p>
    <w:p>
      <w:pPr>
        <w:ind w:left="40" w:right="1240"/>
        <w:spacing w:after="0" w:line="383" w:lineRule="auto"/>
        <w:rPr>
          <w:sz w:val="20"/>
          <w:szCs w:val="20"/>
          <w:color w:val="auto"/>
        </w:rPr>
      </w:pPr>
      <w:r>
        <w:rPr>
          <w:rFonts w:ascii="Arial" w:cs="Arial" w:eastAsia="Arial" w:hAnsi="Arial"/>
          <w:sz w:val="19"/>
          <w:szCs w:val="19"/>
          <w:b w:val="1"/>
          <w:bCs w:val="1"/>
          <w:color w:val="auto"/>
        </w:rPr>
        <w:t>Other Retirement and Deferred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27603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16"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In connection with the IPO, we adopted the First Hawaiian, Inc. Deferred Compensation Plan (2016 Restatement) (the “First Hawaiian, Inc. DCP”) effective December 13, 2016 for First Hawaiian participants. We also maintain the First Hawaiian Bank Deferred Compensation Plan (the “First Hawaiian Bank DCP”) and the First Hawaiian, Inc. Supplemental Executive Retirement Plan (the “SERP”). On March 11, 2019, the Board approved an amendment to the SERP to freeze the SERP effective July 1, 2019.</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Under the First Hawaiian, Inc. DCP, the Compensation Committee of our Board may designate employees for retirement contributions and participants may defer portions of their base salary or cash-based incentive award. Messrs. Harrison, Moses, Dods, Arizumi, Char, Mesick and Mizumoto participate in the First Hawaiian, Inc. DCP. Mr. Arizumi received a retirement contribution under the First Hawaiian, Inc. DCP for 2023. Under the First Hawaiian Bank DCP, participating employees may defer a portion of their base salary or incentive compensation. Each participant’s account is increased or decreased by the interest credited or debited to such account as though the balance of</w:t>
      </w:r>
    </w:p>
    <w:p>
      <w:pPr>
        <w:spacing w:after="0" w:line="193" w:lineRule="exact"/>
        <w:rPr>
          <w:sz w:val="20"/>
          <w:szCs w:val="20"/>
          <w:color w:val="auto"/>
        </w:rPr>
      </w:pPr>
    </w:p>
    <w:p>
      <w:pPr>
        <w:sectPr>
          <w:pgSz w:w="11900" w:h="16838" w:orient="portrait"/>
          <w:cols w:equalWidth="0" w:num="2">
            <w:col w:w="5120" w:space="500"/>
            <w:col w:w="4320"/>
          </w:cols>
          <w:pgMar w:left="580" w:top="97" w:right="1379" w:bottom="1440" w:gutter="0" w:footer="0" w:header="0"/>
        </w:sect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59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266"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that account had been invested in the applicable investment funds or indices chosen by the participating employee. Under the First Hawaiian Bank DCP, the Compensation Committee may also, in its discretion, designate employees on whose behalf First Hawaiian Bank may make executive retirement contributions. For 2023, Messrs. Harrison, Moses, Dods, Char, Mesick and Mizumoto received an executive retirement contribution under the First Hawaiian Bank DCP equal to 7.5% of base salary and any incentive compensation payments, excluding LTIP awards. Such retirement contributions vest over five years of service with First Hawaiian Bank with automatic vesting upon attainment of age 65, disability or death prior to termination of employment. Executive retirement contributions are paid in either a lump sum or annual installments, as elected by the executive.</w:t>
      </w:r>
    </w:p>
    <w:p>
      <w:pPr>
        <w:spacing w:after="0" w:line="344"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Effective July 1, 2019, the SERP was frozen and all accruals of benefits, including service accruals, ceased. The SERP is a non-qualified plan under which participating executives generally receive a benefit equal to a percentage of the average annual rate of compensation earned during the 60 consecutive calendar months out of the last 120 calendar months of employment or, following the SERP freeze date, ending prior to July 1, 2019, that results in the highest average, subject to reduction in the case of early retirement. Mr. Harrison is the only NEO that participates in the SERP, which is frozen to new participants, and he will receive a benefit equal to a percentage of the highest consecutive 12 months of compensation earned during his 60 months of service prior to July 1, 2019, subject to reduction in the case of early retirement. The target percentage is 60% multiplied by a fraction based on credited years of service as of July 1, 2019 under the SERP. The benefit is also reduced by Company contributions to benefits received pursuant to other retirement plans, including, among others, the 401(k) Plan, the Future Plan, and 50% of an executive’s monthly primary social security benefit, determined as if the executive was age 65. SERP participants may elect to receive benefits in a monthly annuity, monthly installments or a lump sum, subject to certain restrictions.</w:t>
      </w:r>
    </w:p>
    <w:p>
      <w:pPr>
        <w:spacing w:after="0" w:line="200" w:lineRule="exact"/>
        <w:rPr>
          <w:sz w:val="20"/>
          <w:szCs w:val="20"/>
          <w:color w:val="auto"/>
        </w:rPr>
      </w:pPr>
    </w:p>
    <w:p>
      <w:pPr>
        <w:spacing w:after="0" w:line="368" w:lineRule="exact"/>
        <w:rPr>
          <w:sz w:val="20"/>
          <w:szCs w:val="20"/>
          <w:color w:val="auto"/>
        </w:rPr>
      </w:pPr>
    </w:p>
    <w:p>
      <w:pPr>
        <w:ind w:left="780" w:right="20"/>
        <w:spacing w:after="0" w:line="267" w:lineRule="auto"/>
        <w:rPr>
          <w:sz w:val="20"/>
          <w:szCs w:val="20"/>
          <w:color w:val="auto"/>
        </w:rPr>
      </w:pPr>
      <w:r>
        <w:rPr>
          <w:rFonts w:ascii="Arial" w:cs="Arial" w:eastAsia="Arial" w:hAnsi="Arial"/>
          <w:sz w:val="18"/>
          <w:szCs w:val="18"/>
          <w:color w:val="auto"/>
        </w:rPr>
        <w:t>Under the First Hawaiian, Inc. DCP, within thirty days after a “change in control of FHI,” any amounts credited to accounts of participants in each respective plan that have not previously been contributed to a trust are required to be contributed to a trust. Similarly, within thirty days after a “change in control of the Company” any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credited to accounts of participants in each respective plan who are employees of First Hawaiian Bank that have not previously been contributed to a trust are required to be contributed.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of the Company</w:t>
      </w:r>
      <w:r>
        <w:rPr>
          <w:rFonts w:ascii="Arial" w:cs="Arial" w:eastAsia="Arial" w:hAnsi="Arial"/>
          <w:sz w:val="18"/>
          <w:szCs w:val="18"/>
          <w:color w:val="auto"/>
        </w:rPr>
        <w:t>,” as used in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First Hawaiian, Inc. DCP, generally means:</w:t>
      </w:r>
    </w:p>
    <w:p>
      <w:pPr>
        <w:spacing w:after="0" w:line="154" w:lineRule="exact"/>
        <w:rPr>
          <w:sz w:val="20"/>
          <w:szCs w:val="20"/>
          <w:color w:val="auto"/>
        </w:rPr>
      </w:pPr>
    </w:p>
    <w:p>
      <w:pPr>
        <w:ind w:left="720" w:hanging="367"/>
        <w:spacing w:after="0" w:line="279"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person, other than an affiliate or trustee or other fiduciary holding shares under an employee benefit plan, becomes the beneficial owner, directly or indirectly, of more than 50% of the combined voting power of First Hawaiian, Inc.,</w:t>
      </w:r>
    </w:p>
    <w:p>
      <w:pPr>
        <w:spacing w:after="0" w:line="108" w:lineRule="exact"/>
        <w:rPr>
          <w:rFonts w:ascii="Arial" w:cs="Arial" w:eastAsia="Arial" w:hAnsi="Arial"/>
          <w:sz w:val="18"/>
          <w:szCs w:val="18"/>
          <w:color w:val="auto"/>
        </w:rPr>
      </w:pPr>
    </w:p>
    <w:p>
      <w:pPr>
        <w:ind w:left="720" w:right="20" w:hanging="367"/>
        <w:spacing w:after="0" w:line="303"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merger or consolidation of First Hawaiian, Inc., as a result of which either:</w:t>
      </w:r>
    </w:p>
    <w:p>
      <w:pPr>
        <w:spacing w:after="0" w:line="84" w:lineRule="exact"/>
        <w:rPr>
          <w:rFonts w:ascii="Arial" w:cs="Arial" w:eastAsia="Arial" w:hAnsi="Arial"/>
          <w:sz w:val="18"/>
          <w:szCs w:val="18"/>
          <w:color w:val="auto"/>
        </w:rPr>
      </w:pPr>
    </w:p>
    <w:p>
      <w:pPr>
        <w:ind w:left="1080" w:right="100" w:hanging="367"/>
        <w:spacing w:after="0" w:line="283" w:lineRule="auto"/>
        <w:tabs>
          <w:tab w:leader="none" w:pos="10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person, other than an affiliate, becomes the beneficial owner of more than 50% of the voting power of First Hawaiian, Inc., or</w:t>
      </w:r>
    </w:p>
    <w:p>
      <w:pPr>
        <w:spacing w:after="0" w:line="103" w:lineRule="exact"/>
        <w:rPr>
          <w:rFonts w:ascii="Arial" w:cs="Arial" w:eastAsia="Arial" w:hAnsi="Arial"/>
          <w:sz w:val="18"/>
          <w:szCs w:val="18"/>
          <w:color w:val="auto"/>
        </w:rPr>
      </w:pPr>
    </w:p>
    <w:p>
      <w:pPr>
        <w:ind w:left="1080" w:right="60" w:hanging="367"/>
        <w:spacing w:after="0" w:line="276" w:lineRule="auto"/>
        <w:tabs>
          <w:tab w:leader="none" w:pos="10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shares of First Hawaiian, Inc. outstanding immediately prior to such transaction do not represent a majority of the voting power of all voting securities of such entity outstanding immediately after such transaction, or</w:t>
      </w:r>
    </w:p>
    <w:p>
      <w:pPr>
        <w:spacing w:after="0" w:line="110" w:lineRule="exact"/>
        <w:rPr>
          <w:rFonts w:ascii="Arial" w:cs="Arial" w:eastAsia="Arial" w:hAnsi="Arial"/>
          <w:sz w:val="18"/>
          <w:szCs w:val="18"/>
          <w:color w:val="auto"/>
        </w:rPr>
      </w:pPr>
    </w:p>
    <w:p>
      <w:pPr>
        <w:ind w:left="720" w:right="440" w:hanging="367"/>
        <w:spacing w:after="0" w:line="292" w:lineRule="auto"/>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First Hawaiian, Inc. and its subsidiaries.</w:t>
      </w:r>
    </w:p>
    <w:p>
      <w:pPr>
        <w:spacing w:after="0" w:line="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 of a Bank Subsidiary</w:t>
      </w:r>
      <w:r>
        <w:rPr>
          <w:rFonts w:ascii="Arial" w:cs="Arial" w:eastAsia="Arial" w:hAnsi="Arial"/>
          <w:sz w:val="18"/>
          <w:szCs w:val="18"/>
          <w:color w:val="auto"/>
        </w:rPr>
        <w:t>,” as used in the First Hawaiian, Inc. DCP, generally means:</w:t>
      </w:r>
    </w:p>
    <w:p>
      <w:pPr>
        <w:spacing w:after="0" w:line="112" w:lineRule="exact"/>
        <w:rPr>
          <w:sz w:val="20"/>
          <w:szCs w:val="20"/>
          <w:color w:val="auto"/>
        </w:rPr>
      </w:pPr>
    </w:p>
    <w:p>
      <w:pPr>
        <w:ind w:left="720" w:hanging="367"/>
        <w:spacing w:after="0" w:line="276"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person, other than an affiliate or trustee or other fiduciary holding shares under an employee benefit plan, becomes the beneficial owner, directly or indirectly, of more than 50% of the combined voting power of First Hawaiian Bank,</w:t>
      </w:r>
    </w:p>
    <w:p>
      <w:pPr>
        <w:spacing w:after="0" w:line="110" w:lineRule="exact"/>
        <w:rPr>
          <w:rFonts w:ascii="Arial" w:cs="Arial" w:eastAsia="Arial" w:hAnsi="Arial"/>
          <w:sz w:val="18"/>
          <w:szCs w:val="18"/>
          <w:color w:val="auto"/>
        </w:rPr>
      </w:pPr>
    </w:p>
    <w:p>
      <w:pPr>
        <w:ind w:left="720" w:right="60" w:hanging="367"/>
        <w:spacing w:after="0" w:line="318" w:lineRule="auto"/>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merger or consolidation of First Hawaiian Bank, as a result of which:</w:t>
      </w:r>
    </w:p>
    <w:p>
      <w:pPr>
        <w:spacing w:after="0" w:line="72" w:lineRule="exact"/>
        <w:rPr>
          <w:rFonts w:ascii="Arial" w:cs="Arial" w:eastAsia="Arial" w:hAnsi="Arial"/>
          <w:sz w:val="18"/>
          <w:szCs w:val="18"/>
          <w:color w:val="auto"/>
        </w:rPr>
      </w:pPr>
    </w:p>
    <w:p>
      <w:pPr>
        <w:ind w:left="1080" w:right="100" w:hanging="367"/>
        <w:spacing w:after="0" w:line="283"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person, other than an affiliate, becomes the beneficial owner of more than 50% of the voting power of First Hawaiian Bank, or</w:t>
      </w:r>
    </w:p>
    <w:p>
      <w:pPr>
        <w:spacing w:after="0" w:line="103" w:lineRule="exact"/>
        <w:rPr>
          <w:rFonts w:ascii="Arial" w:cs="Arial" w:eastAsia="Arial" w:hAnsi="Arial"/>
          <w:sz w:val="18"/>
          <w:szCs w:val="18"/>
          <w:color w:val="auto"/>
        </w:rPr>
      </w:pPr>
    </w:p>
    <w:p>
      <w:pPr>
        <w:ind w:left="1080" w:right="60" w:hanging="367"/>
        <w:spacing w:after="0" w:line="279" w:lineRule="auto"/>
        <w:tabs>
          <w:tab w:leader="none" w:pos="10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shares of First Hawaiian Bank outstanding immediately prior to such transaction do not represent a majority of the voting power of all voting securities of such entity</w:t>
      </w:r>
    </w:p>
    <w:p>
      <w:pPr>
        <w:spacing w:after="0" w:line="352" w:lineRule="exact"/>
        <w:rPr>
          <w:sz w:val="20"/>
          <w:szCs w:val="20"/>
          <w:color w:val="auto"/>
        </w:rPr>
      </w:pPr>
    </w:p>
    <w:p>
      <w:pPr>
        <w:sectPr>
          <w:pgSz w:w="11900" w:h="16838" w:orient="portrait"/>
          <w:cols w:equalWidth="0" w:num="2">
            <w:col w:w="5120" w:space="500"/>
            <w:col w:w="4320"/>
          </w:cols>
          <w:pgMar w:left="580" w:top="97" w:right="1379" w:bottom="1440" w:gutter="0" w:footer="0" w:header="0"/>
        </w:sectPr>
      </w:pPr>
    </w:p>
    <w:p>
      <w:pPr>
        <w:spacing w:after="0" w:line="2"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60" w:right="160"/>
        <w:spacing w:after="0" w:line="277" w:lineRule="auto"/>
        <w:rPr>
          <w:sz w:val="20"/>
          <w:szCs w:val="20"/>
          <w:color w:val="auto"/>
        </w:rPr>
      </w:pPr>
      <w:r>
        <w:rPr>
          <w:rFonts w:ascii="Arial" w:cs="Arial" w:eastAsia="Arial" w:hAnsi="Arial"/>
          <w:sz w:val="18"/>
          <w:szCs w:val="18"/>
          <w:color w:val="auto"/>
        </w:rPr>
        <w:t>outstanding immediately after such transaction, or</w:t>
      </w:r>
      <w:r>
        <w:rPr>
          <w:rFonts w:ascii="Times New Roman" w:cs="Times New Roman" w:eastAsia="Times New Roman" w:hAnsi="Times New Roman"/>
          <w:sz w:val="25"/>
          <w:szCs w:val="25"/>
          <w:color w:val="auto"/>
        </w:rPr>
        <w:t>​</w:t>
      </w:r>
    </w:p>
    <w:p>
      <w:pPr>
        <w:spacing w:after="0" w:line="76" w:lineRule="exact"/>
        <w:rPr>
          <w:sz w:val="20"/>
          <w:szCs w:val="20"/>
          <w:color w:val="auto"/>
        </w:rPr>
      </w:pPr>
    </w:p>
    <w:p>
      <w:pPr>
        <w:ind w:left="1500" w:right="240" w:hanging="360"/>
        <w:spacing w:after="0" w:line="292" w:lineRule="auto"/>
        <w:tabs>
          <w:tab w:leader="none" w:pos="1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First Hawaiian Bank and its subsidiaries.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91"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insurance policy, an individual disability insurance policy and a group life insurance plan. Company-paid premiums under those policies are disclosed in the Summary Compensation Table below.</w:t>
      </w:r>
    </w:p>
    <w:p>
      <w:pPr>
        <w:spacing w:after="0" w:line="602" w:lineRule="exact"/>
        <w:rPr>
          <w:sz w:val="20"/>
          <w:szCs w:val="20"/>
          <w:color w:val="auto"/>
        </w:rPr>
      </w:pPr>
    </w:p>
    <w:p>
      <w:pPr>
        <w:sectPr>
          <w:pgSz w:w="11900" w:h="16838" w:orient="portrait"/>
          <w:cols w:equalWidth="0" w:num="2">
            <w:col w:w="4900" w:space="720"/>
            <w:col w:w="4340"/>
          </w:cols>
          <w:pgMar w:left="580" w:top="97" w:right="1359" w:bottom="1440" w:gutter="0" w:footer="0" w:header="0"/>
        </w:sectPr>
      </w:pPr>
    </w:p>
    <w:p>
      <w:pPr>
        <w:spacing w:after="0" w:line="6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Insurance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NEOs participate in a variety of insurance plans,</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including a group variable universal life</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Compensation Risk Management and Governance Policies</w:t>
      </w:r>
    </w:p>
    <w:p>
      <w:pPr>
        <w:sectPr>
          <w:pgSz w:w="11900" w:h="16838" w:orient="portrait"/>
          <w:cols w:equalWidth="0" w:num="1">
            <w:col w:w="9960"/>
          </w:cols>
          <w:pgMar w:left="580" w:top="97" w:right="1359" w:bottom="1440" w:gutter="0" w:footer="0" w:header="0"/>
          <w:type w:val="continuous"/>
        </w:sectPr>
      </w:pP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63" w:lineRule="exact"/>
        <w:rPr>
          <w:sz w:val="20"/>
          <w:szCs w:val="20"/>
          <w:color w:val="auto"/>
        </w:rPr>
      </w:pPr>
    </w:p>
    <w:p>
      <w:pPr>
        <w:ind w:left="780"/>
        <w:spacing w:after="0" w:line="267" w:lineRule="auto"/>
        <w:rPr>
          <w:sz w:val="20"/>
          <w:szCs w:val="20"/>
          <w:color w:val="auto"/>
        </w:rPr>
      </w:pPr>
      <w:r>
        <w:rPr>
          <w:rFonts w:ascii="Arial" w:cs="Arial" w:eastAsia="Arial" w:hAnsi="Arial"/>
          <w:sz w:val="18"/>
          <w:szCs w:val="18"/>
          <w:color w:val="auto"/>
        </w:rPr>
        <w:t>We maintain robust stock ownership guidelines to ensure the interests of our executives and non-employee directors align with those of our stockholders, which were most recently revised for senior management in February 2021 and for our non-employee directors in October 2021. Covered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persons have five years from the most recent applicable amendment of the revised guidelines, or the date the policy or amendment becomes applicable to them, to attain the required ownership levels. All directors and officers subject to this policy are currently in compliance or within their window for compliance with this policy.</w:t>
      </w:r>
    </w:p>
    <w:p>
      <w:pPr>
        <w:spacing w:after="0" w:line="375" w:lineRule="exact"/>
        <w:rPr>
          <w:sz w:val="20"/>
          <w:szCs w:val="20"/>
          <w:color w:val="auto"/>
        </w:rPr>
      </w:pPr>
    </w:p>
    <w:p>
      <w:pPr>
        <w:sectPr>
          <w:pgSz w:w="11900" w:h="16838" w:orient="portrait"/>
          <w:cols w:equalWidth="0" w:num="2">
            <w:col w:w="4940" w:space="680"/>
            <w:col w:w="4340"/>
          </w:cols>
          <w:pgMar w:left="580" w:top="97" w:right="1359" w:bottom="1440" w:gutter="0" w:footer="0" w:header="0"/>
          <w:type w:val="continuous"/>
        </w:sectPr>
      </w:pPr>
    </w:p>
    <w:p>
      <w:pPr>
        <w:spacing w:after="0" w:line="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revised guidelines are as follows:</w:t>
      </w:r>
    </w:p>
    <w:p>
      <w:pPr>
        <w:spacing w:after="0" w:line="230" w:lineRule="exact"/>
        <w:rPr>
          <w:sz w:val="20"/>
          <w:szCs w:val="20"/>
          <w:color w:val="auto"/>
        </w:rPr>
      </w:pPr>
    </w:p>
    <w:tbl>
      <w:tblPr>
        <w:tblLayout w:type="fixed"/>
        <w:tblInd w:w="780" w:type="dxa"/>
        <w:tblCellMar>
          <w:top w:w="0" w:type="dxa"/>
          <w:left w:w="0" w:type="dxa"/>
          <w:bottom w:w="0" w:type="dxa"/>
          <w:right w:w="0" w:type="dxa"/>
        </w:tblCellMar>
      </w:tblPr>
      <w:tr>
        <w:trPr>
          <w:trHeight w:val="256"/>
        </w:trPr>
        <w:tc>
          <w:tcPr>
            <w:tcW w:w="20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 Position</w:t>
            </w:r>
          </w:p>
        </w:tc>
        <w:tc>
          <w:tcPr>
            <w:tcW w:w="4160" w:type="dxa"/>
            <w:vAlign w:val="bottom"/>
            <w:gridSpan w:val="2"/>
            <w:shd w:val="clear" w:color="auto" w:fill="BF5B5A"/>
          </w:tcPr>
          <w:p>
            <w:pPr>
              <w:ind w:left="80"/>
              <w:spacing w:after="0"/>
              <w:rPr>
                <w:sz w:val="20"/>
                <w:szCs w:val="20"/>
                <w:color w:val="auto"/>
              </w:rPr>
            </w:pPr>
            <w:r>
              <w:rPr>
                <w:rFonts w:ascii="Arial" w:cs="Arial" w:eastAsia="Arial" w:hAnsi="Arial"/>
                <w:sz w:val="16"/>
                <w:szCs w:val="16"/>
                <w:b w:val="1"/>
                <w:bCs w:val="1"/>
                <w:color w:val="FFFFFF"/>
              </w:rPr>
              <w:t>​Stock Ownership Requirement</w:t>
            </w:r>
          </w:p>
        </w:tc>
        <w:tc>
          <w:tcPr>
            <w:tcW w:w="2860" w:type="dxa"/>
            <w:vAlign w:val="bottom"/>
            <w:shd w:val="clear" w:color="auto" w:fill="BF5B5A"/>
          </w:tcPr>
          <w:p>
            <w:pPr>
              <w:ind w:left="80"/>
              <w:spacing w:after="0"/>
              <w:rPr>
                <w:sz w:val="20"/>
                <w:szCs w:val="20"/>
                <w:color w:val="auto"/>
              </w:rPr>
            </w:pPr>
            <w:r>
              <w:rPr>
                <w:rFonts w:ascii="Arial" w:cs="Arial" w:eastAsia="Arial" w:hAnsi="Arial"/>
                <w:sz w:val="16"/>
                <w:szCs w:val="16"/>
                <w:b w:val="1"/>
                <w:bCs w:val="1"/>
                <w:color w:val="FFFFFF"/>
              </w:rPr>
              <w:t>​Compliance Period</w:t>
            </w:r>
          </w:p>
        </w:tc>
        <w:tc>
          <w:tcPr>
            <w:tcW w:w="16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r>
      <w:tr>
        <w:trPr>
          <w:trHeight w:val="280"/>
        </w:trPr>
        <w:tc>
          <w:tcPr>
            <w:tcW w:w="2000" w:type="dxa"/>
            <w:vAlign w:val="bottom"/>
          </w:tcPr>
          <w:p>
            <w:pPr>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CEO</w:t>
            </w:r>
          </w:p>
        </w:tc>
        <w:tc>
          <w:tcPr>
            <w:tcW w:w="1200" w:type="dxa"/>
            <w:vAlign w:val="bottom"/>
          </w:tcPr>
          <w:p>
            <w:pPr>
              <w:ind w:left="80"/>
              <w:spacing w:after="0"/>
              <w:rPr>
                <w:sz w:val="20"/>
                <w:szCs w:val="20"/>
                <w:color w:val="auto"/>
              </w:rPr>
            </w:pPr>
            <w:r>
              <w:rPr>
                <w:rFonts w:ascii="Arial" w:cs="Arial" w:eastAsia="Arial" w:hAnsi="Arial"/>
                <w:sz w:val="16"/>
                <w:szCs w:val="16"/>
                <w:color w:val="auto"/>
              </w:rPr>
              <w:t>​</w:t>
            </w:r>
          </w:p>
        </w:tc>
        <w:tc>
          <w:tcPr>
            <w:tcW w:w="2960" w:type="dxa"/>
            <w:vAlign w:val="bottom"/>
          </w:tcPr>
          <w:p>
            <w:pPr>
              <w:ind w:left="1060"/>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20"/>
                <w:szCs w:val="20"/>
                <w:b w:val="1"/>
                <w:bCs w:val="1"/>
                <w:color w:val="auto"/>
              </w:rPr>
              <w:t xml:space="preserve">6x </w:t>
            </w:r>
            <w:r>
              <w:rPr>
                <w:rFonts w:ascii="Arial" w:cs="Arial" w:eastAsia="Arial" w:hAnsi="Arial"/>
                <w:sz w:val="16"/>
                <w:szCs w:val="16"/>
                <w:color w:val="auto"/>
              </w:rPr>
              <w:t>base salary</w:t>
            </w:r>
          </w:p>
        </w:tc>
        <w:tc>
          <w:tcPr>
            <w:tcW w:w="2860" w:type="dxa"/>
            <w:vAlign w:val="bottom"/>
          </w:tcPr>
          <w:p>
            <w:pPr>
              <w:ind w:left="80"/>
              <w:spacing w:after="0" w:line="28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Five years from February 27, 2019</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46"/>
        </w:trPr>
        <w:tc>
          <w:tcPr>
            <w:tcW w:w="2000" w:type="dxa"/>
            <w:vAlign w:val="bottom"/>
            <w:tcBorders>
              <w:bottom w:val="single" w:sz="8" w:color="7F7F7F"/>
            </w:tcBorders>
          </w:tcPr>
          <w:p>
            <w:pPr>
              <w:spacing w:after="0"/>
              <w:rPr>
                <w:sz w:val="21"/>
                <w:szCs w:val="21"/>
                <w:color w:val="auto"/>
              </w:rPr>
            </w:pPr>
          </w:p>
        </w:tc>
        <w:tc>
          <w:tcPr>
            <w:tcW w:w="1200" w:type="dxa"/>
            <w:vAlign w:val="bottom"/>
            <w:tcBorders>
              <w:bottom w:val="single" w:sz="8" w:color="7F7F7F"/>
            </w:tcBorders>
          </w:tcPr>
          <w:p>
            <w:pPr>
              <w:spacing w:after="0"/>
              <w:rPr>
                <w:sz w:val="21"/>
                <w:szCs w:val="21"/>
                <w:color w:val="auto"/>
              </w:rPr>
            </w:pPr>
          </w:p>
        </w:tc>
        <w:tc>
          <w:tcPr>
            <w:tcW w:w="2960" w:type="dxa"/>
            <w:vAlign w:val="bottom"/>
            <w:tcBorders>
              <w:bottom w:val="single" w:sz="8" w:color="7F7F7F"/>
            </w:tcBorders>
          </w:tcPr>
          <w:p>
            <w:pPr>
              <w:spacing w:after="0"/>
              <w:rPr>
                <w:sz w:val="21"/>
                <w:szCs w:val="21"/>
                <w:color w:val="auto"/>
              </w:rPr>
            </w:pPr>
          </w:p>
        </w:tc>
        <w:tc>
          <w:tcPr>
            <w:tcW w:w="28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(or appointment if later)</w:t>
            </w:r>
            <w:r>
              <w:rPr>
                <w:rFonts w:ascii="Arial" w:cs="Arial" w:eastAsia="Arial" w:hAnsi="Arial"/>
                <w:sz w:val="19"/>
                <w:szCs w:val="19"/>
                <w:color w:val="auto"/>
                <w:vertAlign w:val="superscript"/>
              </w:rPr>
              <w:t>(1)(2)</w:t>
            </w:r>
          </w:p>
        </w:tc>
        <w:tc>
          <w:tcPr>
            <w:tcW w:w="160" w:type="dxa"/>
            <w:vAlign w:val="bottom"/>
            <w:tcBorders>
              <w:bottom w:val="single" w:sz="8" w:color="7F7F7F"/>
            </w:tcBorders>
          </w:tcPr>
          <w:p>
            <w:pPr>
              <w:spacing w:after="0"/>
              <w:rPr>
                <w:sz w:val="21"/>
                <w:szCs w:val="21"/>
                <w:color w:val="auto"/>
              </w:rPr>
            </w:pPr>
          </w:p>
        </w:tc>
      </w:tr>
      <w:tr>
        <w:trPr>
          <w:trHeight w:val="276"/>
        </w:trPr>
        <w:tc>
          <w:tcPr>
            <w:tcW w:w="2000" w:type="dxa"/>
            <w:vAlign w:val="bottom"/>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President (if other than</w:t>
            </w:r>
          </w:p>
        </w:tc>
        <w:tc>
          <w:tcPr>
            <w:tcW w:w="1200" w:type="dxa"/>
            <w:vAlign w:val="bottom"/>
          </w:tcPr>
          <w:p>
            <w:pPr>
              <w:ind w:left="80"/>
              <w:spacing w:after="0"/>
              <w:rPr>
                <w:sz w:val="20"/>
                <w:szCs w:val="20"/>
                <w:color w:val="auto"/>
              </w:rPr>
            </w:pPr>
            <w:r>
              <w:rPr>
                <w:rFonts w:ascii="Arial" w:cs="Arial" w:eastAsia="Arial" w:hAnsi="Arial"/>
                <w:sz w:val="16"/>
                <w:szCs w:val="16"/>
                <w:color w:val="auto"/>
              </w:rPr>
              <w:t>​</w:t>
            </w:r>
          </w:p>
        </w:tc>
        <w:tc>
          <w:tcPr>
            <w:tcW w:w="2960" w:type="dxa"/>
            <w:vAlign w:val="bottom"/>
          </w:tcPr>
          <w:p>
            <w:pPr>
              <w:ind w:left="106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20"/>
                <w:szCs w:val="20"/>
                <w:b w:val="1"/>
                <w:bCs w:val="1"/>
                <w:color w:val="auto"/>
              </w:rPr>
              <w:t xml:space="preserve">3x </w:t>
            </w:r>
            <w:r>
              <w:rPr>
                <w:rFonts w:ascii="Arial" w:cs="Arial" w:eastAsia="Arial" w:hAnsi="Arial"/>
                <w:sz w:val="16"/>
                <w:szCs w:val="16"/>
                <w:color w:val="auto"/>
              </w:rPr>
              <w:t>base salary</w:t>
            </w:r>
          </w:p>
        </w:tc>
        <w:tc>
          <w:tcPr>
            <w:tcW w:w="2860" w:type="dxa"/>
            <w:vAlign w:val="bottom"/>
          </w:tcPr>
          <w:p>
            <w:pPr>
              <w:ind w:left="8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Five years from appointment</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16"/>
        </w:trPr>
        <w:tc>
          <w:tcPr>
            <w:tcW w:w="20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the CEO)</w:t>
            </w:r>
          </w:p>
        </w:tc>
        <w:tc>
          <w:tcPr>
            <w:tcW w:w="1200" w:type="dxa"/>
            <w:vAlign w:val="bottom"/>
            <w:tcBorders>
              <w:bottom w:val="single" w:sz="8" w:color="7F7F7F"/>
            </w:tcBorders>
          </w:tcPr>
          <w:p>
            <w:pPr>
              <w:spacing w:after="0"/>
              <w:rPr>
                <w:sz w:val="18"/>
                <w:szCs w:val="18"/>
                <w:color w:val="auto"/>
              </w:rPr>
            </w:pPr>
          </w:p>
        </w:tc>
        <w:tc>
          <w:tcPr>
            <w:tcW w:w="2960" w:type="dxa"/>
            <w:vAlign w:val="bottom"/>
            <w:tcBorders>
              <w:bottom w:val="single" w:sz="8" w:color="7F7F7F"/>
            </w:tcBorders>
          </w:tcPr>
          <w:p>
            <w:pPr>
              <w:spacing w:after="0"/>
              <w:rPr>
                <w:sz w:val="18"/>
                <w:szCs w:val="18"/>
                <w:color w:val="auto"/>
              </w:rPr>
            </w:pPr>
          </w:p>
        </w:tc>
        <w:tc>
          <w:tcPr>
            <w:tcW w:w="2860" w:type="dxa"/>
            <w:vAlign w:val="bottom"/>
            <w:tcBorders>
              <w:bottom w:val="single" w:sz="8" w:color="7F7F7F"/>
            </w:tcBorders>
          </w:tcPr>
          <w:p>
            <w:pPr>
              <w:spacing w:after="0"/>
              <w:rPr>
                <w:sz w:val="18"/>
                <w:szCs w:val="18"/>
                <w:color w:val="auto"/>
              </w:rPr>
            </w:pPr>
          </w:p>
        </w:tc>
        <w:tc>
          <w:tcPr>
            <w:tcW w:w="160" w:type="dxa"/>
            <w:vAlign w:val="bottom"/>
            <w:tcBorders>
              <w:bottom w:val="single" w:sz="8" w:color="7F7F7F"/>
            </w:tcBorders>
          </w:tcPr>
          <w:p>
            <w:pPr>
              <w:spacing w:after="0"/>
              <w:rPr>
                <w:sz w:val="18"/>
                <w:szCs w:val="18"/>
                <w:color w:val="auto"/>
              </w:rPr>
            </w:pPr>
          </w:p>
        </w:tc>
      </w:tr>
      <w:tr>
        <w:trPr>
          <w:trHeight w:val="277"/>
        </w:trPr>
        <w:tc>
          <w:tcPr>
            <w:tcW w:w="2000" w:type="dxa"/>
            <w:vAlign w:val="bottom"/>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Other Named Executive</w:t>
            </w:r>
          </w:p>
        </w:tc>
        <w:tc>
          <w:tcPr>
            <w:tcW w:w="1200" w:type="dxa"/>
            <w:vAlign w:val="bottom"/>
          </w:tcPr>
          <w:p>
            <w:pPr>
              <w:ind w:left="80"/>
              <w:spacing w:after="0"/>
              <w:rPr>
                <w:sz w:val="20"/>
                <w:szCs w:val="20"/>
                <w:color w:val="auto"/>
              </w:rPr>
            </w:pPr>
            <w:r>
              <w:rPr>
                <w:rFonts w:ascii="Arial" w:cs="Arial" w:eastAsia="Arial" w:hAnsi="Arial"/>
                <w:sz w:val="16"/>
                <w:szCs w:val="16"/>
                <w:color w:val="auto"/>
              </w:rPr>
              <w:t>​</w:t>
            </w:r>
          </w:p>
        </w:tc>
        <w:tc>
          <w:tcPr>
            <w:tcW w:w="2960" w:type="dxa"/>
            <w:vAlign w:val="bottom"/>
          </w:tcPr>
          <w:p>
            <w:pPr>
              <w:ind w:left="106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20"/>
                <w:szCs w:val="20"/>
                <w:b w:val="1"/>
                <w:bCs w:val="1"/>
                <w:color w:val="auto"/>
              </w:rPr>
              <w:t xml:space="preserve">2x </w:t>
            </w:r>
            <w:r>
              <w:rPr>
                <w:rFonts w:ascii="Arial" w:cs="Arial" w:eastAsia="Arial" w:hAnsi="Arial"/>
                <w:sz w:val="16"/>
                <w:szCs w:val="16"/>
                <w:color w:val="auto"/>
              </w:rPr>
              <w:t>base salary</w:t>
            </w:r>
          </w:p>
        </w:tc>
        <w:tc>
          <w:tcPr>
            <w:tcW w:w="2860" w:type="dxa"/>
            <w:vAlign w:val="bottom"/>
          </w:tcPr>
          <w:p>
            <w:pPr>
              <w:ind w:left="8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Five years from February 27, 2019</w:t>
            </w:r>
            <w:r>
              <w:rPr>
                <w:rFonts w:ascii="Arial" w:cs="Arial" w:eastAsia="Arial" w:hAnsi="Arial"/>
                <w:sz w:val="19"/>
                <w:szCs w:val="19"/>
                <w:color w:val="auto"/>
                <w:vertAlign w:val="superscript"/>
              </w:rPr>
              <w:t>(1)</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16"/>
        </w:trPr>
        <w:tc>
          <w:tcPr>
            <w:tcW w:w="20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Officers</w:t>
            </w:r>
          </w:p>
        </w:tc>
        <w:tc>
          <w:tcPr>
            <w:tcW w:w="1200" w:type="dxa"/>
            <w:vAlign w:val="bottom"/>
            <w:tcBorders>
              <w:bottom w:val="single" w:sz="8" w:color="7F7F7F"/>
            </w:tcBorders>
          </w:tcPr>
          <w:p>
            <w:pPr>
              <w:spacing w:after="0"/>
              <w:rPr>
                <w:sz w:val="18"/>
                <w:szCs w:val="18"/>
                <w:color w:val="auto"/>
              </w:rPr>
            </w:pPr>
          </w:p>
        </w:tc>
        <w:tc>
          <w:tcPr>
            <w:tcW w:w="2960" w:type="dxa"/>
            <w:vAlign w:val="bottom"/>
            <w:tcBorders>
              <w:bottom w:val="single" w:sz="8" w:color="7F7F7F"/>
            </w:tcBorders>
          </w:tcPr>
          <w:p>
            <w:pPr>
              <w:spacing w:after="0"/>
              <w:rPr>
                <w:sz w:val="18"/>
                <w:szCs w:val="18"/>
                <w:color w:val="auto"/>
              </w:rPr>
            </w:pPr>
          </w:p>
        </w:tc>
        <w:tc>
          <w:tcPr>
            <w:tcW w:w="2860" w:type="dxa"/>
            <w:vAlign w:val="bottom"/>
            <w:tcBorders>
              <w:bottom w:val="single" w:sz="8" w:color="7F7F7F"/>
            </w:tcBorders>
          </w:tcPr>
          <w:p>
            <w:pPr>
              <w:spacing w:after="0"/>
              <w:rPr>
                <w:sz w:val="18"/>
                <w:szCs w:val="18"/>
                <w:color w:val="auto"/>
              </w:rPr>
            </w:pPr>
          </w:p>
        </w:tc>
        <w:tc>
          <w:tcPr>
            <w:tcW w:w="160" w:type="dxa"/>
            <w:vAlign w:val="bottom"/>
            <w:tcBorders>
              <w:bottom w:val="single" w:sz="8" w:color="7F7F7F"/>
            </w:tcBorders>
          </w:tcPr>
          <w:p>
            <w:pPr>
              <w:spacing w:after="0"/>
              <w:rPr>
                <w:sz w:val="18"/>
                <w:szCs w:val="18"/>
                <w:color w:val="auto"/>
              </w:rPr>
            </w:pPr>
          </w:p>
        </w:tc>
      </w:tr>
      <w:tr>
        <w:trPr>
          <w:trHeight w:val="275"/>
        </w:trPr>
        <w:tc>
          <w:tcPr>
            <w:tcW w:w="2000" w:type="dxa"/>
            <w:vAlign w:val="bottom"/>
          </w:tcPr>
          <w:p>
            <w:pPr>
              <w:spacing w:after="0" w:line="275"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Non-Employee Directors</w:t>
            </w:r>
          </w:p>
        </w:tc>
        <w:tc>
          <w:tcPr>
            <w:tcW w:w="1200" w:type="dxa"/>
            <w:vAlign w:val="bottom"/>
          </w:tcPr>
          <w:p>
            <w:pPr>
              <w:ind w:left="80"/>
              <w:spacing w:after="0"/>
              <w:rPr>
                <w:sz w:val="20"/>
                <w:szCs w:val="20"/>
                <w:color w:val="auto"/>
              </w:rPr>
            </w:pPr>
            <w:r>
              <w:rPr>
                <w:rFonts w:ascii="Arial" w:cs="Arial" w:eastAsia="Arial" w:hAnsi="Arial"/>
                <w:sz w:val="16"/>
                <w:szCs w:val="16"/>
                <w:color w:val="auto"/>
              </w:rPr>
              <w:t>​</w:t>
            </w:r>
          </w:p>
        </w:tc>
        <w:tc>
          <w:tcPr>
            <w:tcW w:w="2960" w:type="dxa"/>
            <w:vAlign w:val="bottom"/>
          </w:tcPr>
          <w:p>
            <w:pPr>
              <w:ind w:left="1060"/>
              <w:spacing w:after="0" w:line="275"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9"/>
                <w:szCs w:val="19"/>
                <w:b w:val="1"/>
                <w:bCs w:val="1"/>
                <w:color w:val="auto"/>
              </w:rPr>
              <w:t xml:space="preserve">5x </w:t>
            </w:r>
            <w:r>
              <w:rPr>
                <w:rFonts w:ascii="Arial" w:cs="Arial" w:eastAsia="Arial" w:hAnsi="Arial"/>
                <w:sz w:val="16"/>
                <w:szCs w:val="16"/>
                <w:color w:val="auto"/>
              </w:rPr>
              <w:t>annual cash retainer</w:t>
            </w:r>
          </w:p>
        </w:tc>
        <w:tc>
          <w:tcPr>
            <w:tcW w:w="3020" w:type="dxa"/>
            <w:vAlign w:val="bottom"/>
            <w:gridSpan w:val="2"/>
          </w:tcPr>
          <w:p>
            <w:pPr>
              <w:ind w:left="80"/>
              <w:spacing w:after="0" w:line="275"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Five years from October 20, 2021 (or </w:t>
            </w:r>
            <w:r>
              <w:rPr>
                <w:rFonts w:ascii="Arial" w:cs="Arial" w:eastAsia="Arial" w:hAnsi="Arial"/>
                <w:sz w:val="31"/>
                <w:szCs w:val="31"/>
                <w:color w:val="auto"/>
                <w:vertAlign w:val="superscript"/>
              </w:rPr>
              <w:t>​</w:t>
            </w:r>
          </w:p>
        </w:tc>
      </w:tr>
      <w:tr>
        <w:trPr>
          <w:trHeight w:val="264"/>
        </w:trPr>
        <w:tc>
          <w:tcPr>
            <w:tcW w:w="2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860" w:type="dxa"/>
            <w:vAlign w:val="bottom"/>
          </w:tcPr>
          <w:p>
            <w:pPr>
              <w:ind w:left="100"/>
              <w:spacing w:after="0"/>
              <w:rPr>
                <w:sz w:val="20"/>
                <w:szCs w:val="20"/>
                <w:color w:val="auto"/>
              </w:rPr>
            </w:pPr>
            <w:r>
              <w:rPr>
                <w:rFonts w:ascii="Arial" w:cs="Arial" w:eastAsia="Arial" w:hAnsi="Arial"/>
                <w:sz w:val="16"/>
                <w:szCs w:val="16"/>
                <w:color w:val="auto"/>
              </w:rPr>
              <w:t>appointment if later)</w:t>
            </w:r>
            <w:r>
              <w:rPr>
                <w:rFonts w:ascii="Arial" w:cs="Arial" w:eastAsia="Arial" w:hAnsi="Arial"/>
                <w:sz w:val="19"/>
                <w:szCs w:val="19"/>
                <w:color w:val="auto"/>
                <w:vertAlign w:val="superscript"/>
              </w:rPr>
              <w:t>(3)</w:t>
            </w: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31750</wp:posOffset>
            </wp:positionV>
            <wp:extent cx="58293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-1262380</wp:posOffset>
            </wp:positionV>
            <wp:extent cx="76835" cy="774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-1262380</wp:posOffset>
            </wp:positionV>
            <wp:extent cx="77470" cy="774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-1262380</wp:posOffset>
            </wp:positionV>
            <wp:extent cx="76835" cy="774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-1262380</wp:posOffset>
            </wp:positionV>
            <wp:extent cx="76835" cy="774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-1262380</wp:posOffset>
            </wp:positionV>
            <wp:extent cx="77470" cy="774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2608580</wp:posOffset>
            </wp:positionH>
            <wp:positionV relativeFrom="paragraph">
              <wp:posOffset>-1262380</wp:posOffset>
            </wp:positionV>
            <wp:extent cx="76835" cy="774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-919480</wp:posOffset>
            </wp:positionV>
            <wp:extent cx="76835" cy="774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-919480</wp:posOffset>
            </wp:positionV>
            <wp:extent cx="77470" cy="774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-919480</wp:posOffset>
            </wp:positionV>
            <wp:extent cx="76835" cy="774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-593725</wp:posOffset>
            </wp:positionV>
            <wp:extent cx="76835" cy="768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-593725</wp:posOffset>
            </wp:positionV>
            <wp:extent cx="77470" cy="768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1828800</wp:posOffset>
            </wp:positionH>
            <wp:positionV relativeFrom="paragraph">
              <wp:posOffset>-267970</wp:posOffset>
            </wp:positionV>
            <wp:extent cx="76835" cy="768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-267970</wp:posOffset>
            </wp:positionV>
            <wp:extent cx="77470" cy="768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-267970</wp:posOffset>
            </wp:positionV>
            <wp:extent cx="76835" cy="768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-267970</wp:posOffset>
            </wp:positionV>
            <wp:extent cx="76835" cy="768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-267970</wp:posOffset>
            </wp:positionV>
            <wp:extent cx="77470" cy="768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pacing w:after="0" w:line="43" w:lineRule="exact"/>
        <w:rPr>
          <w:sz w:val="20"/>
          <w:szCs w:val="20"/>
          <w:color w:val="auto"/>
        </w:rPr>
      </w:pPr>
    </w:p>
    <w:p>
      <w:pPr>
        <w:ind w:left="1140" w:right="20" w:hanging="360"/>
        <w:spacing w:after="0" w:line="321"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On February 27, 2019, the Board revised the stock ownership guidelines to increase the stock ownership requirements for the CEO and the other NEOs and provided for a five-year compliance period.</w:t>
      </w:r>
    </w:p>
    <w:p>
      <w:pPr>
        <w:spacing w:after="0" w:line="7" w:lineRule="exact"/>
        <w:rPr>
          <w:rFonts w:ascii="Arial" w:cs="Arial" w:eastAsia="Arial" w:hAnsi="Arial"/>
          <w:sz w:val="16"/>
          <w:szCs w:val="16"/>
          <w:color w:val="auto"/>
        </w:rPr>
      </w:pPr>
    </w:p>
    <w:p>
      <w:pPr>
        <w:ind w:left="1140" w:right="100" w:hanging="360"/>
        <w:spacing w:after="0" w:line="295"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On February 24, 2021, the Board revised the stock ownership guidelines to increase the stock ownership requirement for the CEO from 5x to 6x base salary. At such time, the Board determined to maintain the February 27, 2024 compliance deadline for the CEO to achieve the 5x ownership level and provided until February 27, 2026, which is five years following the 2021 revision, for the CEO to achieve the 6x ownership level.</w:t>
      </w:r>
    </w:p>
    <w:p>
      <w:pPr>
        <w:spacing w:after="0" w:line="40" w:lineRule="exact"/>
        <w:rPr>
          <w:rFonts w:ascii="Arial" w:cs="Arial" w:eastAsia="Arial" w:hAnsi="Arial"/>
          <w:sz w:val="16"/>
          <w:szCs w:val="16"/>
          <w:color w:val="auto"/>
        </w:rPr>
      </w:pPr>
    </w:p>
    <w:p>
      <w:pPr>
        <w:ind w:left="1140" w:right="180" w:hanging="360"/>
        <w:spacing w:after="0" w:line="321"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On October 20, 2021, the Board revised the stock ownership guidelines to increase the stock ownership requirement for non-employee directors from 3x to 5x the annual cash retainer and provided for a five-year compliance period.</w:t>
      </w:r>
    </w:p>
    <w:p>
      <w:pPr>
        <w:sectPr>
          <w:pgSz w:w="11900" w:h="16838" w:orient="portrait"/>
          <w:cols w:equalWidth="0" w:num="1">
            <w:col w:w="9960"/>
          </w:cols>
          <w:pgMar w:left="580" w:top="97" w:right="1359" w:bottom="1440" w:gutter="0" w:footer="0" w:header="0"/>
          <w:type w:val="continuous"/>
        </w:sectPr>
      </w:pPr>
    </w:p>
    <w:p>
      <w:pPr>
        <w:spacing w:after="0" w:line="138" w:lineRule="exact"/>
        <w:rPr>
          <w:sz w:val="20"/>
          <w:szCs w:val="20"/>
          <w:color w:val="auto"/>
        </w:rPr>
      </w:pPr>
    </w:p>
    <w:p>
      <w:pPr>
        <w:ind w:left="780" w:right="540"/>
        <w:spacing w:after="0" w:line="287" w:lineRule="auto"/>
        <w:rPr>
          <w:sz w:val="20"/>
          <w:szCs w:val="20"/>
          <w:color w:val="auto"/>
        </w:rPr>
      </w:pPr>
      <w:r>
        <w:rPr>
          <w:rFonts w:ascii="Arial" w:cs="Arial" w:eastAsia="Arial" w:hAnsi="Arial"/>
          <w:sz w:val="18"/>
          <w:szCs w:val="18"/>
          <w:color w:val="auto"/>
        </w:rPr>
        <w:t>Shares that count toward satisfaction of the guidelines for officers include:</w:t>
      </w:r>
    </w:p>
    <w:p>
      <w:pPr>
        <w:spacing w:after="0" w:line="72" w:lineRule="exact"/>
        <w:rPr>
          <w:sz w:val="20"/>
          <w:szCs w:val="20"/>
          <w:color w:val="auto"/>
        </w:rPr>
      </w:pPr>
    </w:p>
    <w:p>
      <w:pPr>
        <w:ind w:left="1420" w:hanging="280"/>
        <w:spacing w:after="0"/>
        <w:tabs>
          <w:tab w:leader="none" w:pos="1420" w:val="left"/>
        </w:tabs>
        <w:numPr>
          <w:ilvl w:val="0"/>
          <w:numId w:val="128"/>
        </w:numPr>
        <w:rPr>
          <w:rFonts w:ascii="Arial" w:cs="Arial" w:eastAsia="Arial" w:hAnsi="Arial"/>
          <w:sz w:val="18"/>
          <w:szCs w:val="18"/>
          <w:color w:val="BF5B5A"/>
        </w:rPr>
      </w:pPr>
      <w:r>
        <w:rPr>
          <w:rFonts w:ascii="Arial" w:cs="Arial" w:eastAsia="Arial" w:hAnsi="Arial"/>
          <w:sz w:val="18"/>
          <w:szCs w:val="18"/>
          <w:color w:val="auto"/>
        </w:rPr>
        <w:t>shares owned outright,</w:t>
      </w:r>
    </w:p>
    <w:p>
      <w:pPr>
        <w:spacing w:after="0" w:line="117" w:lineRule="exact"/>
        <w:rPr>
          <w:rFonts w:ascii="Arial" w:cs="Arial" w:eastAsia="Arial" w:hAnsi="Arial"/>
          <w:sz w:val="18"/>
          <w:szCs w:val="18"/>
          <w:color w:val="BF5B5A"/>
        </w:rPr>
      </w:pPr>
    </w:p>
    <w:p>
      <w:pPr>
        <w:ind w:left="1420" w:hanging="280"/>
        <w:spacing w:after="0"/>
        <w:tabs>
          <w:tab w:leader="none" w:pos="1420" w:val="left"/>
        </w:tabs>
        <w:numPr>
          <w:ilvl w:val="0"/>
          <w:numId w:val="128"/>
        </w:numPr>
        <w:rPr>
          <w:rFonts w:ascii="Arial" w:cs="Arial" w:eastAsia="Arial" w:hAnsi="Arial"/>
          <w:sz w:val="18"/>
          <w:szCs w:val="18"/>
          <w:color w:val="BF5B5A"/>
        </w:rPr>
      </w:pPr>
      <w:r>
        <w:rPr>
          <w:rFonts w:ascii="Arial" w:cs="Arial" w:eastAsia="Arial" w:hAnsi="Arial"/>
          <w:sz w:val="18"/>
          <w:szCs w:val="18"/>
          <w:color w:val="auto"/>
        </w:rPr>
        <w:t>deferred shares or deferred stock units,</w:t>
      </w:r>
    </w:p>
    <w:p>
      <w:pPr>
        <w:spacing w:after="0" w:line="117" w:lineRule="exact"/>
        <w:rPr>
          <w:rFonts w:ascii="Arial" w:cs="Arial" w:eastAsia="Arial" w:hAnsi="Arial"/>
          <w:sz w:val="18"/>
          <w:szCs w:val="18"/>
          <w:color w:val="BF5B5A"/>
        </w:rPr>
      </w:pPr>
    </w:p>
    <w:p>
      <w:pPr>
        <w:ind w:left="1420" w:right="140" w:hanging="280"/>
        <w:spacing w:after="0" w:line="303" w:lineRule="auto"/>
        <w:tabs>
          <w:tab w:leader="none" w:pos="1420" w:val="left"/>
        </w:tabs>
        <w:numPr>
          <w:ilvl w:val="0"/>
          <w:numId w:val="128"/>
        </w:numPr>
        <w:rPr>
          <w:rFonts w:ascii="Arial" w:cs="Arial" w:eastAsia="Arial" w:hAnsi="Arial"/>
          <w:sz w:val="18"/>
          <w:szCs w:val="18"/>
          <w:color w:val="BF5B5A"/>
        </w:rPr>
      </w:pPr>
      <w:r>
        <w:rPr>
          <w:rFonts w:ascii="Arial" w:cs="Arial" w:eastAsia="Arial" w:hAnsi="Arial"/>
          <w:sz w:val="18"/>
          <w:szCs w:val="18"/>
          <w:color w:val="auto"/>
        </w:rPr>
        <w:t>shares purchased through the Employee Stock Purchase Plan,</w:t>
      </w:r>
    </w:p>
    <w:p>
      <w:pPr>
        <w:spacing w:after="0" w:line="30" w:lineRule="exact"/>
        <w:rPr>
          <w:rFonts w:ascii="Arial" w:cs="Arial" w:eastAsia="Arial" w:hAnsi="Arial"/>
          <w:sz w:val="18"/>
          <w:szCs w:val="18"/>
          <w:color w:val="BF5B5A"/>
        </w:rPr>
      </w:pPr>
    </w:p>
    <w:p>
      <w:pPr>
        <w:ind w:left="1420" w:hanging="280"/>
        <w:spacing w:after="0"/>
        <w:tabs>
          <w:tab w:leader="none" w:pos="1420" w:val="left"/>
        </w:tabs>
        <w:numPr>
          <w:ilvl w:val="0"/>
          <w:numId w:val="128"/>
        </w:numPr>
        <w:rPr>
          <w:rFonts w:ascii="Arial" w:cs="Arial" w:eastAsia="Arial" w:hAnsi="Arial"/>
          <w:sz w:val="18"/>
          <w:szCs w:val="18"/>
          <w:color w:val="BF5B5A"/>
        </w:rPr>
      </w:pPr>
      <w:r>
        <w:rPr>
          <w:rFonts w:ascii="Arial" w:cs="Arial" w:eastAsia="Arial" w:hAnsi="Arial"/>
          <w:sz w:val="18"/>
          <w:szCs w:val="18"/>
          <w:color w:val="auto"/>
        </w:rPr>
        <w:t>shares held in retirement accounts,</w:t>
      </w:r>
    </w:p>
    <w:p>
      <w:pPr>
        <w:spacing w:after="0" w:line="117" w:lineRule="exact"/>
        <w:rPr>
          <w:rFonts w:ascii="Arial" w:cs="Arial" w:eastAsia="Arial" w:hAnsi="Arial"/>
          <w:sz w:val="18"/>
          <w:szCs w:val="18"/>
          <w:color w:val="BF5B5A"/>
        </w:rPr>
      </w:pPr>
    </w:p>
    <w:p>
      <w:pPr>
        <w:ind w:left="1420" w:right="400" w:hanging="280"/>
        <w:spacing w:after="0" w:line="318" w:lineRule="auto"/>
        <w:tabs>
          <w:tab w:leader="none" w:pos="1420" w:val="left"/>
        </w:tabs>
        <w:numPr>
          <w:ilvl w:val="0"/>
          <w:numId w:val="128"/>
        </w:numPr>
        <w:rPr>
          <w:rFonts w:ascii="Arial" w:cs="Arial" w:eastAsia="Arial" w:hAnsi="Arial"/>
          <w:sz w:val="18"/>
          <w:szCs w:val="18"/>
          <w:color w:val="BF5B5A"/>
        </w:rPr>
      </w:pPr>
      <w:r>
        <w:rPr>
          <w:rFonts w:ascii="Arial" w:cs="Arial" w:eastAsia="Arial" w:hAnsi="Arial"/>
          <w:sz w:val="18"/>
          <w:szCs w:val="18"/>
          <w:color w:val="auto"/>
        </w:rPr>
        <w:t>unvested restricted stock or restricted stock units, 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620" w:right="100" w:hanging="267"/>
        <w:spacing w:after="0" w:line="303" w:lineRule="auto"/>
        <w:tabs>
          <w:tab w:leader="none" w:pos="620" w:val="left"/>
        </w:tabs>
        <w:numPr>
          <w:ilvl w:val="0"/>
          <w:numId w:val="129"/>
        </w:numPr>
        <w:rPr>
          <w:rFonts w:ascii="Arial" w:cs="Arial" w:eastAsia="Arial" w:hAnsi="Arial"/>
          <w:sz w:val="18"/>
          <w:szCs w:val="18"/>
          <w:color w:val="BF5B5A"/>
        </w:rPr>
      </w:pPr>
      <w:r>
        <w:rPr>
          <w:rFonts w:ascii="Arial" w:cs="Arial" w:eastAsia="Arial" w:hAnsi="Arial"/>
          <w:sz w:val="18"/>
          <w:szCs w:val="18"/>
          <w:color w:val="auto"/>
        </w:rPr>
        <w:t>earned but unvested performance shares or performance share units.</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Unvested performance shares, performance share units for which actual company performance has not been certified and unvested or vested stock options (or any portions thereof) do not count towards satisfaction of the stock ownership guidelines.</w:t>
      </w:r>
    </w:p>
    <w:p>
      <w:pPr>
        <w:spacing w:after="0" w:line="34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Shares that count toward satisfaction of the guidelines for non-employee directors include</w:t>
      </w:r>
    </w:p>
    <w:p>
      <w:pPr>
        <w:spacing w:after="0" w:line="184" w:lineRule="exact"/>
        <w:rPr>
          <w:sz w:val="20"/>
          <w:szCs w:val="20"/>
          <w:color w:val="auto"/>
        </w:rPr>
      </w:pPr>
    </w:p>
    <w:p>
      <w:pPr>
        <w:sectPr>
          <w:pgSz w:w="11900" w:h="16838" w:orient="portrait"/>
          <w:cols w:equalWidth="0" w:num="2">
            <w:col w:w="4900" w:space="720"/>
            <w:col w:w="4340"/>
          </w:cols>
          <w:pgMar w:left="580" w:top="97" w:right="1359" w:bottom="1440" w:gutter="0" w:footer="0" w:header="0"/>
          <w:type w:val="continuous"/>
        </w:sect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61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266" w:lineRule="exact"/>
        <w:rPr>
          <w:sz w:val="20"/>
          <w:szCs w:val="20"/>
          <w:color w:val="auto"/>
        </w:rPr>
      </w:pPr>
    </w:p>
    <w:p>
      <w:pPr>
        <w:ind w:left="780"/>
        <w:spacing w:after="0" w:line="259" w:lineRule="auto"/>
        <w:rPr>
          <w:sz w:val="20"/>
          <w:szCs w:val="20"/>
          <w:color w:val="auto"/>
        </w:rPr>
      </w:pPr>
      <w:r>
        <w:rPr>
          <w:rFonts w:ascii="Arial" w:cs="Arial" w:eastAsia="Arial" w:hAnsi="Arial"/>
          <w:sz w:val="18"/>
          <w:szCs w:val="18"/>
          <w:color w:val="auto"/>
        </w:rPr>
        <w:t>shares for which the non-employee director has or shares voting power (which includes the power to vote or direct the voting) and/or investment power (which includes the power to dispose or direct the disposition of such shares). Under the applicable guidelines for officers and for directors, Common Stock will not be deemed beneficially owned for purposes of the stock ownership guidelines if it (i) is subject to a lien, claim or other encumbrance, including for a margin loan or other pledging of stock as collateral for a loan; (ii) becomes subject to recapture; or (iii) is held in escrow or similar</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arrangement.</w:t>
      </w:r>
      <w:r>
        <w:rPr>
          <w:rFonts w:ascii="Times New Roman" w:cs="Times New Roman" w:eastAsia="Times New Roman" w:hAnsi="Times New Roman"/>
          <w:sz w:val="25"/>
          <w:szCs w:val="25"/>
          <w:color w:val="auto"/>
        </w:rPr>
        <w:t>​</w:t>
      </w:r>
    </w:p>
    <w:p>
      <w:pPr>
        <w:spacing w:after="0" w:line="31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46355</wp:posOffset>
            </wp:positionV>
            <wp:extent cx="27603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63" w:lineRule="exact"/>
        <w:rPr>
          <w:sz w:val="20"/>
          <w:szCs w:val="20"/>
          <w:color w:val="auto"/>
        </w:rPr>
      </w:pPr>
    </w:p>
    <w:p>
      <w:pPr>
        <w:ind w:left="780" w:right="40"/>
        <w:spacing w:after="0" w:line="263" w:lineRule="auto"/>
        <w:rPr>
          <w:sz w:val="20"/>
          <w:szCs w:val="20"/>
          <w:color w:val="auto"/>
        </w:rPr>
      </w:pPr>
      <w:r>
        <w:rPr>
          <w:rFonts w:ascii="Arial" w:cs="Arial" w:eastAsia="Arial" w:hAnsi="Arial"/>
          <w:sz w:val="18"/>
          <w:szCs w:val="18"/>
          <w:color w:val="auto"/>
        </w:rPr>
        <w:t>We maintain a clawback policy, amended and restated effective December 1, 2023 (the “A&amp;R Clawback Policy”), that covers all cash and equity incentive compensation (including without limitation all time-based incentive awards) received by any employee who participates in an incentive compensation plan sponsored by the Company. The A&amp;R Clawback Policy provides the Compensation Committee discretion, to recover all or part of cash, equity-based or other incentive compensation that has been paid or will be paid due to financial restatement (other than with respect to current and former executive officers (as defined in Rule 10D-1 of the Exchange Act)), individuals operating outside First Hawaiian’s risk policies and employees committing ethical misconduct.</w:t>
      </w:r>
    </w:p>
    <w:p>
      <w:pPr>
        <w:spacing w:after="0" w:line="110" w:lineRule="exact"/>
        <w:rPr>
          <w:sz w:val="20"/>
          <w:szCs w:val="20"/>
          <w:color w:val="auto"/>
        </w:rPr>
      </w:pPr>
    </w:p>
    <w:p>
      <w:pPr>
        <w:ind w:left="780" w:right="620"/>
        <w:spacing w:after="0" w:line="273" w:lineRule="auto"/>
        <w:rPr>
          <w:sz w:val="20"/>
          <w:szCs w:val="20"/>
          <w:color w:val="auto"/>
        </w:rPr>
      </w:pPr>
      <w:r>
        <w:rPr>
          <w:rFonts w:ascii="Arial" w:cs="Arial" w:eastAsia="Arial" w:hAnsi="Arial"/>
          <w:sz w:val="18"/>
          <w:szCs w:val="18"/>
          <w:color w:val="auto"/>
        </w:rPr>
        <w:t>In December 2023, the Company adopted an additional clawback policy (the “Mandatory Clawback Policy”) regarding accounting restatements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connection with the SEC’s adoption of new rules to implement Section 954 of the Dodd-Frank Wall Street Reform and Consumer Protection Act of 2010 and corresponding Nasdaq listing standards. The Mandatory Clawback Policy generally requires recoupment of erroneously awarded incentive-based compensation (including any compensation granted, earned, or vested based wholly or in part upon the attainment of a financial reporting measure) received by current and former executive officers (as defined in Rule 10D- 1 of the Exchange Act), including our NEOs, during the three completed fiscal years immediately preceding the date that the Company is required to prepare an accounting restatement due to the Company’s material noncompliance with any financial reporting requirement under U.S. federal securities laws.</w:t>
      </w:r>
      <w:r>
        <w:rPr>
          <w:rFonts w:ascii="Times New Roman" w:cs="Times New Roman" w:eastAsia="Times New Roman" w:hAnsi="Times New Roman"/>
          <w:sz w:val="21"/>
          <w:szCs w:val="21"/>
          <w:color w:val="auto"/>
        </w:rPr>
        <w:t>​</w:t>
      </w:r>
    </w:p>
    <w:p>
      <w:pPr>
        <w:spacing w:after="0" w:line="297" w:lineRule="exact"/>
        <w:rPr>
          <w:sz w:val="20"/>
          <w:szCs w:val="20"/>
          <w:color w:val="auto"/>
        </w:rPr>
      </w:pPr>
    </w:p>
    <w:p>
      <w:pPr>
        <w:ind w:left="40"/>
        <w:spacing w:after="0" w:line="285" w:lineRule="auto"/>
        <w:rPr>
          <w:sz w:val="20"/>
          <w:szCs w:val="20"/>
          <w:color w:val="auto"/>
        </w:rPr>
      </w:pPr>
      <w:r>
        <w:rPr>
          <w:rFonts w:ascii="Arial" w:cs="Arial" w:eastAsia="Arial" w:hAnsi="Arial"/>
          <w:sz w:val="22"/>
          <w:szCs w:val="22"/>
          <w:b w:val="1"/>
          <w:bCs w:val="1"/>
          <w:color w:val="auto"/>
        </w:rPr>
        <w:t>Prohibition on Share Pledging, Hedging and Short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276034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established a policy applicable to our directors, officers and employees, as well as their immediate family members and household members, that prohibits pledging Company stock as collateral for a loan. This includes the use of a traditional margin account with a broker dealer unless the Company stock is treated as non-marginable by the broker dealer. In addition, those persons are prohibited from engaging in short-term or speculative transactions in Company stock, including hedging or monetization transactions, short sales with respect to our securities or through the use of financial instruments such as prepaid variable forwards, equity swaps, collars and exchange funds.</w:t>
      </w:r>
    </w:p>
    <w:p>
      <w:pPr>
        <w:spacing w:after="0" w:line="571" w:lineRule="exact"/>
        <w:rPr>
          <w:sz w:val="20"/>
          <w:szCs w:val="20"/>
          <w:color w:val="auto"/>
        </w:rPr>
      </w:pPr>
    </w:p>
    <w:p>
      <w:pPr>
        <w:sectPr>
          <w:pgSz w:w="11900" w:h="16838" w:orient="portrait"/>
          <w:cols w:equalWidth="0" w:num="2">
            <w:col w:w="5120" w:space="500"/>
            <w:col w:w="4380"/>
          </w:cols>
          <w:pgMar w:left="580" w:top="97" w:right="1319" w:bottom="1440" w:gutter="0" w:footer="0" w:header="0"/>
        </w:sectPr>
      </w:pPr>
    </w:p>
    <w:p>
      <w:pPr>
        <w:spacing w:after="0" w:line="14"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Deductibility of Executive Compensation</w:t>
      </w:r>
    </w:p>
    <w:p>
      <w:pPr>
        <w:spacing w:after="0" w:line="256" w:lineRule="exact"/>
        <w:rPr>
          <w:sz w:val="20"/>
          <w:szCs w:val="20"/>
          <w:color w:val="auto"/>
        </w:rPr>
      </w:pPr>
    </w:p>
    <w:p>
      <w:pPr>
        <w:ind w:left="780" w:right="380"/>
        <w:spacing w:after="0" w:line="273" w:lineRule="auto"/>
        <w:rPr>
          <w:sz w:val="20"/>
          <w:szCs w:val="20"/>
          <w:color w:val="auto"/>
        </w:rPr>
      </w:pPr>
      <w:r>
        <w:rPr>
          <w:rFonts w:ascii="Arial" w:cs="Arial" w:eastAsia="Arial" w:hAnsi="Arial"/>
          <w:sz w:val="18"/>
          <w:szCs w:val="18"/>
          <w:color w:val="auto"/>
        </w:rPr>
        <w:t>When compensation matters are reviewed by the Compensation Committee, the Committee considers the anticipated tax and accounting treatment of various payments and benefits.</w:t>
      </w:r>
    </w:p>
    <w:p>
      <w:pPr>
        <w:spacing w:after="0" w:line="98" w:lineRule="exact"/>
        <w:rPr>
          <w:sz w:val="20"/>
          <w:szCs w:val="20"/>
          <w:color w:val="auto"/>
        </w:rPr>
      </w:pPr>
    </w:p>
    <w:p>
      <w:pPr>
        <w:ind w:left="780" w:right="380"/>
        <w:spacing w:after="0" w:line="271" w:lineRule="auto"/>
        <w:rPr>
          <w:sz w:val="20"/>
          <w:szCs w:val="20"/>
          <w:color w:val="auto"/>
        </w:rPr>
      </w:pPr>
      <w:r>
        <w:rPr>
          <w:rFonts w:ascii="Arial" w:cs="Arial" w:eastAsia="Arial" w:hAnsi="Arial"/>
          <w:sz w:val="18"/>
          <w:szCs w:val="18"/>
          <w:color w:val="auto"/>
        </w:rPr>
        <w:t>Section 162(m) of the Internal Revenue Code generally limits the tax deductibility of compensation in excess of  $1 million per year paid by a public company to its “covered employees.” While we have considered the implications of Section 162(m)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limits of deductibility on compensation in excess of  $1 million in the design of our compensation program, and will continue to evaluate the changes to Section 162(m), we consider it important to retain the flexibility to design a compensation program that is in the best long-term interests of First Hawaiian and our stockholders, even if certain payments thereunder are not deductible under Section 162(m).</w:t>
      </w:r>
    </w:p>
    <w:p>
      <w:pPr>
        <w:spacing w:after="0" w:line="414" w:lineRule="exact"/>
        <w:rPr>
          <w:sz w:val="20"/>
          <w:szCs w:val="20"/>
          <w:color w:val="auto"/>
        </w:rPr>
      </w:pPr>
    </w:p>
    <w:p>
      <w:pPr>
        <w:sectPr>
          <w:pgSz w:w="11900" w:h="16838" w:orient="portrait"/>
          <w:cols w:equalWidth="0" w:num="2">
            <w:col w:w="5460" w:space="160"/>
            <w:col w:w="4380"/>
          </w:cols>
          <w:pgMar w:left="580" w:top="97" w:right="1319" w:bottom="1440" w:gutter="0" w:footer="0" w:header="0"/>
          <w:type w:val="continuous"/>
        </w:sectPr>
      </w:pPr>
    </w:p>
    <w:p>
      <w:pPr>
        <w:spacing w:after="0" w:line="30"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Assessing Risk in Our Compensation Programs</w:t>
      </w:r>
    </w:p>
    <w:p>
      <w:pPr>
        <w:sectPr>
          <w:pgSz w:w="11900" w:h="16838" w:orient="portrait"/>
          <w:cols w:equalWidth="0" w:num="1">
            <w:col w:w="10000"/>
          </w:cols>
          <w:pgMar w:left="580" w:top="97" w:right="1319" w:bottom="1440" w:gutter="0" w:footer="0" w:header="0"/>
          <w:type w:val="continuous"/>
        </w:sectPr>
      </w:pPr>
    </w:p>
    <w:p>
      <w:pPr>
        <w:spacing w:after="0" w:line="256" w:lineRule="exact"/>
        <w:rPr>
          <w:sz w:val="20"/>
          <w:szCs w:val="20"/>
          <w:color w:val="auto"/>
        </w:rPr>
      </w:pPr>
    </w:p>
    <w:p>
      <w:pPr>
        <w:ind w:left="780" w:right="80"/>
        <w:spacing w:after="0" w:line="300" w:lineRule="auto"/>
        <w:rPr>
          <w:sz w:val="20"/>
          <w:szCs w:val="20"/>
          <w:color w:val="auto"/>
        </w:rPr>
      </w:pPr>
      <w:r>
        <w:rPr>
          <w:rFonts w:ascii="Arial" w:cs="Arial" w:eastAsia="Arial" w:hAnsi="Arial"/>
          <w:sz w:val="18"/>
          <w:szCs w:val="18"/>
          <w:color w:val="auto"/>
        </w:rPr>
        <w:t>The Compensation Committee has evaluated our compensation policies and practices in place in 2023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color w:val="auto"/>
        </w:rPr>
        <w:t>and has concluded that none of the Company’s incentive plans were likely to motivate behavior that</w:t>
      </w:r>
    </w:p>
    <w:p>
      <w:pPr>
        <w:spacing w:after="0" w:line="427" w:lineRule="exact"/>
        <w:rPr>
          <w:sz w:val="20"/>
          <w:szCs w:val="20"/>
          <w:color w:val="auto"/>
        </w:rPr>
      </w:pPr>
    </w:p>
    <w:p>
      <w:pPr>
        <w:sectPr>
          <w:pgSz w:w="11900" w:h="16838" w:orient="portrait"/>
          <w:cols w:equalWidth="0" w:num="2">
            <w:col w:w="4900" w:space="720"/>
            <w:col w:w="4380"/>
          </w:cols>
          <w:pgMar w:left="580" w:top="97" w:right="1319" w:bottom="1440" w:gutter="0" w:footer="0" w:header="0"/>
          <w:type w:val="continuous"/>
        </w:sectPr>
      </w:pPr>
    </w:p>
    <w:p>
      <w:pPr>
        <w:spacing w:after="0" w:line="122"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80" w:right="60"/>
        <w:spacing w:after="0" w:line="254" w:lineRule="auto"/>
        <w:rPr>
          <w:sz w:val="20"/>
          <w:szCs w:val="20"/>
          <w:color w:val="auto"/>
        </w:rPr>
      </w:pPr>
      <w:r>
        <w:rPr>
          <w:rFonts w:ascii="Arial" w:cs="Arial" w:eastAsia="Arial" w:hAnsi="Arial"/>
          <w:sz w:val="18"/>
          <w:szCs w:val="18"/>
          <w:color w:val="auto"/>
        </w:rPr>
        <w:t>would result in a material adverse impact to the Company. The potential risks identified through the Committee’s risk assessment process were</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determined to be effectively mitigated through:</w:t>
      </w:r>
      <w:r>
        <w:rPr>
          <w:rFonts w:ascii="Times New Roman" w:cs="Times New Roman" w:eastAsia="Times New Roman" w:hAnsi="Times New Roman"/>
          <w:sz w:val="25"/>
          <w:szCs w:val="25"/>
          <w:color w:val="auto"/>
        </w:rPr>
        <w:t>​</w:t>
      </w:r>
    </w:p>
    <w:p>
      <w:pPr>
        <w:spacing w:after="0" w:line="93" w:lineRule="exact"/>
        <w:rPr>
          <w:sz w:val="20"/>
          <w:szCs w:val="20"/>
          <w:color w:val="auto"/>
        </w:rPr>
      </w:pPr>
    </w:p>
    <w:p>
      <w:pPr>
        <w:ind w:left="1420" w:hanging="280"/>
        <w:spacing w:after="0"/>
        <w:tabs>
          <w:tab w:leader="none" w:pos="1420" w:val="left"/>
        </w:tabs>
        <w:numPr>
          <w:ilvl w:val="0"/>
          <w:numId w:val="130"/>
        </w:numPr>
        <w:rPr>
          <w:rFonts w:ascii="Arial" w:cs="Arial" w:eastAsia="Arial" w:hAnsi="Arial"/>
          <w:sz w:val="18"/>
          <w:szCs w:val="18"/>
          <w:color w:val="BF5B5A"/>
        </w:rPr>
      </w:pPr>
      <w:r>
        <w:rPr>
          <w:rFonts w:ascii="Arial" w:cs="Arial" w:eastAsia="Arial" w:hAnsi="Arial"/>
          <w:sz w:val="18"/>
          <w:szCs w:val="18"/>
          <w:color w:val="auto"/>
        </w:rPr>
        <w:t>established risk controls,</w:t>
      </w:r>
    </w:p>
    <w:p>
      <w:pPr>
        <w:spacing w:after="0" w:line="144" w:lineRule="exact"/>
        <w:rPr>
          <w:rFonts w:ascii="Arial" w:cs="Arial" w:eastAsia="Arial" w:hAnsi="Arial"/>
          <w:sz w:val="18"/>
          <w:szCs w:val="18"/>
          <w:color w:val="BF5B5A"/>
        </w:rPr>
      </w:pPr>
    </w:p>
    <w:p>
      <w:pPr>
        <w:ind w:left="1420" w:hanging="280"/>
        <w:spacing w:after="0"/>
        <w:tabs>
          <w:tab w:leader="none" w:pos="1420" w:val="left"/>
        </w:tabs>
        <w:numPr>
          <w:ilvl w:val="0"/>
          <w:numId w:val="130"/>
        </w:numPr>
        <w:rPr>
          <w:rFonts w:ascii="Arial" w:cs="Arial" w:eastAsia="Arial" w:hAnsi="Arial"/>
          <w:sz w:val="18"/>
          <w:szCs w:val="18"/>
          <w:color w:val="BF5B5A"/>
        </w:rPr>
      </w:pPr>
      <w:r>
        <w:rPr>
          <w:rFonts w:ascii="Arial" w:cs="Arial" w:eastAsia="Arial" w:hAnsi="Arial"/>
          <w:sz w:val="18"/>
          <w:szCs w:val="18"/>
          <w:color w:val="auto"/>
        </w:rPr>
        <w:t>leadership oversight, and</w:t>
      </w:r>
    </w:p>
    <w:p>
      <w:pPr>
        <w:spacing w:after="0" w:line="130" w:lineRule="exact"/>
        <w:rPr>
          <w:rFonts w:ascii="Arial" w:cs="Arial" w:eastAsia="Arial" w:hAnsi="Arial"/>
          <w:sz w:val="18"/>
          <w:szCs w:val="18"/>
          <w:color w:val="BF5B5A"/>
        </w:rPr>
      </w:pPr>
    </w:p>
    <w:p>
      <w:pPr>
        <w:ind w:left="1420" w:hanging="280"/>
        <w:spacing w:after="0"/>
        <w:tabs>
          <w:tab w:leader="none" w:pos="1420" w:val="left"/>
        </w:tabs>
        <w:numPr>
          <w:ilvl w:val="0"/>
          <w:numId w:val="130"/>
        </w:numPr>
        <w:rPr>
          <w:rFonts w:ascii="Arial" w:cs="Arial" w:eastAsia="Arial" w:hAnsi="Arial"/>
          <w:sz w:val="18"/>
          <w:szCs w:val="18"/>
          <w:color w:val="BF5B5A"/>
        </w:rPr>
      </w:pPr>
      <w:r>
        <w:rPr>
          <w:rFonts w:ascii="Arial" w:cs="Arial" w:eastAsia="Arial" w:hAnsi="Arial"/>
          <w:sz w:val="18"/>
          <w:szCs w:val="18"/>
          <w:color w:val="auto"/>
        </w:rPr>
        <w:t>the culture of proactive risk management.</w:t>
      </w:r>
    </w:p>
    <w:p>
      <w:pPr>
        <w:spacing w:after="0" w:line="158"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In addition, the Company’s management engaged a third-party consulting firm to review the Company’s incentive plans for their potential to introduce problematic risk to the organization. The consulting</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9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firm undertook an in-depth review of incentive programs in 2022 and concluded that, overall, the Company’s incentive programs and plans currently were not likely to introduce problematic risk to the Bank. Further, the Company’s management engaged the same consulting firm to update the review for 2023 with a focus on new plans or changes to existing plans. The consulting firm reached the same conclusions as in 2022. Following a review of these findings, the Compensation Committee concluded that the Company’s incentive plans were well designed and are working effectively to motivate performance and mitigate risk.</w:t>
      </w:r>
    </w:p>
    <w:p>
      <w:pPr>
        <w:spacing w:after="0" w:line="200" w:lineRule="exact"/>
        <w:rPr>
          <w:sz w:val="20"/>
          <w:szCs w:val="20"/>
          <w:color w:val="auto"/>
        </w:rPr>
      </w:pPr>
    </w:p>
    <w:p>
      <w:pPr>
        <w:sectPr>
          <w:pgSz w:w="11900" w:h="16838" w:orient="portrait"/>
          <w:cols w:equalWidth="0" w:num="2">
            <w:col w:w="5040" w:space="580"/>
            <w:col w:w="4340"/>
          </w:cols>
          <w:pgMar w:left="580" w:top="97" w:right="1359" w:bottom="1440" w:gutter="0" w:footer="0" w:header="0"/>
        </w:sectPr>
      </w:pPr>
    </w:p>
    <w:p>
      <w:pPr>
        <w:spacing w:after="0" w:line="16"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Change in CEO Pension Value in the Summary Compensation Table</w:t>
      </w:r>
    </w:p>
    <w:p>
      <w:pPr>
        <w:sectPr>
          <w:pgSz w:w="11900" w:h="16838" w:orient="portrait"/>
          <w:cols w:equalWidth="0" w:num="1">
            <w:col w:w="9960"/>
          </w:cols>
          <w:pgMar w:left="580" w:top="97" w:right="1359" w:bottom="1440" w:gutter="0" w:footer="0" w:header="0"/>
          <w:type w:val="continuous"/>
        </w:sectPr>
      </w:pPr>
    </w:p>
    <w:p>
      <w:pPr>
        <w:spacing w:after="0" w:line="270" w:lineRule="exact"/>
        <w:rPr>
          <w:sz w:val="20"/>
          <w:szCs w:val="20"/>
          <w:color w:val="auto"/>
        </w:rPr>
      </w:pPr>
    </w:p>
    <w:p>
      <w:pPr>
        <w:ind w:left="780" w:right="60"/>
        <w:spacing w:after="0" w:line="279" w:lineRule="auto"/>
        <w:rPr>
          <w:sz w:val="20"/>
          <w:szCs w:val="20"/>
          <w:color w:val="auto"/>
        </w:rPr>
      </w:pPr>
      <w:r>
        <w:rPr>
          <w:rFonts w:ascii="Arial" w:cs="Arial" w:eastAsia="Arial" w:hAnsi="Arial"/>
          <w:sz w:val="18"/>
          <w:szCs w:val="18"/>
          <w:color w:val="auto"/>
        </w:rPr>
        <w:t>Mr. Harrison is a participant in our SERP, which is a legacy plan that was frozen as of July 1, 2019, with associated tax reimbursements discontinued. As such, no future contributions will be made, nor benefits accrued, including service credit.</w:t>
      </w:r>
    </w:p>
    <w:p>
      <w:pPr>
        <w:spacing w:after="0" w:line="106" w:lineRule="exact"/>
        <w:rPr>
          <w:sz w:val="20"/>
          <w:szCs w:val="20"/>
          <w:color w:val="auto"/>
        </w:rPr>
      </w:pPr>
    </w:p>
    <w:p>
      <w:pPr>
        <w:ind w:left="780"/>
        <w:spacing w:after="0" w:line="276" w:lineRule="auto"/>
        <w:rPr>
          <w:sz w:val="20"/>
          <w:szCs w:val="20"/>
          <w:color w:val="auto"/>
        </w:rPr>
      </w:pPr>
      <w:r>
        <w:rPr>
          <w:rFonts w:ascii="Arial" w:cs="Arial" w:eastAsia="Arial" w:hAnsi="Arial"/>
          <w:sz w:val="18"/>
          <w:szCs w:val="18"/>
          <w:color w:val="auto"/>
        </w:rPr>
        <w:t>However, the value of Mr. Harrison’s compensation related to his SERP account as set forth in our Summary Compensation Table may change year-over-year. Specifically, the Summary Compensation Table reflects the change in net present value of Mr. Harrison’s SERP benefits year-over-year, which is driven by changes in market-based discount rates and actuarial assumptions. In 2021 and 2022, the annual change in pension value was negative for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Mr. Harrison. However, SEC rules do not provide for inclusion of negative pension amounts in the Summary Compensation Table. In 2023, the annual change in pension value was positive for Mr. Harrison.</w:t>
      </w:r>
    </w:p>
    <w:p>
      <w:pPr>
        <w:spacing w:after="0" w:line="10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In each case, these changes reflect the change in the actuarial estimate of his potential future pension benefits, which is driven in large part by benchmark interest rates.</w:t>
      </w:r>
    </w:p>
    <w:p>
      <w:pPr>
        <w:spacing w:after="0" w:line="104"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Mr. Harrison received no direct compensation related to his SERP account in 2021, 2022 or 2023, and no SERP benefits will be paid to Mr. Harrison until after his retirement from First Hawaiian.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206375</wp:posOffset>
            </wp:positionV>
            <wp:extent cx="5829300" cy="4972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829300" cy="49720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5080" w:space="540"/>
            <w:col w:w="4340"/>
          </w:cols>
          <w:pgMar w:left="580" w:top="97" w:right="1359" w:bottom="1440" w:gutter="0" w:footer="0" w:header="0"/>
          <w:type w:val="continuous"/>
        </w:sectPr>
      </w:pPr>
    </w:p>
    <w:p>
      <w:pPr>
        <w:spacing w:after="0" w:line="43" w:lineRule="exact"/>
        <w:rPr>
          <w:sz w:val="20"/>
          <w:szCs w:val="20"/>
          <w:color w:val="auto"/>
        </w:rPr>
      </w:pPr>
    </w:p>
    <w:tbl>
      <w:tblPr>
        <w:tblLayout w:type="fixed"/>
        <w:tblInd w:w="4840" w:type="dxa"/>
        <w:tblCellMar>
          <w:top w:w="0" w:type="dxa"/>
          <w:left w:w="0" w:type="dxa"/>
          <w:bottom w:w="0" w:type="dxa"/>
          <w:right w:w="0" w:type="dxa"/>
        </w:tblCellMar>
      </w:tblPr>
      <w:tr>
        <w:trPr>
          <w:trHeight w:val="184"/>
        </w:trPr>
        <w:tc>
          <w:tcPr>
            <w:tcW w:w="1260" w:type="dxa"/>
            <w:vAlign w:val="bottom"/>
          </w:tcPr>
          <w:p>
            <w:pPr>
              <w:ind w:left="20"/>
              <w:spacing w:after="0"/>
              <w:rPr>
                <w:sz w:val="20"/>
                <w:szCs w:val="20"/>
                <w:color w:val="auto"/>
              </w:rPr>
            </w:pPr>
            <w:r>
              <w:rPr>
                <w:rFonts w:ascii="Arial" w:cs="Arial" w:eastAsia="Arial" w:hAnsi="Arial"/>
                <w:sz w:val="16"/>
                <w:szCs w:val="16"/>
                <w:b w:val="1"/>
                <w:bCs w:val="1"/>
                <w:color w:val="FFFFFF"/>
              </w:rPr>
              <w:t>Reported Total</w:t>
            </w:r>
          </w:p>
        </w:tc>
        <w:tc>
          <w:tcPr>
            <w:tcW w:w="1980" w:type="dxa"/>
            <w:vAlign w:val="bottom"/>
          </w:tcPr>
          <w:p>
            <w:pPr>
              <w:spacing w:after="0"/>
              <w:rPr>
                <w:sz w:val="16"/>
                <w:szCs w:val="16"/>
                <w:color w:val="auto"/>
              </w:rPr>
            </w:pPr>
          </w:p>
        </w:tc>
        <w:tc>
          <w:tcPr>
            <w:tcW w:w="1700" w:type="dxa"/>
            <w:vAlign w:val="bottom"/>
          </w:tcPr>
          <w:p>
            <w:pPr>
              <w:jc w:val="center"/>
              <w:ind w:left="119"/>
              <w:spacing w:after="0"/>
              <w:rPr>
                <w:sz w:val="20"/>
                <w:szCs w:val="20"/>
                <w:color w:val="auto"/>
              </w:rPr>
            </w:pPr>
            <w:r>
              <w:rPr>
                <w:rFonts w:ascii="Arial" w:cs="Arial" w:eastAsia="Arial" w:hAnsi="Arial"/>
                <w:sz w:val="16"/>
                <w:szCs w:val="16"/>
                <w:b w:val="1"/>
                <w:bCs w:val="1"/>
                <w:color w:val="FFFFFF"/>
                <w:w w:val="97"/>
              </w:rPr>
              <w:t>Reported Total</w:t>
            </w:r>
          </w:p>
        </w:tc>
      </w:tr>
      <w:tr>
        <w:trPr>
          <w:trHeight w:val="189"/>
        </w:trPr>
        <w:tc>
          <w:tcPr>
            <w:tcW w:w="1260" w:type="dxa"/>
            <w:vAlign w:val="bottom"/>
          </w:tcPr>
          <w:p>
            <w:pPr>
              <w:spacing w:after="0"/>
              <w:rPr>
                <w:sz w:val="20"/>
                <w:szCs w:val="20"/>
                <w:color w:val="auto"/>
              </w:rPr>
            </w:pPr>
            <w:r>
              <w:rPr>
                <w:rFonts w:ascii="Arial" w:cs="Arial" w:eastAsia="Arial" w:hAnsi="Arial"/>
                <w:sz w:val="16"/>
                <w:szCs w:val="16"/>
                <w:b w:val="1"/>
                <w:bCs w:val="1"/>
                <w:color w:val="FFFFFF"/>
              </w:rPr>
              <w:t>from Summary</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FFFFFF"/>
                <w:w w:val="94"/>
              </w:rPr>
              <w:t>Reported Adjustment</w:t>
            </w:r>
          </w:p>
        </w:tc>
        <w:tc>
          <w:tcPr>
            <w:tcW w:w="1700" w:type="dxa"/>
            <w:vAlign w:val="bottom"/>
          </w:tcPr>
          <w:p>
            <w:pPr>
              <w:jc w:val="center"/>
              <w:ind w:left="119"/>
              <w:spacing w:after="0"/>
              <w:rPr>
                <w:sz w:val="20"/>
                <w:szCs w:val="20"/>
                <w:color w:val="auto"/>
              </w:rPr>
            </w:pPr>
            <w:r>
              <w:rPr>
                <w:rFonts w:ascii="Arial" w:cs="Arial" w:eastAsia="Arial" w:hAnsi="Arial"/>
                <w:sz w:val="16"/>
                <w:szCs w:val="16"/>
                <w:b w:val="1"/>
                <w:bCs w:val="1"/>
                <w:color w:val="FFFFFF"/>
                <w:w w:val="97"/>
              </w:rPr>
              <w:t>Adjusted to Exclude</w:t>
            </w:r>
          </w:p>
        </w:tc>
      </w:tr>
      <w:tr>
        <w:trPr>
          <w:trHeight w:val="191"/>
        </w:trPr>
        <w:tc>
          <w:tcPr>
            <w:tcW w:w="1260" w:type="dxa"/>
            <w:vAlign w:val="bottom"/>
          </w:tcPr>
          <w:p>
            <w:pPr>
              <w:ind w:left="20"/>
              <w:spacing w:after="0"/>
              <w:rPr>
                <w:sz w:val="20"/>
                <w:szCs w:val="20"/>
                <w:color w:val="auto"/>
              </w:rPr>
            </w:pPr>
            <w:r>
              <w:rPr>
                <w:rFonts w:ascii="Arial" w:cs="Arial" w:eastAsia="Arial" w:hAnsi="Arial"/>
                <w:sz w:val="16"/>
                <w:szCs w:val="16"/>
                <w:b w:val="1"/>
                <w:bCs w:val="1"/>
                <w:color w:val="FFFFFF"/>
              </w:rPr>
              <w:t>Compensation</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FFFFFF"/>
                <w:w w:val="94"/>
              </w:rPr>
              <w:t>for Positive Change in</w:t>
            </w:r>
          </w:p>
        </w:tc>
        <w:tc>
          <w:tcPr>
            <w:tcW w:w="1700" w:type="dxa"/>
            <w:vAlign w:val="bottom"/>
          </w:tcPr>
          <w:p>
            <w:pPr>
              <w:jc w:val="center"/>
              <w:ind w:left="119"/>
              <w:spacing w:after="0"/>
              <w:rPr>
                <w:sz w:val="20"/>
                <w:szCs w:val="20"/>
                <w:color w:val="auto"/>
              </w:rPr>
            </w:pPr>
            <w:r>
              <w:rPr>
                <w:rFonts w:ascii="Arial" w:cs="Arial" w:eastAsia="Arial" w:hAnsi="Arial"/>
                <w:sz w:val="16"/>
                <w:szCs w:val="16"/>
                <w:b w:val="1"/>
                <w:bCs w:val="1"/>
                <w:color w:val="FFFFFF"/>
                <w:w w:val="97"/>
              </w:rPr>
              <w:t>the Pension Value</w:t>
            </w:r>
          </w:p>
        </w:tc>
      </w:tr>
    </w:tbl>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2380" w:type="dxa"/>
            <w:vAlign w:val="bottom"/>
          </w:tcPr>
          <w:p>
            <w:pPr>
              <w:ind w:left="40"/>
              <w:spacing w:after="0"/>
              <w:rPr>
                <w:sz w:val="20"/>
                <w:szCs w:val="20"/>
                <w:color w:val="auto"/>
              </w:rPr>
            </w:pPr>
            <w:r>
              <w:rPr>
                <w:rFonts w:ascii="Arial" w:cs="Arial" w:eastAsia="Arial" w:hAnsi="Arial"/>
                <w:sz w:val="16"/>
                <w:szCs w:val="16"/>
                <w:b w:val="1"/>
                <w:bCs w:val="1"/>
                <w:color w:val="FFFFFF"/>
              </w:rPr>
              <w:t>​Name</w:t>
            </w:r>
          </w:p>
        </w:tc>
        <w:tc>
          <w:tcPr>
            <w:tcW w:w="1760" w:type="dxa"/>
            <w:vAlign w:val="bottom"/>
          </w:tcPr>
          <w:p>
            <w:pPr>
              <w:ind w:left="900"/>
              <w:spacing w:after="0"/>
              <w:rPr>
                <w:sz w:val="20"/>
                <w:szCs w:val="20"/>
                <w:color w:val="auto"/>
              </w:rPr>
            </w:pPr>
            <w:r>
              <w:rPr>
                <w:rFonts w:ascii="Arial" w:cs="Arial" w:eastAsia="Arial" w:hAnsi="Arial"/>
                <w:sz w:val="16"/>
                <w:szCs w:val="16"/>
                <w:b w:val="1"/>
                <w:bCs w:val="1"/>
                <w:color w:val="FFFFFF"/>
              </w:rPr>
              <w:t>​ ​ Year ​ ​</w:t>
            </w:r>
          </w:p>
        </w:tc>
        <w:tc>
          <w:tcPr>
            <w:tcW w:w="1020" w:type="dxa"/>
            <w:vAlign w:val="bottom"/>
          </w:tcPr>
          <w:p>
            <w:pPr>
              <w:ind w:left="180"/>
              <w:spacing w:after="0"/>
              <w:rPr>
                <w:sz w:val="20"/>
                <w:szCs w:val="20"/>
                <w:color w:val="auto"/>
              </w:rPr>
            </w:pPr>
            <w:r>
              <w:rPr>
                <w:rFonts w:ascii="Arial" w:cs="Arial" w:eastAsia="Arial" w:hAnsi="Arial"/>
                <w:sz w:val="16"/>
                <w:szCs w:val="16"/>
                <w:b w:val="1"/>
                <w:bCs w:val="1"/>
                <w:color w:val="FFFFFF"/>
              </w:rPr>
              <w:t>Table ($)</w:t>
            </w: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FFFFFF"/>
              </w:rPr>
              <w:t>​ ​</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FFFFFF"/>
              </w:rPr>
              <w:t>Pension Value ($)</w:t>
            </w: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FFFFFF"/>
              </w:rPr>
              <w:t>​ ​</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FFFFFF"/>
                <w:w w:val="91"/>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FFFFFF"/>
              </w:rPr>
              <w:t>​</w:t>
            </w:r>
          </w:p>
        </w:tc>
      </w:tr>
      <w:tr>
        <w:trPr>
          <w:trHeight w:val="236"/>
        </w:trPr>
        <w:tc>
          <w:tcPr>
            <w:tcW w:w="2380" w:type="dxa"/>
            <w:vAlign w:val="bottom"/>
          </w:tcPr>
          <w:p>
            <w:pPr>
              <w:ind w:left="40"/>
              <w:spacing w:after="0"/>
              <w:rPr>
                <w:sz w:val="20"/>
                <w:szCs w:val="20"/>
                <w:color w:val="auto"/>
              </w:rPr>
            </w:pPr>
            <w:r>
              <w:rPr>
                <w:rFonts w:ascii="Arial" w:cs="Arial" w:eastAsia="Arial" w:hAnsi="Arial"/>
                <w:sz w:val="16"/>
                <w:szCs w:val="16"/>
                <w:color w:val="auto"/>
              </w:rPr>
              <w:t>​Robert S. Harrison</w:t>
            </w:r>
          </w:p>
        </w:tc>
        <w:tc>
          <w:tcPr>
            <w:tcW w:w="1760" w:type="dxa"/>
            <w:vAlign w:val="bottom"/>
          </w:tcPr>
          <w:p>
            <w:pPr>
              <w:ind w:left="900"/>
              <w:spacing w:after="0"/>
              <w:rPr>
                <w:sz w:val="20"/>
                <w:szCs w:val="20"/>
                <w:color w:val="auto"/>
              </w:rPr>
            </w:pPr>
            <w:r>
              <w:rPr>
                <w:rFonts w:ascii="Arial" w:cs="Arial" w:eastAsia="Arial" w:hAnsi="Arial"/>
                <w:sz w:val="16"/>
                <w:szCs w:val="16"/>
                <w:color w:val="auto"/>
              </w:rPr>
              <w:t>​ ​​2023​​ ​</w:t>
            </w:r>
          </w:p>
        </w:tc>
        <w:tc>
          <w:tcPr>
            <w:tcW w:w="1020" w:type="dxa"/>
            <w:vAlign w:val="bottom"/>
          </w:tcPr>
          <w:p>
            <w:pPr>
              <w:ind w:left="100"/>
              <w:spacing w:after="0"/>
              <w:rPr>
                <w:sz w:val="20"/>
                <w:szCs w:val="20"/>
                <w:color w:val="auto"/>
              </w:rPr>
            </w:pPr>
            <w:r>
              <w:rPr>
                <w:rFonts w:ascii="Arial" w:cs="Arial" w:eastAsia="Arial" w:hAnsi="Arial"/>
                <w:sz w:val="16"/>
                <w:szCs w:val="16"/>
                <w:color w:val="auto"/>
              </w:rPr>
              <w:t>​$5,366,855</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1520" w:type="dxa"/>
            <w:vAlign w:val="bottom"/>
            <w:gridSpan w:val="2"/>
          </w:tcPr>
          <w:p>
            <w:pPr>
              <w:jc w:val="right"/>
              <w:ind w:right="239"/>
              <w:spacing w:after="0"/>
              <w:rPr>
                <w:sz w:val="20"/>
                <w:szCs w:val="20"/>
                <w:color w:val="auto"/>
              </w:rPr>
            </w:pPr>
            <w:r>
              <w:rPr>
                <w:rFonts w:ascii="Arial" w:cs="Arial" w:eastAsia="Arial" w:hAnsi="Arial"/>
                <w:sz w:val="16"/>
                <w:szCs w:val="16"/>
                <w:color w:val="auto"/>
              </w:rPr>
              <w:t>​$1,142,308</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Pr>
          <w:p>
            <w:pPr>
              <w:jc w:val="center"/>
              <w:spacing w:after="0"/>
              <w:rPr>
                <w:sz w:val="20"/>
                <w:szCs w:val="20"/>
                <w:color w:val="auto"/>
              </w:rPr>
            </w:pPr>
            <w:r>
              <w:rPr>
                <w:rFonts w:ascii="Arial" w:cs="Arial" w:eastAsia="Arial" w:hAnsi="Arial"/>
                <w:sz w:val="16"/>
                <w:szCs w:val="16"/>
                <w:color w:val="auto"/>
              </w:rPr>
              <w:t>​$4,224,547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w:t>
            </w:r>
          </w:p>
        </w:tc>
        <w:tc>
          <w:tcPr>
            <w:tcW w:w="1760" w:type="dxa"/>
            <w:vAlign w:val="bottom"/>
          </w:tcPr>
          <w:p>
            <w:pPr>
              <w:ind w:left="900"/>
              <w:spacing w:after="0"/>
              <w:rPr>
                <w:sz w:val="20"/>
                <w:szCs w:val="20"/>
                <w:color w:val="auto"/>
              </w:rPr>
            </w:pPr>
            <w:r>
              <w:rPr>
                <w:rFonts w:ascii="Arial" w:cs="Arial" w:eastAsia="Arial" w:hAnsi="Arial"/>
                <w:sz w:val="16"/>
                <w:szCs w:val="16"/>
                <w:color w:val="auto"/>
              </w:rPr>
              <w:t>​ ​​2022​​ ​</w:t>
            </w:r>
          </w:p>
        </w:tc>
        <w:tc>
          <w:tcPr>
            <w:tcW w:w="1020" w:type="dxa"/>
            <w:vAlign w:val="bottom"/>
          </w:tcPr>
          <w:p>
            <w:pPr>
              <w:ind w:left="100"/>
              <w:spacing w:after="0"/>
              <w:rPr>
                <w:sz w:val="20"/>
                <w:szCs w:val="20"/>
                <w:color w:val="auto"/>
              </w:rPr>
            </w:pPr>
            <w:r>
              <w:rPr>
                <w:rFonts w:ascii="Arial" w:cs="Arial" w:eastAsia="Arial" w:hAnsi="Arial"/>
                <w:sz w:val="16"/>
                <w:szCs w:val="16"/>
                <w:color w:val="auto"/>
              </w:rPr>
              <w:t>​ ​4,551,135</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80" w:type="dxa"/>
            <w:vAlign w:val="bottom"/>
          </w:tcPr>
          <w:p>
            <w:pPr>
              <w:ind w:left="380"/>
              <w:spacing w:after="0"/>
              <w:rPr>
                <w:sz w:val="20"/>
                <w:szCs w:val="20"/>
                <w:color w:val="auto"/>
              </w:rPr>
            </w:pPr>
            <w:r>
              <w:rPr>
                <w:rFonts w:ascii="Arial" w:cs="Arial" w:eastAsia="Arial" w:hAnsi="Arial"/>
                <w:sz w:val="16"/>
                <w:szCs w:val="16"/>
                <w:color w:val="auto"/>
              </w:rPr>
              <w:t>​ ​</w:t>
            </w: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Pr>
          <w:p>
            <w:pPr>
              <w:jc w:val="center"/>
              <w:spacing w:after="0"/>
              <w:rPr>
                <w:sz w:val="20"/>
                <w:szCs w:val="20"/>
                <w:color w:val="auto"/>
              </w:rPr>
            </w:pPr>
            <w:r>
              <w:rPr>
                <w:rFonts w:ascii="Arial" w:cs="Arial" w:eastAsia="Arial" w:hAnsi="Arial"/>
                <w:sz w:val="16"/>
                <w:szCs w:val="16"/>
                <w:color w:val="auto"/>
              </w:rPr>
              <w:t>​ ​4,551,135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380" w:type="dxa"/>
            <w:vAlign w:val="bottom"/>
            <w:tcBorders>
              <w:bottom w:val="single" w:sz="8" w:color="BF5B5A"/>
            </w:tcBorders>
          </w:tcPr>
          <w:p>
            <w:pPr>
              <w:ind w:left="40"/>
              <w:spacing w:after="0" w:line="258"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1760" w:type="dxa"/>
            <w:vAlign w:val="bottom"/>
            <w:tcBorders>
              <w:bottom w:val="single" w:sz="8" w:color="BF5B5A"/>
            </w:tcBorders>
          </w:tcPr>
          <w:p>
            <w:pPr>
              <w:ind w:left="900"/>
              <w:spacing w:after="0" w:line="258"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​2021</w:t>
            </w:r>
            <w:r>
              <w:rPr>
                <w:rFonts w:ascii="Arial" w:cs="Arial" w:eastAsia="Arial" w:hAnsi="Arial"/>
                <w:sz w:val="15"/>
                <w:szCs w:val="15"/>
                <w:color w:val="auto"/>
              </w:rPr>
              <w:t>​​ ​</w:t>
            </w:r>
          </w:p>
        </w:tc>
        <w:tc>
          <w:tcPr>
            <w:tcW w:w="1020" w:type="dxa"/>
            <w:vAlign w:val="bottom"/>
            <w:tcBorders>
              <w:bottom w:val="single" w:sz="8" w:color="BF5B5A"/>
            </w:tcBorders>
          </w:tcPr>
          <w:p>
            <w:pPr>
              <w:ind w:left="100"/>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​4,427,813</w:t>
            </w:r>
          </w:p>
        </w:tc>
        <w:tc>
          <w:tcPr>
            <w:tcW w:w="420" w:type="dxa"/>
            <w:vAlign w:val="bottom"/>
            <w:tcBorders>
              <w:bottom w:val="single" w:sz="8" w:color="BF5B5A"/>
            </w:tcBorders>
          </w:tcPr>
          <w:p>
            <w:pPr>
              <w:jc w:val="right"/>
              <w:ind w:right="19"/>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BF5B5A"/>
            </w:tcBorders>
          </w:tcPr>
          <w:p>
            <w:pPr>
              <w:ind w:left="380"/>
              <w:spacing w:after="0" w:line="258"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740" w:type="dxa"/>
            <w:vAlign w:val="bottom"/>
            <w:tcBorders>
              <w:bottom w:val="single" w:sz="8" w:color="BF5B5A"/>
            </w:tcBorders>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F5B5A"/>
            </w:tcBorders>
          </w:tcPr>
          <w:p>
            <w:pPr>
              <w:jc w:val="right"/>
              <w:ind w:right="119"/>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BF5B5A"/>
            </w:tcBorders>
          </w:tcPr>
          <w:p>
            <w:pPr>
              <w:jc w:val="center"/>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​4,427,813</w:t>
            </w:r>
          </w:p>
        </w:tc>
        <w:tc>
          <w:tcPr>
            <w:tcW w:w="30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r>
    </w:tbl>
    <w:p>
      <w:pPr>
        <w:spacing w:after="0" w:line="17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COMPENSATION COMMITTEE REPORT</w:t>
      </w:r>
    </w:p>
    <w:p>
      <w:pPr>
        <w:sectPr>
          <w:pgSz w:w="11900" w:h="16838" w:orient="portrait"/>
          <w:cols w:equalWidth="0" w:num="1">
            <w:col w:w="9960"/>
          </w:cols>
          <w:pgMar w:left="580" w:top="97" w:right="1359" w:bottom="1440" w:gutter="0" w:footer="0" w:header="0"/>
          <w:type w:val="continuous"/>
        </w:sectPr>
      </w:pPr>
    </w:p>
    <w:p>
      <w:pPr>
        <w:spacing w:after="0" w:line="245"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Compensation Committee has reviewed the CD&amp;A as required by Item 402(b) of Regulation S-K and discussed it with the Company’s management team. Based on such review and discussions with management, the Compensation Committee has recommended to the Board that the CD&amp;A be included in this Proxy Statement.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00"/>
        <w:spacing w:after="0" w:line="327" w:lineRule="auto"/>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70" w:lineRule="exact"/>
        <w:rPr>
          <w:sz w:val="20"/>
          <w:szCs w:val="20"/>
          <w:color w:val="auto"/>
        </w:rPr>
      </w:pPr>
    </w:p>
    <w:p>
      <w:pPr>
        <w:ind w:left="360" w:right="1500"/>
        <w:spacing w:after="0" w:line="300" w:lineRule="auto"/>
        <w:rPr>
          <w:sz w:val="20"/>
          <w:szCs w:val="20"/>
          <w:color w:val="auto"/>
        </w:rPr>
      </w:pPr>
      <w:r>
        <w:rPr>
          <w:rFonts w:ascii="Arial" w:cs="Arial" w:eastAsia="Arial" w:hAnsi="Arial"/>
          <w:sz w:val="18"/>
          <w:szCs w:val="18"/>
          <w:color w:val="auto"/>
        </w:rPr>
        <w:t>Vanessa L. Washington, Chair Faye W. Kurren Kelly A. Thompson Allen B. Uyeda</w:t>
      </w:r>
    </w:p>
    <w:p>
      <w:pPr>
        <w:spacing w:after="0" w:line="461" w:lineRule="exact"/>
        <w:rPr>
          <w:sz w:val="20"/>
          <w:szCs w:val="20"/>
          <w:color w:val="auto"/>
        </w:rPr>
      </w:pPr>
    </w:p>
    <w:p>
      <w:pPr>
        <w:sectPr>
          <w:pgSz w:w="11900" w:h="16838" w:orient="portrait"/>
          <w:cols w:equalWidth="0" w:num="2">
            <w:col w:w="5040" w:space="58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63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EXECUTIVE COMPENSATION TABLES</w:t>
      </w:r>
    </w:p>
    <w:p>
      <w:pPr>
        <w:spacing w:after="0" w:line="34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Summary Compensation Table</w:t>
      </w:r>
    </w:p>
    <w:p>
      <w:pPr>
        <w:spacing w:after="0" w:line="164" w:lineRule="exact"/>
        <w:rPr>
          <w:sz w:val="20"/>
          <w:szCs w:val="20"/>
          <w:color w:val="auto"/>
        </w:rPr>
      </w:pPr>
    </w:p>
    <w:p>
      <w:pPr>
        <w:ind w:left="780" w:right="400"/>
        <w:spacing w:after="0" w:line="303" w:lineRule="auto"/>
        <w:rPr>
          <w:sz w:val="20"/>
          <w:szCs w:val="20"/>
          <w:color w:val="auto"/>
        </w:rPr>
      </w:pPr>
      <w:r>
        <w:rPr>
          <w:rFonts w:ascii="Arial" w:cs="Arial" w:eastAsia="Arial" w:hAnsi="Arial"/>
          <w:sz w:val="18"/>
          <w:szCs w:val="18"/>
          <w:color w:val="auto"/>
        </w:rPr>
        <w:t>The following table presents information with respect to our NEOs for the fiscal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91440</wp:posOffset>
            </wp:positionV>
            <wp:extent cx="5829300" cy="7112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829300" cy="711200"/>
                    </a:xfrm>
                    <a:prstGeom prst="rect">
                      <a:avLst/>
                    </a:prstGeom>
                    <a:noFill/>
                  </pic:spPr>
                </pic:pic>
              </a:graphicData>
            </a:graphic>
          </wp:anchor>
        </w:drawing>
      </w:r>
    </w:p>
    <w:p>
      <w:pPr>
        <w:spacing w:after="0" w:line="137" w:lineRule="exact"/>
        <w:rPr>
          <w:sz w:val="20"/>
          <w:szCs w:val="20"/>
          <w:color w:val="auto"/>
        </w:rPr>
      </w:pPr>
    </w:p>
    <w:p>
      <w:pPr>
        <w:jc w:val="center"/>
        <w:ind w:left="3620"/>
        <w:spacing w:after="0"/>
        <w:rPr>
          <w:sz w:val="20"/>
          <w:szCs w:val="20"/>
          <w:color w:val="auto"/>
        </w:rPr>
      </w:pPr>
      <w:r>
        <w:rPr>
          <w:rFonts w:ascii="Arial" w:cs="Arial" w:eastAsia="Arial" w:hAnsi="Arial"/>
          <w:sz w:val="13"/>
          <w:szCs w:val="13"/>
          <w:b w:val="1"/>
          <w:bCs w:val="1"/>
          <w:color w:val="FFFFFF"/>
        </w:rPr>
        <w:t>Change in</w:t>
      </w:r>
    </w:p>
    <w:p>
      <w:pPr>
        <w:spacing w:after="0" w:line="12" w:lineRule="exact"/>
        <w:rPr>
          <w:sz w:val="20"/>
          <w:szCs w:val="20"/>
          <w:color w:val="auto"/>
        </w:rPr>
      </w:pPr>
    </w:p>
    <w:p>
      <w:pPr>
        <w:jc w:val="center"/>
        <w:ind w:left="3620"/>
        <w:spacing w:after="0"/>
        <w:rPr>
          <w:sz w:val="20"/>
          <w:szCs w:val="20"/>
          <w:color w:val="auto"/>
        </w:rPr>
      </w:pPr>
      <w:r>
        <w:rPr>
          <w:rFonts w:ascii="Arial" w:cs="Arial" w:eastAsia="Arial" w:hAnsi="Arial"/>
          <w:sz w:val="13"/>
          <w:szCs w:val="13"/>
          <w:b w:val="1"/>
          <w:bCs w:val="1"/>
          <w:color w:val="FFFFFF"/>
        </w:rPr>
        <w:t>Pension Value</w:t>
      </w:r>
    </w:p>
    <w:p>
      <w:pPr>
        <w:jc w:val="center"/>
        <w:ind w:left="3620"/>
        <w:spacing w:after="0"/>
        <w:rPr>
          <w:sz w:val="20"/>
          <w:szCs w:val="20"/>
          <w:color w:val="auto"/>
        </w:rPr>
      </w:pPr>
      <w:r>
        <w:rPr>
          <w:rFonts w:ascii="Arial" w:cs="Arial" w:eastAsia="Arial" w:hAnsi="Arial"/>
          <w:sz w:val="13"/>
          <w:szCs w:val="13"/>
          <w:b w:val="1"/>
          <w:bCs w:val="1"/>
          <w:color w:val="FFFFFF"/>
        </w:rPr>
        <w:t>and</w:t>
      </w:r>
    </w:p>
    <w:tbl>
      <w:tblPr>
        <w:tblLayout w:type="fixed"/>
        <w:tblInd w:w="780" w:type="dxa"/>
        <w:tblCellMar>
          <w:top w:w="0" w:type="dxa"/>
          <w:left w:w="0" w:type="dxa"/>
          <w:bottom w:w="0" w:type="dxa"/>
          <w:right w:w="0" w:type="dxa"/>
        </w:tblCellMar>
      </w:tblPr>
      <w:tr>
        <w:trPr>
          <w:trHeight w:val="147"/>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FFFFFF"/>
              </w:rPr>
              <w:t>Nonqualified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FFFFFF"/>
              </w:rPr>
              <w:t>Deferred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3"/>
              <w:spacing w:after="0"/>
              <w:rPr>
                <w:sz w:val="20"/>
                <w:szCs w:val="20"/>
                <w:color w:val="auto"/>
              </w:rPr>
            </w:pPr>
            <w:r>
              <w:rPr>
                <w:rFonts w:ascii="Arial" w:cs="Arial" w:eastAsia="Arial" w:hAnsi="Arial"/>
                <w:sz w:val="13"/>
                <w:szCs w:val="13"/>
                <w:b w:val="1"/>
                <w:bCs w:val="1"/>
                <w:color w:val="FFFFFF"/>
              </w:rPr>
              <w:t>Stock</w:t>
            </w:r>
          </w:p>
        </w:tc>
        <w:tc>
          <w:tcPr>
            <w:tcW w:w="1060" w:type="dxa"/>
            <w:vAlign w:val="bottom"/>
            <w:gridSpan w:val="3"/>
          </w:tcPr>
          <w:p>
            <w:pPr>
              <w:jc w:val="center"/>
              <w:ind w:left="31"/>
              <w:spacing w:after="0"/>
              <w:rPr>
                <w:sz w:val="20"/>
                <w:szCs w:val="20"/>
                <w:color w:val="auto"/>
              </w:rPr>
            </w:pPr>
            <w:r>
              <w:rPr>
                <w:rFonts w:ascii="Arial" w:cs="Arial" w:eastAsia="Arial" w:hAnsi="Arial"/>
                <w:sz w:val="13"/>
                <w:szCs w:val="13"/>
                <w:b w:val="1"/>
                <w:bCs w:val="1"/>
                <w:color w:val="FFFFFF"/>
              </w:rPr>
              <w:t>Compensation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FFFFFF"/>
              </w:rPr>
              <w:t>All Other</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Name and Principal Position</w:t>
            </w:r>
          </w:p>
        </w:tc>
        <w:tc>
          <w:tcPr>
            <w:tcW w:w="520" w:type="dxa"/>
            <w:vAlign w:val="bottom"/>
            <w:gridSpan w:val="2"/>
          </w:tcPr>
          <w:p>
            <w:pPr>
              <w:ind w:left="100"/>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Year</w:t>
            </w:r>
          </w:p>
        </w:tc>
        <w:tc>
          <w:tcPr>
            <w:tcW w:w="18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3"/>
                <w:szCs w:val="13"/>
                <w:b w:val="1"/>
                <w:bCs w:val="1"/>
                <w:color w:val="FFFFFF"/>
                <w:w w:val="97"/>
              </w:rPr>
              <w:t>Salary</w:t>
            </w:r>
          </w:p>
        </w:tc>
        <w:tc>
          <w:tcPr>
            <w:tcW w:w="840" w:type="dxa"/>
            <w:vAlign w:val="bottom"/>
            <w:gridSpan w:val="3"/>
          </w:tcPr>
          <w:p>
            <w:pPr>
              <w:jc w:val="right"/>
              <w:ind w:right="53"/>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 xml:space="preserve">  Bonus</w:t>
            </w:r>
            <w:r>
              <w:rPr>
                <w:rFonts w:ascii="Arial" w:cs="Arial" w:eastAsia="Arial" w:hAnsi="Arial"/>
                <w:sz w:val="13"/>
                <w:szCs w:val="13"/>
                <w:b w:val="1"/>
                <w:bCs w:val="1"/>
                <w:color w:val="FFFFFF"/>
                <w:vertAlign w:val="superscript"/>
              </w:rPr>
              <w:t>(1)</w:t>
            </w:r>
          </w:p>
        </w:tc>
        <w:tc>
          <w:tcPr>
            <w:tcW w:w="860" w:type="dxa"/>
            <w:vAlign w:val="bottom"/>
            <w:gridSpan w:val="3"/>
          </w:tcPr>
          <w:p>
            <w:pPr>
              <w:jc w:val="right"/>
              <w:ind w:right="13"/>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 xml:space="preserve"> Awards</w:t>
            </w:r>
            <w:r>
              <w:rPr>
                <w:rFonts w:ascii="Arial" w:cs="Arial" w:eastAsia="Arial" w:hAnsi="Arial"/>
                <w:sz w:val="13"/>
                <w:szCs w:val="13"/>
                <w:b w:val="1"/>
                <w:bCs w:val="1"/>
                <w:color w:val="FFFFFF"/>
                <w:vertAlign w:val="superscript"/>
              </w:rPr>
              <w:t>(2)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gridSpan w:val="2"/>
          </w:tcPr>
          <w:p>
            <w:pPr>
              <w:jc w:val="center"/>
              <w:spacing w:after="0" w:line="180" w:lineRule="exact"/>
              <w:rPr>
                <w:sz w:val="20"/>
                <w:szCs w:val="20"/>
                <w:color w:val="auto"/>
              </w:rPr>
            </w:pPr>
            <w:r>
              <w:rPr>
                <w:rFonts w:ascii="Arial" w:cs="Arial" w:eastAsia="Arial" w:hAnsi="Arial"/>
                <w:sz w:val="13"/>
                <w:szCs w:val="13"/>
                <w:b w:val="1"/>
                <w:bCs w:val="1"/>
                <w:color w:val="FFFFFF"/>
                <w:w w:val="96"/>
              </w:rPr>
              <w:t>Earnings</w:t>
            </w:r>
            <w:r>
              <w:rPr>
                <w:rFonts w:ascii="Arial" w:cs="Arial" w:eastAsia="Arial" w:hAnsi="Arial"/>
                <w:sz w:val="16"/>
                <w:szCs w:val="16"/>
                <w:b w:val="1"/>
                <w:bCs w:val="1"/>
                <w:color w:val="FFFFFF"/>
                <w:w w:val="96"/>
                <w:vertAlign w:val="superscript"/>
              </w:rPr>
              <w:t>(3)</w:t>
            </w:r>
          </w:p>
        </w:tc>
        <w:tc>
          <w:tcPr>
            <w:tcW w:w="1200" w:type="dxa"/>
            <w:vAlign w:val="bottom"/>
            <w:gridSpan w:val="4"/>
          </w:tcPr>
          <w:p>
            <w:pPr>
              <w:ind w:left="40"/>
              <w:spacing w:after="0" w:line="180"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1"/>
                <w:szCs w:val="11"/>
                <w:b w:val="1"/>
                <w:bCs w:val="1"/>
                <w:color w:val="FFFFFF"/>
              </w:rPr>
              <w:t xml:space="preserve"> Compensation</w:t>
            </w:r>
            <w:r>
              <w:rPr>
                <w:rFonts w:ascii="Arial" w:cs="Arial" w:eastAsia="Arial" w:hAnsi="Arial"/>
                <w:sz w:val="13"/>
                <w:szCs w:val="13"/>
                <w:b w:val="1"/>
                <w:bCs w:val="1"/>
                <w:color w:val="FFFFFF"/>
                <w:vertAlign w:val="superscript"/>
              </w:rPr>
              <w:t>(4)</w:t>
            </w:r>
          </w:p>
        </w:tc>
        <w:tc>
          <w:tcPr>
            <w:tcW w:w="22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660" w:type="dxa"/>
            <w:vAlign w:val="bottom"/>
          </w:tcPr>
          <w:p>
            <w:pPr>
              <w:ind w:left="120"/>
              <w:spacing w:after="0"/>
              <w:rPr>
                <w:sz w:val="20"/>
                <w:szCs w:val="20"/>
                <w:color w:val="auto"/>
              </w:rPr>
            </w:pPr>
            <w:r>
              <w:rPr>
                <w:rFonts w:ascii="Arial" w:cs="Arial" w:eastAsia="Arial" w:hAnsi="Arial"/>
                <w:sz w:val="13"/>
                <w:szCs w:val="13"/>
                <w:b w:val="1"/>
                <w:bCs w:val="1"/>
                <w:color w:val="FFFFFF"/>
              </w:rPr>
              <w:t>Total</w:t>
            </w:r>
          </w:p>
        </w:tc>
        <w:tc>
          <w:tcPr>
            <w:tcW w:w="80" w:type="dxa"/>
            <w:vAlign w:val="bottom"/>
          </w:tcPr>
          <w:p>
            <w:pPr>
              <w:spacing w:after="0"/>
              <w:rPr>
                <w:sz w:val="15"/>
                <w:szCs w:val="15"/>
                <w:color w:val="auto"/>
              </w:rPr>
            </w:pPr>
          </w:p>
        </w:tc>
        <w:tc>
          <w:tcPr>
            <w:tcW w:w="140" w:type="dxa"/>
            <w:vAlign w:val="bottom"/>
          </w:tcPr>
          <w:p>
            <w:pPr>
              <w:jc w:val="right"/>
              <w:ind w:right="8"/>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84"/>
        </w:trPr>
        <w:tc>
          <w:tcPr>
            <w:tcW w:w="2740" w:type="dxa"/>
            <w:vAlign w:val="bottom"/>
          </w:tcPr>
          <w:p>
            <w:pPr>
              <w:ind w:left="2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b w:val="1"/>
                <w:bCs w:val="1"/>
                <w:color w:val="auto"/>
              </w:rPr>
              <w:t>Robert S. Harrison</w:t>
            </w:r>
          </w:p>
        </w:tc>
        <w:tc>
          <w:tcPr>
            <w:tcW w:w="3220" w:type="dxa"/>
            <w:vAlign w:val="bottom"/>
            <w:gridSpan w:val="12"/>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​2023</w:t>
            </w:r>
            <w:r>
              <w:rPr>
                <w:rFonts w:ascii="Arial" w:cs="Arial" w:eastAsia="Arial" w:hAnsi="Arial"/>
                <w:sz w:val="28"/>
                <w:szCs w:val="28"/>
                <w:color w:val="auto"/>
                <w:vertAlign w:val="superscript"/>
              </w:rPr>
              <w:t>​​​​</w:t>
            </w:r>
            <w:r>
              <w:rPr>
                <w:rFonts w:ascii="Arial" w:cs="Arial" w:eastAsia="Arial" w:hAnsi="Arial"/>
                <w:sz w:val="14"/>
                <w:szCs w:val="14"/>
                <w:color w:val="auto"/>
              </w:rPr>
              <w:t>$1,032,954</w:t>
            </w:r>
            <w:r>
              <w:rPr>
                <w:rFonts w:ascii="Arial" w:cs="Arial" w:eastAsia="Arial" w:hAnsi="Arial"/>
                <w:sz w:val="28"/>
                <w:szCs w:val="28"/>
                <w:color w:val="auto"/>
                <w:vertAlign w:val="superscript"/>
              </w:rPr>
              <w:t>​​​​</w:t>
            </w:r>
            <w:r>
              <w:rPr>
                <w:rFonts w:ascii="Arial" w:cs="Arial" w:eastAsia="Arial" w:hAnsi="Arial"/>
                <w:sz w:val="14"/>
                <w:szCs w:val="14"/>
                <w:color w:val="auto"/>
              </w:rPr>
              <w:t>$  638,366</w:t>
            </w:r>
            <w:r>
              <w:rPr>
                <w:rFonts w:ascii="Arial" w:cs="Arial" w:eastAsia="Arial" w:hAnsi="Arial"/>
                <w:sz w:val="28"/>
                <w:szCs w:val="28"/>
                <w:color w:val="auto"/>
                <w:vertAlign w:val="superscript"/>
              </w:rPr>
              <w:t>​​​​</w:t>
            </w:r>
            <w:r>
              <w:rPr>
                <w:rFonts w:ascii="Arial" w:cs="Arial" w:eastAsia="Arial" w:hAnsi="Arial"/>
                <w:sz w:val="14"/>
                <w:szCs w:val="14"/>
                <w:color w:val="auto"/>
              </w:rPr>
              <w:t>$2,299,977</w:t>
            </w:r>
            <w:r>
              <w:rPr>
                <w:rFonts w:ascii="Arial" w:cs="Arial" w:eastAsia="Arial" w:hAnsi="Arial"/>
                <w:sz w:val="28"/>
                <w:szCs w:val="28"/>
                <w:color w:val="auto"/>
                <w:vertAlign w:val="superscript"/>
              </w:rPr>
              <w:t>​​​</w:t>
            </w:r>
          </w:p>
        </w:tc>
        <w:tc>
          <w:tcPr>
            <w:tcW w:w="920" w:type="dxa"/>
            <w:vAlign w:val="bottom"/>
            <w:gridSpan w:val="2"/>
          </w:tcPr>
          <w:p>
            <w:pPr>
              <w:ind w:left="8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$1,142,308</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253,250</w:t>
            </w:r>
          </w:p>
        </w:tc>
        <w:tc>
          <w:tcPr>
            <w:tcW w:w="1100" w:type="dxa"/>
            <w:vAlign w:val="bottom"/>
            <w:gridSpan w:val="4"/>
          </w:tcPr>
          <w:p>
            <w:pPr>
              <w:jc w:val="right"/>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$5,366,855</w:t>
            </w:r>
            <w:r>
              <w:rPr>
                <w:rFonts w:ascii="Arial" w:cs="Arial" w:eastAsia="Arial" w:hAnsi="Arial"/>
                <w:sz w:val="28"/>
                <w:szCs w:val="28"/>
                <w:color w:val="auto"/>
                <w:vertAlign w:val="superscript"/>
              </w:rPr>
              <w:t>​ ​</w:t>
            </w:r>
          </w:p>
        </w:tc>
        <w:tc>
          <w:tcPr>
            <w:tcW w:w="0" w:type="dxa"/>
            <w:vAlign w:val="bottom"/>
          </w:tcPr>
          <w:p>
            <w:pPr>
              <w:spacing w:after="0"/>
              <w:rPr>
                <w:sz w:val="1"/>
                <w:szCs w:val="1"/>
                <w:color w:val="auto"/>
              </w:rPr>
            </w:pPr>
          </w:p>
        </w:tc>
      </w:tr>
      <w:tr>
        <w:trPr>
          <w:trHeight w:val="36"/>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Chairman, President and Chief</w:t>
            </w:r>
          </w:p>
        </w:tc>
        <w:tc>
          <w:tcPr>
            <w:tcW w:w="120" w:type="dxa"/>
            <w:vAlign w:val="bottom"/>
          </w:tcPr>
          <w:p>
            <w:pPr>
              <w:spacing w:after="0"/>
              <w:rPr>
                <w:sz w:val="3"/>
                <w:szCs w:val="3"/>
                <w:color w:val="auto"/>
              </w:rPr>
            </w:pPr>
          </w:p>
        </w:tc>
        <w:tc>
          <w:tcPr>
            <w:tcW w:w="3100" w:type="dxa"/>
            <w:vAlign w:val="bottom"/>
            <w:tcBorders>
              <w:bottom w:val="single" w:sz="8" w:color="7F7F7F"/>
            </w:tcBorders>
            <w:gridSpan w:val="11"/>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gridSpan w:val="2"/>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gridSpan w:val="3"/>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11"/>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​2022</w:t>
            </w:r>
            <w:r>
              <w:rPr>
                <w:rFonts w:ascii="Arial" w:cs="Arial" w:eastAsia="Arial" w:hAnsi="Arial"/>
                <w:sz w:val="19"/>
                <w:szCs w:val="19"/>
                <w:color w:val="auto"/>
                <w:vertAlign w:val="superscript"/>
              </w:rPr>
              <w:t>​​​​</w:t>
            </w:r>
            <w:r>
              <w:rPr>
                <w:rFonts w:ascii="Arial" w:cs="Arial" w:eastAsia="Arial" w:hAnsi="Arial"/>
                <w:sz w:val="11"/>
                <w:szCs w:val="11"/>
                <w:color w:val="auto"/>
              </w:rPr>
              <w:t xml:space="preserve"> ​1,001,300</w:t>
            </w:r>
            <w:r>
              <w:rPr>
                <w:rFonts w:ascii="Arial" w:cs="Arial" w:eastAsia="Arial" w:hAnsi="Arial"/>
                <w:sz w:val="19"/>
                <w:szCs w:val="19"/>
                <w:color w:val="auto"/>
                <w:vertAlign w:val="superscript"/>
              </w:rPr>
              <w:t>​​​​</w:t>
            </w:r>
            <w:r>
              <w:rPr>
                <w:rFonts w:ascii="Arial" w:cs="Arial" w:eastAsia="Arial" w:hAnsi="Arial"/>
                <w:sz w:val="11"/>
                <w:szCs w:val="11"/>
                <w:color w:val="auto"/>
              </w:rPr>
              <w:t xml:space="preserve"> ​1,310,088</w:t>
            </w:r>
            <w:r>
              <w:rPr>
                <w:rFonts w:ascii="Arial" w:cs="Arial" w:eastAsia="Arial" w:hAnsi="Arial"/>
                <w:sz w:val="19"/>
                <w:szCs w:val="19"/>
                <w:color w:val="auto"/>
                <w:vertAlign w:val="superscript"/>
              </w:rPr>
              <w:t>​​​​</w:t>
            </w:r>
            <w:r>
              <w:rPr>
                <w:rFonts w:ascii="Arial" w:cs="Arial" w:eastAsia="Arial" w:hAnsi="Arial"/>
                <w:sz w:val="11"/>
                <w:szCs w:val="11"/>
                <w:color w:val="auto"/>
              </w:rPr>
              <w:t xml:space="preserve"> ​1,999,986</w:t>
            </w:r>
            <w:r>
              <w:rPr>
                <w:rFonts w:ascii="Arial" w:cs="Arial" w:eastAsia="Arial" w:hAnsi="Arial"/>
                <w:sz w:val="19"/>
                <w:szCs w:val="19"/>
                <w:color w:val="auto"/>
                <w:vertAlign w:val="superscript"/>
              </w:rPr>
              <w:t>​​​</w:t>
            </w:r>
          </w:p>
        </w:tc>
        <w:tc>
          <w:tcPr>
            <w:tcW w:w="440" w:type="dxa"/>
            <w:vAlign w:val="bottom"/>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239,761</w:t>
            </w:r>
          </w:p>
        </w:tc>
        <w:tc>
          <w:tcPr>
            <w:tcW w:w="960" w:type="dxa"/>
            <w:vAlign w:val="bottom"/>
            <w:gridSpan w:val="3"/>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​4,551,135</w:t>
            </w:r>
            <w:r>
              <w:rPr>
                <w:rFonts w:ascii="Arial" w:cs="Arial" w:eastAsia="Arial" w:hAnsi="Arial"/>
                <w:sz w:val="19"/>
                <w:szCs w:val="1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Executive Officer</w:t>
            </w:r>
          </w:p>
        </w:tc>
        <w:tc>
          <w:tcPr>
            <w:tcW w:w="120" w:type="dxa"/>
            <w:vAlign w:val="bottom"/>
          </w:tcPr>
          <w:p>
            <w:pPr>
              <w:spacing w:after="0"/>
              <w:rPr>
                <w:sz w:val="5"/>
                <w:szCs w:val="5"/>
                <w:color w:val="auto"/>
              </w:rPr>
            </w:pPr>
          </w:p>
        </w:tc>
        <w:tc>
          <w:tcPr>
            <w:tcW w:w="4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660" w:type="dxa"/>
            <w:vAlign w:val="bottom"/>
            <w:tcBorders>
              <w:bottom w:val="single" w:sz="8" w:color="7F7F7F"/>
            </w:tcBorders>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​2021</w:t>
            </w: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2440" w:type="dxa"/>
            <w:vAlign w:val="bottom"/>
            <w:gridSpan w:val="8"/>
            <w:vMerge w:val="restart"/>
          </w:tcPr>
          <w:p>
            <w:pPr>
              <w:jc w:val="right"/>
              <w:spacing w:after="0" w:line="236" w:lineRule="exact"/>
              <w:rPr>
                <w:sz w:val="20"/>
                <w:szCs w:val="20"/>
                <w:color w:val="auto"/>
              </w:rPr>
            </w:pPr>
            <w:r>
              <w:rPr>
                <w:rFonts w:ascii="Arial" w:cs="Arial" w:eastAsia="Arial" w:hAnsi="Arial"/>
                <w:sz w:val="14"/>
                <w:szCs w:val="14"/>
                <w:color w:val="auto"/>
              </w:rPr>
              <w:t>969,000</w:t>
            </w:r>
            <w:r>
              <w:rPr>
                <w:rFonts w:ascii="Arial" w:cs="Arial" w:eastAsia="Arial" w:hAnsi="Arial"/>
                <w:sz w:val="27"/>
                <w:szCs w:val="27"/>
                <w:color w:val="auto"/>
                <w:vertAlign w:val="superscript"/>
              </w:rPr>
              <w:t>​​​​</w:t>
            </w:r>
            <w:r>
              <w:rPr>
                <w:rFonts w:ascii="Arial" w:cs="Arial" w:eastAsia="Arial" w:hAnsi="Arial"/>
                <w:sz w:val="14"/>
                <w:szCs w:val="14"/>
                <w:color w:val="auto"/>
              </w:rPr>
              <w:t xml:space="preserve"> ​1,282,568</w:t>
            </w:r>
            <w:r>
              <w:rPr>
                <w:rFonts w:ascii="Arial" w:cs="Arial" w:eastAsia="Arial" w:hAnsi="Arial"/>
                <w:sz w:val="27"/>
                <w:szCs w:val="27"/>
                <w:color w:val="auto"/>
                <w:vertAlign w:val="superscript"/>
              </w:rPr>
              <w:t>​​​​</w:t>
            </w:r>
            <w:r>
              <w:rPr>
                <w:rFonts w:ascii="Arial" w:cs="Arial" w:eastAsia="Arial" w:hAnsi="Arial"/>
                <w:sz w:val="14"/>
                <w:szCs w:val="14"/>
                <w:color w:val="auto"/>
              </w:rPr>
              <w:t xml:space="preserve"> ​1,999,976</w:t>
            </w:r>
            <w:r>
              <w:rPr>
                <w:rFonts w:ascii="Arial" w:cs="Arial" w:eastAsia="Arial" w:hAnsi="Arial"/>
                <w:sz w:val="27"/>
                <w:szCs w:val="27"/>
                <w:color w:val="auto"/>
                <w:vertAlign w:val="superscript"/>
              </w:rPr>
              <w:t>​​​</w:t>
            </w:r>
          </w:p>
        </w:tc>
        <w:tc>
          <w:tcPr>
            <w:tcW w:w="440" w:type="dxa"/>
            <w:vAlign w:val="bottom"/>
            <w:vMerge w:val="restart"/>
          </w:tcPr>
          <w:p>
            <w:pPr>
              <w:ind w:left="8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4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ind w:left="10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176,269</w:t>
            </w:r>
          </w:p>
        </w:tc>
        <w:tc>
          <w:tcPr>
            <w:tcW w:w="960" w:type="dxa"/>
            <w:vAlign w:val="bottom"/>
            <w:gridSpan w:val="3"/>
            <w:vMerge w:val="restart"/>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​4,427,813</w:t>
            </w:r>
            <w:r>
              <w:rPr>
                <w:rFonts w:ascii="Arial" w:cs="Arial" w:eastAsia="Arial" w:hAnsi="Arial"/>
                <w:sz w:val="27"/>
                <w:szCs w:val="27"/>
                <w:color w:val="auto"/>
                <w:vertAlign w:val="superscript"/>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740" w:type="dxa"/>
            <w:vAlign w:val="bottom"/>
            <w:tcBorders>
              <w:bottom w:val="single" w:sz="8" w:color="BF5B5A"/>
            </w:tcBorders>
          </w:tcPr>
          <w:p>
            <w:pPr>
              <w:spacing w:after="0"/>
              <w:rPr>
                <w:sz w:val="11"/>
                <w:szCs w:val="11"/>
                <w:color w:val="auto"/>
              </w:rPr>
            </w:pPr>
          </w:p>
        </w:tc>
        <w:tc>
          <w:tcPr>
            <w:tcW w:w="120" w:type="dxa"/>
            <w:vAlign w:val="bottom"/>
            <w:tcBorders>
              <w:bottom w:val="single" w:sz="8" w:color="BF5B5A"/>
            </w:tcBorders>
          </w:tcPr>
          <w:p>
            <w:pPr>
              <w:spacing w:after="0"/>
              <w:rPr>
                <w:sz w:val="11"/>
                <w:szCs w:val="11"/>
                <w:color w:val="auto"/>
              </w:rPr>
            </w:pPr>
          </w:p>
        </w:tc>
        <w:tc>
          <w:tcPr>
            <w:tcW w:w="660" w:type="dxa"/>
            <w:vAlign w:val="bottom"/>
            <w:tcBorders>
              <w:bottom w:val="single" w:sz="8" w:color="BF5B5A"/>
            </w:tcBorders>
            <w:gridSpan w:val="3"/>
            <w:vMerge w:val="continue"/>
          </w:tcPr>
          <w:p>
            <w:pPr>
              <w:spacing w:after="0"/>
              <w:rPr>
                <w:sz w:val="11"/>
                <w:szCs w:val="11"/>
                <w:color w:val="auto"/>
              </w:rPr>
            </w:pPr>
          </w:p>
        </w:tc>
        <w:tc>
          <w:tcPr>
            <w:tcW w:w="2440" w:type="dxa"/>
            <w:vAlign w:val="bottom"/>
            <w:tcBorders>
              <w:bottom w:val="single" w:sz="8" w:color="BF5B5A"/>
            </w:tcBorders>
            <w:gridSpan w:val="8"/>
            <w:vMerge w:val="continue"/>
          </w:tcPr>
          <w:p>
            <w:pPr>
              <w:spacing w:after="0"/>
              <w:rPr>
                <w:sz w:val="11"/>
                <w:szCs w:val="11"/>
                <w:color w:val="auto"/>
              </w:rPr>
            </w:pPr>
          </w:p>
        </w:tc>
        <w:tc>
          <w:tcPr>
            <w:tcW w:w="440" w:type="dxa"/>
            <w:vAlign w:val="bottom"/>
            <w:tcBorders>
              <w:bottom w:val="single" w:sz="8" w:color="BF5B5A"/>
            </w:tcBorders>
            <w:vMerge w:val="continue"/>
          </w:tcPr>
          <w:p>
            <w:pPr>
              <w:spacing w:after="0"/>
              <w:rPr>
                <w:sz w:val="11"/>
                <w:szCs w:val="11"/>
                <w:color w:val="auto"/>
              </w:rPr>
            </w:pPr>
          </w:p>
        </w:tc>
        <w:tc>
          <w:tcPr>
            <w:tcW w:w="480" w:type="dxa"/>
            <w:vAlign w:val="bottom"/>
            <w:tcBorders>
              <w:bottom w:val="single" w:sz="8" w:color="BF5B5A"/>
            </w:tcBorders>
            <w:vMerge w:val="continue"/>
          </w:tcPr>
          <w:p>
            <w:pPr>
              <w:spacing w:after="0"/>
              <w:rPr>
                <w:sz w:val="11"/>
                <w:szCs w:val="11"/>
                <w:color w:val="auto"/>
              </w:rPr>
            </w:pPr>
          </w:p>
        </w:tc>
        <w:tc>
          <w:tcPr>
            <w:tcW w:w="220" w:type="dxa"/>
            <w:vAlign w:val="bottom"/>
            <w:tcBorders>
              <w:bottom w:val="single" w:sz="8" w:color="BF5B5A"/>
            </w:tcBorders>
            <w:vMerge w:val="continue"/>
          </w:tcPr>
          <w:p>
            <w:pPr>
              <w:spacing w:after="0"/>
              <w:rPr>
                <w:sz w:val="11"/>
                <w:szCs w:val="11"/>
                <w:color w:val="auto"/>
              </w:rPr>
            </w:pPr>
          </w:p>
        </w:tc>
        <w:tc>
          <w:tcPr>
            <w:tcW w:w="260" w:type="dxa"/>
            <w:vAlign w:val="bottom"/>
            <w:tcBorders>
              <w:bottom w:val="single" w:sz="8" w:color="BF5B5A"/>
            </w:tcBorders>
            <w:gridSpan w:val="2"/>
            <w:vMerge w:val="continue"/>
          </w:tcPr>
          <w:p>
            <w:pPr>
              <w:spacing w:after="0"/>
              <w:rPr>
                <w:sz w:val="11"/>
                <w:szCs w:val="11"/>
                <w:color w:val="auto"/>
              </w:rPr>
            </w:pPr>
          </w:p>
        </w:tc>
        <w:tc>
          <w:tcPr>
            <w:tcW w:w="720" w:type="dxa"/>
            <w:vAlign w:val="bottom"/>
            <w:tcBorders>
              <w:bottom w:val="single" w:sz="8" w:color="BF5B5A"/>
            </w:tcBorders>
            <w:vMerge w:val="continue"/>
          </w:tcPr>
          <w:p>
            <w:pPr>
              <w:spacing w:after="0"/>
              <w:rPr>
                <w:sz w:val="11"/>
                <w:szCs w:val="11"/>
                <w:color w:val="auto"/>
              </w:rPr>
            </w:pPr>
          </w:p>
        </w:tc>
        <w:tc>
          <w:tcPr>
            <w:tcW w:w="960" w:type="dxa"/>
            <w:vAlign w:val="bottom"/>
            <w:tcBorders>
              <w:bottom w:val="single" w:sz="8" w:color="BF5B5A"/>
            </w:tcBorders>
            <w:gridSpan w:val="3"/>
            <w:vMerge w:val="continue"/>
          </w:tcPr>
          <w:p>
            <w:pPr>
              <w:spacing w:after="0"/>
              <w:rPr>
                <w:sz w:val="11"/>
                <w:szCs w:val="11"/>
                <w:color w:val="auto"/>
              </w:rPr>
            </w:pPr>
          </w:p>
        </w:tc>
        <w:tc>
          <w:tcPr>
            <w:tcW w:w="140" w:type="dxa"/>
            <w:vAlign w:val="bottom"/>
            <w:tcBorders>
              <w:bottom w:val="single" w:sz="8" w:color="BF5B5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James M. Moses</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​​​2023​​​​ ​</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475,304​​​​ ​</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195,938​​​​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669,977​​​</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61,606</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 ​1,402,825​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40" w:type="dxa"/>
            <w:vAlign w:val="bottom"/>
          </w:tcPr>
          <w:p>
            <w:pPr>
              <w:ind w:left="200"/>
              <w:spacing w:after="0"/>
              <w:rPr>
                <w:sz w:val="20"/>
                <w:szCs w:val="20"/>
                <w:color w:val="auto"/>
              </w:rPr>
            </w:pPr>
            <w:r>
              <w:rPr>
                <w:rFonts w:ascii="Arial" w:cs="Arial" w:eastAsia="Arial" w:hAnsi="Arial"/>
                <w:sz w:val="14"/>
                <w:szCs w:val="14"/>
                <w:color w:val="auto"/>
              </w:rPr>
              <w:t>Vice Chairman and Chief Financial</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200"/>
              <w:spacing w:after="0"/>
              <w:rPr>
                <w:sz w:val="20"/>
                <w:szCs w:val="20"/>
                <w:color w:val="auto"/>
              </w:rPr>
            </w:pPr>
            <w:r>
              <w:rPr>
                <w:rFonts w:ascii="Arial" w:cs="Arial" w:eastAsia="Arial" w:hAnsi="Arial"/>
                <w:sz w:val="14"/>
                <w:szCs w:val="14"/>
                <w:color w:val="auto"/>
              </w:rPr>
              <w:t>Officer</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740" w:type="dxa"/>
            <w:vAlign w:val="bottom"/>
            <w:tcBorders>
              <w:bottom w:val="single" w:sz="8" w:color="BF5B5A"/>
            </w:tcBorders>
          </w:tcPr>
          <w:p>
            <w:pPr>
              <w:spacing w:after="0"/>
              <w:rPr>
                <w:sz w:val="3"/>
                <w:szCs w:val="3"/>
                <w:color w:val="auto"/>
              </w:rPr>
            </w:pPr>
          </w:p>
        </w:tc>
        <w:tc>
          <w:tcPr>
            <w:tcW w:w="780" w:type="dxa"/>
            <w:vAlign w:val="bottom"/>
            <w:tcBorders>
              <w:bottom w:val="single" w:sz="8" w:color="BF5B5A"/>
            </w:tcBorders>
            <w:gridSpan w:val="4"/>
          </w:tcPr>
          <w:p>
            <w:pPr>
              <w:spacing w:after="0"/>
              <w:rPr>
                <w:sz w:val="3"/>
                <w:szCs w:val="3"/>
                <w:color w:val="auto"/>
              </w:rPr>
            </w:pPr>
          </w:p>
        </w:tc>
        <w:tc>
          <w:tcPr>
            <w:tcW w:w="880" w:type="dxa"/>
            <w:vAlign w:val="bottom"/>
            <w:tcBorders>
              <w:bottom w:val="single" w:sz="8" w:color="BF5B5A"/>
            </w:tcBorders>
            <w:gridSpan w:val="3"/>
          </w:tcPr>
          <w:p>
            <w:pPr>
              <w:spacing w:after="0"/>
              <w:rPr>
                <w:sz w:val="3"/>
                <w:szCs w:val="3"/>
                <w:color w:val="auto"/>
              </w:rPr>
            </w:pPr>
          </w:p>
        </w:tc>
        <w:tc>
          <w:tcPr>
            <w:tcW w:w="840" w:type="dxa"/>
            <w:vAlign w:val="bottom"/>
            <w:tcBorders>
              <w:bottom w:val="single" w:sz="8" w:color="BF5B5A"/>
            </w:tcBorders>
            <w:gridSpan w:val="3"/>
          </w:tcPr>
          <w:p>
            <w:pPr>
              <w:spacing w:after="0"/>
              <w:rPr>
                <w:sz w:val="3"/>
                <w:szCs w:val="3"/>
                <w:color w:val="auto"/>
              </w:rPr>
            </w:pPr>
          </w:p>
        </w:tc>
        <w:tc>
          <w:tcPr>
            <w:tcW w:w="720" w:type="dxa"/>
            <w:vAlign w:val="bottom"/>
            <w:tcBorders>
              <w:bottom w:val="single" w:sz="8" w:color="BF5B5A"/>
            </w:tcBorders>
            <w:gridSpan w:val="2"/>
          </w:tcPr>
          <w:p>
            <w:pPr>
              <w:spacing w:after="0"/>
              <w:rPr>
                <w:sz w:val="3"/>
                <w:szCs w:val="3"/>
                <w:color w:val="auto"/>
              </w:rPr>
            </w:pPr>
          </w:p>
        </w:tc>
        <w:tc>
          <w:tcPr>
            <w:tcW w:w="440" w:type="dxa"/>
            <w:vAlign w:val="bottom"/>
            <w:tcBorders>
              <w:bottom w:val="single" w:sz="8" w:color="BF5B5A"/>
            </w:tcBorders>
          </w:tcPr>
          <w:p>
            <w:pPr>
              <w:spacing w:after="0"/>
              <w:rPr>
                <w:sz w:val="3"/>
                <w:szCs w:val="3"/>
                <w:color w:val="auto"/>
              </w:rPr>
            </w:pPr>
          </w:p>
        </w:tc>
        <w:tc>
          <w:tcPr>
            <w:tcW w:w="480" w:type="dxa"/>
            <w:vAlign w:val="bottom"/>
            <w:tcBorders>
              <w:bottom w:val="single" w:sz="8" w:color="BF5B5A"/>
            </w:tcBorders>
          </w:tcPr>
          <w:p>
            <w:pPr>
              <w:spacing w:after="0"/>
              <w:rPr>
                <w:sz w:val="3"/>
                <w:szCs w:val="3"/>
                <w:color w:val="auto"/>
              </w:rPr>
            </w:pPr>
          </w:p>
        </w:tc>
        <w:tc>
          <w:tcPr>
            <w:tcW w:w="220" w:type="dxa"/>
            <w:vAlign w:val="bottom"/>
            <w:tcBorders>
              <w:bottom w:val="single" w:sz="8" w:color="BF5B5A"/>
            </w:tcBorders>
          </w:tcPr>
          <w:p>
            <w:pPr>
              <w:spacing w:after="0"/>
              <w:rPr>
                <w:sz w:val="3"/>
                <w:szCs w:val="3"/>
                <w:color w:val="auto"/>
              </w:rPr>
            </w:pPr>
          </w:p>
        </w:tc>
        <w:tc>
          <w:tcPr>
            <w:tcW w:w="260" w:type="dxa"/>
            <w:vAlign w:val="bottom"/>
            <w:tcBorders>
              <w:bottom w:val="single" w:sz="8" w:color="BF5B5A"/>
            </w:tcBorders>
            <w:gridSpan w:val="2"/>
          </w:tcPr>
          <w:p>
            <w:pPr>
              <w:spacing w:after="0"/>
              <w:rPr>
                <w:sz w:val="3"/>
                <w:szCs w:val="3"/>
                <w:color w:val="auto"/>
              </w:rPr>
            </w:pPr>
          </w:p>
        </w:tc>
        <w:tc>
          <w:tcPr>
            <w:tcW w:w="720" w:type="dxa"/>
            <w:vAlign w:val="bottom"/>
            <w:tcBorders>
              <w:bottom w:val="single" w:sz="8" w:color="BF5B5A"/>
            </w:tcBorders>
          </w:tcPr>
          <w:p>
            <w:pPr>
              <w:spacing w:after="0"/>
              <w:rPr>
                <w:sz w:val="3"/>
                <w:szCs w:val="3"/>
                <w:color w:val="auto"/>
              </w:rPr>
            </w:pPr>
          </w:p>
        </w:tc>
        <w:tc>
          <w:tcPr>
            <w:tcW w:w="960" w:type="dxa"/>
            <w:vAlign w:val="bottom"/>
            <w:tcBorders>
              <w:bottom w:val="single" w:sz="8" w:color="BF5B5A"/>
            </w:tcBorders>
            <w:gridSpan w:val="3"/>
          </w:tcPr>
          <w:p>
            <w:pPr>
              <w:spacing w:after="0"/>
              <w:rPr>
                <w:sz w:val="3"/>
                <w:szCs w:val="3"/>
                <w:color w:val="auto"/>
              </w:rPr>
            </w:pPr>
          </w:p>
        </w:tc>
        <w:tc>
          <w:tcPr>
            <w:tcW w:w="140" w:type="dxa"/>
            <w:vAlign w:val="bottom"/>
            <w:tcBorders>
              <w:bottom w:val="single" w:sz="8" w:color="BF5B5A"/>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740" w:type="dxa"/>
            <w:vAlign w:val="bottom"/>
          </w:tcPr>
          <w:p>
            <w:pPr>
              <w:ind w:left="20"/>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b w:val="1"/>
                <w:bCs w:val="1"/>
                <w:color w:val="auto"/>
              </w:rPr>
              <w:t>Christopher L. Dods</w:t>
            </w:r>
          </w:p>
        </w:tc>
        <w:tc>
          <w:tcPr>
            <w:tcW w:w="780" w:type="dxa"/>
            <w:vAlign w:val="bottom"/>
            <w:gridSpan w:val="4"/>
          </w:tcPr>
          <w:p>
            <w:pPr>
              <w:jc w:val="right"/>
              <w:spacing w:after="0" w:line="25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80" w:type="dxa"/>
            <w:vAlign w:val="bottom"/>
            <w:gridSpan w:val="3"/>
          </w:tcPr>
          <w:p>
            <w:pPr>
              <w:jc w:val="right"/>
              <w:spacing w:after="0" w:line="254" w:lineRule="exact"/>
              <w:rPr>
                <w:sz w:val="20"/>
                <w:szCs w:val="20"/>
                <w:color w:val="auto"/>
              </w:rPr>
            </w:pPr>
            <w:r>
              <w:rPr>
                <w:rFonts w:ascii="Arial" w:cs="Arial" w:eastAsia="Arial" w:hAnsi="Arial"/>
                <w:sz w:val="14"/>
                <w:szCs w:val="14"/>
                <w:color w:val="auto"/>
              </w:rPr>
              <w:t>569,169</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40" w:type="dxa"/>
            <w:vAlign w:val="bottom"/>
            <w:gridSpan w:val="3"/>
          </w:tcPr>
          <w:p>
            <w:pPr>
              <w:jc w:val="right"/>
              <w:spacing w:after="0" w:line="254" w:lineRule="exact"/>
              <w:rPr>
                <w:sz w:val="20"/>
                <w:szCs w:val="20"/>
                <w:color w:val="auto"/>
              </w:rPr>
            </w:pPr>
            <w:r>
              <w:rPr>
                <w:rFonts w:ascii="Arial" w:cs="Arial" w:eastAsia="Arial" w:hAnsi="Arial"/>
                <w:sz w:val="14"/>
                <w:szCs w:val="14"/>
                <w:color w:val="auto"/>
              </w:rPr>
              <w:t>301,877</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20" w:type="dxa"/>
            <w:vAlign w:val="bottom"/>
            <w:gridSpan w:val="2"/>
          </w:tcPr>
          <w:p>
            <w:pPr>
              <w:jc w:val="right"/>
              <w:spacing w:after="0" w:line="254" w:lineRule="exact"/>
              <w:rPr>
                <w:sz w:val="20"/>
                <w:szCs w:val="20"/>
                <w:color w:val="auto"/>
              </w:rPr>
            </w:pPr>
            <w:r>
              <w:rPr>
                <w:rFonts w:ascii="Arial" w:cs="Arial" w:eastAsia="Arial" w:hAnsi="Arial"/>
                <w:sz w:val="14"/>
                <w:szCs w:val="14"/>
                <w:color w:val="auto"/>
              </w:rPr>
              <w:t>699,984</w:t>
            </w:r>
            <w:r>
              <w:rPr>
                <w:rFonts w:ascii="Arial" w:cs="Arial" w:eastAsia="Arial" w:hAnsi="Arial"/>
                <w:sz w:val="28"/>
                <w:szCs w:val="28"/>
                <w:color w:val="auto"/>
                <w:vertAlign w:val="superscript"/>
              </w:rPr>
              <w:t>​​​</w:t>
            </w:r>
          </w:p>
        </w:tc>
        <w:tc>
          <w:tcPr>
            <w:tcW w:w="440" w:type="dxa"/>
            <w:vAlign w:val="bottom"/>
          </w:tcPr>
          <w:p>
            <w:pPr>
              <w:ind w:left="80"/>
              <w:spacing w:after="0" w:line="254"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254"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145,728</w:t>
            </w:r>
          </w:p>
        </w:tc>
        <w:tc>
          <w:tcPr>
            <w:tcW w:w="960" w:type="dxa"/>
            <w:vAlign w:val="bottom"/>
            <w:gridSpan w:val="3"/>
          </w:tcPr>
          <w:p>
            <w:pPr>
              <w:jc w:val="right"/>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​1,716,758</w:t>
            </w:r>
            <w:r>
              <w:rPr>
                <w:rFonts w:ascii="Arial" w:cs="Arial" w:eastAsia="Arial" w:hAnsi="Arial"/>
                <w:sz w:val="28"/>
                <w:szCs w:val="28"/>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Vice Chairman and Chief Operating</w:t>
            </w:r>
          </w:p>
        </w:tc>
        <w:tc>
          <w:tcPr>
            <w:tcW w:w="120" w:type="dxa"/>
            <w:vAlign w:val="bottom"/>
          </w:tcPr>
          <w:p>
            <w:pPr>
              <w:spacing w:after="0"/>
              <w:rPr>
                <w:sz w:val="3"/>
                <w:szCs w:val="3"/>
                <w:color w:val="auto"/>
              </w:rPr>
            </w:pPr>
          </w:p>
        </w:tc>
        <w:tc>
          <w:tcPr>
            <w:tcW w:w="660" w:type="dxa"/>
            <w:vAlign w:val="bottom"/>
            <w:tcBorders>
              <w:bottom w:val="single" w:sz="8" w:color="7F7F7F"/>
            </w:tcBorders>
            <w:gridSpan w:val="3"/>
          </w:tcPr>
          <w:p>
            <w:pPr>
              <w:spacing w:after="0"/>
              <w:rPr>
                <w:sz w:val="3"/>
                <w:szCs w:val="3"/>
                <w:color w:val="auto"/>
              </w:rPr>
            </w:pPr>
          </w:p>
        </w:tc>
        <w:tc>
          <w:tcPr>
            <w:tcW w:w="880" w:type="dxa"/>
            <w:vAlign w:val="bottom"/>
            <w:tcBorders>
              <w:bottom w:val="single" w:sz="8" w:color="7F7F7F"/>
            </w:tcBorders>
            <w:gridSpan w:val="3"/>
          </w:tcPr>
          <w:p>
            <w:pPr>
              <w:spacing w:after="0"/>
              <w:rPr>
                <w:sz w:val="3"/>
                <w:szCs w:val="3"/>
                <w:color w:val="auto"/>
              </w:rPr>
            </w:pPr>
          </w:p>
        </w:tc>
        <w:tc>
          <w:tcPr>
            <w:tcW w:w="840" w:type="dxa"/>
            <w:vAlign w:val="bottom"/>
            <w:tcBorders>
              <w:bottom w:val="single" w:sz="8" w:color="7F7F7F"/>
            </w:tcBorders>
            <w:gridSpan w:val="3"/>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gridSpan w:val="2"/>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​2022</w:t>
            </w: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88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525,000</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84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556,875</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gridSpan w:val="2"/>
          </w:tcPr>
          <w:p>
            <w:pPr>
              <w:jc w:val="right"/>
              <w:spacing w:after="0" w:line="169" w:lineRule="exact"/>
              <w:rPr>
                <w:sz w:val="20"/>
                <w:szCs w:val="20"/>
                <w:color w:val="auto"/>
              </w:rPr>
            </w:pPr>
            <w:r>
              <w:rPr>
                <w:rFonts w:ascii="Arial" w:cs="Arial" w:eastAsia="Arial" w:hAnsi="Arial"/>
                <w:sz w:val="11"/>
                <w:szCs w:val="11"/>
                <w:color w:val="auto"/>
              </w:rPr>
              <w:t>649,996</w:t>
            </w:r>
            <w:r>
              <w:rPr>
                <w:rFonts w:ascii="Arial" w:cs="Arial" w:eastAsia="Arial" w:hAnsi="Arial"/>
                <w:sz w:val="19"/>
                <w:szCs w:val="19"/>
                <w:color w:val="auto"/>
                <w:vertAlign w:val="superscript"/>
              </w:rPr>
              <w:t>​​​</w:t>
            </w:r>
          </w:p>
        </w:tc>
        <w:tc>
          <w:tcPr>
            <w:tcW w:w="440" w:type="dxa"/>
            <w:vAlign w:val="bottom"/>
          </w:tcPr>
          <w:p>
            <w:pPr>
              <w:ind w:left="8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119,223</w:t>
            </w:r>
          </w:p>
        </w:tc>
        <w:tc>
          <w:tcPr>
            <w:tcW w:w="1100" w:type="dxa"/>
            <w:vAlign w:val="bottom"/>
            <w:gridSpan w:val="4"/>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​1,851,094</w:t>
            </w:r>
            <w:r>
              <w:rPr>
                <w:rFonts w:ascii="Arial" w:cs="Arial" w:eastAsia="Arial" w:hAnsi="Arial"/>
                <w:sz w:val="19"/>
                <w:szCs w:val="19"/>
                <w:color w:val="auto"/>
                <w:vertAlign w:val="superscript"/>
              </w:rPr>
              <w:t>​ ​</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BF5B5A"/>
            </w:tcBorders>
          </w:tcPr>
          <w:p>
            <w:pPr>
              <w:ind w:left="20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BF5B5A"/>
            </w:tcBorders>
          </w:tcPr>
          <w:p>
            <w:pPr>
              <w:spacing w:after="0"/>
              <w:rPr>
                <w:sz w:val="17"/>
                <w:szCs w:val="17"/>
                <w:color w:val="auto"/>
              </w:rPr>
            </w:pPr>
          </w:p>
        </w:tc>
        <w:tc>
          <w:tcPr>
            <w:tcW w:w="400" w:type="dxa"/>
            <w:vAlign w:val="bottom"/>
            <w:tcBorders>
              <w:bottom w:val="single" w:sz="8" w:color="BF5B5A"/>
            </w:tcBorders>
          </w:tcPr>
          <w:p>
            <w:pPr>
              <w:spacing w:after="0"/>
              <w:rPr>
                <w:sz w:val="17"/>
                <w:szCs w:val="17"/>
                <w:color w:val="auto"/>
              </w:rPr>
            </w:pPr>
          </w:p>
        </w:tc>
        <w:tc>
          <w:tcPr>
            <w:tcW w:w="180" w:type="dxa"/>
            <w:vAlign w:val="bottom"/>
            <w:tcBorders>
              <w:bottom w:val="single" w:sz="8" w:color="BF5B5A"/>
            </w:tcBorders>
          </w:tcPr>
          <w:p>
            <w:pPr>
              <w:spacing w:after="0"/>
              <w:rPr>
                <w:sz w:val="17"/>
                <w:szCs w:val="17"/>
                <w:color w:val="auto"/>
              </w:rPr>
            </w:pPr>
          </w:p>
        </w:tc>
        <w:tc>
          <w:tcPr>
            <w:tcW w:w="80" w:type="dxa"/>
            <w:vAlign w:val="bottom"/>
            <w:tcBorders>
              <w:bottom w:val="single" w:sz="8" w:color="BF5B5A"/>
            </w:tcBorders>
          </w:tcPr>
          <w:p>
            <w:pPr>
              <w:spacing w:after="0"/>
              <w:rPr>
                <w:sz w:val="17"/>
                <w:szCs w:val="17"/>
                <w:color w:val="auto"/>
              </w:rPr>
            </w:pPr>
          </w:p>
        </w:tc>
        <w:tc>
          <w:tcPr>
            <w:tcW w:w="600" w:type="dxa"/>
            <w:vAlign w:val="bottom"/>
            <w:tcBorders>
              <w:bottom w:val="single" w:sz="8" w:color="BF5B5A"/>
            </w:tcBorders>
          </w:tcPr>
          <w:p>
            <w:pPr>
              <w:spacing w:after="0"/>
              <w:rPr>
                <w:sz w:val="17"/>
                <w:szCs w:val="17"/>
                <w:color w:val="auto"/>
              </w:rPr>
            </w:pPr>
          </w:p>
        </w:tc>
        <w:tc>
          <w:tcPr>
            <w:tcW w:w="180" w:type="dxa"/>
            <w:vAlign w:val="bottom"/>
            <w:tcBorders>
              <w:bottom w:val="single" w:sz="8" w:color="BF5B5A"/>
            </w:tcBorders>
          </w:tcPr>
          <w:p>
            <w:pPr>
              <w:spacing w:after="0"/>
              <w:rPr>
                <w:sz w:val="17"/>
                <w:szCs w:val="17"/>
                <w:color w:val="auto"/>
              </w:rPr>
            </w:pPr>
          </w:p>
        </w:tc>
        <w:tc>
          <w:tcPr>
            <w:tcW w:w="100" w:type="dxa"/>
            <w:vAlign w:val="bottom"/>
            <w:tcBorders>
              <w:bottom w:val="single" w:sz="8" w:color="BF5B5A"/>
            </w:tcBorders>
          </w:tcPr>
          <w:p>
            <w:pPr>
              <w:spacing w:after="0"/>
              <w:rPr>
                <w:sz w:val="17"/>
                <w:szCs w:val="17"/>
                <w:color w:val="auto"/>
              </w:rPr>
            </w:pPr>
          </w:p>
        </w:tc>
        <w:tc>
          <w:tcPr>
            <w:tcW w:w="560" w:type="dxa"/>
            <w:vAlign w:val="bottom"/>
            <w:tcBorders>
              <w:bottom w:val="single" w:sz="8" w:color="BF5B5A"/>
            </w:tcBorders>
          </w:tcPr>
          <w:p>
            <w:pPr>
              <w:spacing w:after="0"/>
              <w:rPr>
                <w:sz w:val="17"/>
                <w:szCs w:val="17"/>
                <w:color w:val="auto"/>
              </w:rPr>
            </w:pPr>
          </w:p>
        </w:tc>
        <w:tc>
          <w:tcPr>
            <w:tcW w:w="180" w:type="dxa"/>
            <w:vAlign w:val="bottom"/>
            <w:tcBorders>
              <w:bottom w:val="single" w:sz="8" w:color="BF5B5A"/>
            </w:tcBorders>
          </w:tcPr>
          <w:p>
            <w:pPr>
              <w:spacing w:after="0"/>
              <w:rPr>
                <w:sz w:val="17"/>
                <w:szCs w:val="17"/>
                <w:color w:val="auto"/>
              </w:rPr>
            </w:pPr>
          </w:p>
        </w:tc>
        <w:tc>
          <w:tcPr>
            <w:tcW w:w="100" w:type="dxa"/>
            <w:vAlign w:val="bottom"/>
            <w:tcBorders>
              <w:bottom w:val="single" w:sz="8" w:color="BF5B5A"/>
            </w:tcBorders>
          </w:tcPr>
          <w:p>
            <w:pPr>
              <w:spacing w:after="0"/>
              <w:rPr>
                <w:sz w:val="17"/>
                <w:szCs w:val="17"/>
                <w:color w:val="auto"/>
              </w:rPr>
            </w:pPr>
          </w:p>
        </w:tc>
        <w:tc>
          <w:tcPr>
            <w:tcW w:w="580" w:type="dxa"/>
            <w:vAlign w:val="bottom"/>
            <w:tcBorders>
              <w:bottom w:val="single" w:sz="8" w:color="BF5B5A"/>
            </w:tcBorders>
          </w:tcPr>
          <w:p>
            <w:pPr>
              <w:spacing w:after="0"/>
              <w:rPr>
                <w:sz w:val="17"/>
                <w:szCs w:val="17"/>
                <w:color w:val="auto"/>
              </w:rPr>
            </w:pPr>
          </w:p>
        </w:tc>
        <w:tc>
          <w:tcPr>
            <w:tcW w:w="140" w:type="dxa"/>
            <w:vAlign w:val="bottom"/>
            <w:tcBorders>
              <w:bottom w:val="single" w:sz="8" w:color="BF5B5A"/>
            </w:tcBorders>
          </w:tcPr>
          <w:p>
            <w:pPr>
              <w:spacing w:after="0"/>
              <w:rPr>
                <w:sz w:val="17"/>
                <w:szCs w:val="17"/>
                <w:color w:val="auto"/>
              </w:rPr>
            </w:pPr>
          </w:p>
        </w:tc>
        <w:tc>
          <w:tcPr>
            <w:tcW w:w="440" w:type="dxa"/>
            <w:vAlign w:val="bottom"/>
            <w:tcBorders>
              <w:bottom w:val="single" w:sz="8" w:color="BF5B5A"/>
            </w:tcBorders>
          </w:tcPr>
          <w:p>
            <w:pPr>
              <w:spacing w:after="0"/>
              <w:rPr>
                <w:sz w:val="17"/>
                <w:szCs w:val="17"/>
                <w:color w:val="auto"/>
              </w:rPr>
            </w:pPr>
          </w:p>
        </w:tc>
        <w:tc>
          <w:tcPr>
            <w:tcW w:w="480" w:type="dxa"/>
            <w:vAlign w:val="bottom"/>
            <w:tcBorders>
              <w:bottom w:val="single" w:sz="8" w:color="BF5B5A"/>
            </w:tcBorders>
          </w:tcPr>
          <w:p>
            <w:pPr>
              <w:spacing w:after="0"/>
              <w:rPr>
                <w:sz w:val="17"/>
                <w:szCs w:val="17"/>
                <w:color w:val="auto"/>
              </w:rPr>
            </w:pPr>
          </w:p>
        </w:tc>
        <w:tc>
          <w:tcPr>
            <w:tcW w:w="220" w:type="dxa"/>
            <w:vAlign w:val="bottom"/>
            <w:tcBorders>
              <w:bottom w:val="single" w:sz="8" w:color="BF5B5A"/>
            </w:tcBorders>
          </w:tcPr>
          <w:p>
            <w:pPr>
              <w:spacing w:after="0"/>
              <w:rPr>
                <w:sz w:val="17"/>
                <w:szCs w:val="17"/>
                <w:color w:val="auto"/>
              </w:rPr>
            </w:pPr>
          </w:p>
        </w:tc>
        <w:tc>
          <w:tcPr>
            <w:tcW w:w="140" w:type="dxa"/>
            <w:vAlign w:val="bottom"/>
            <w:tcBorders>
              <w:bottom w:val="single" w:sz="8" w:color="BF5B5A"/>
            </w:tcBorders>
          </w:tcPr>
          <w:p>
            <w:pPr>
              <w:spacing w:after="0"/>
              <w:rPr>
                <w:sz w:val="17"/>
                <w:szCs w:val="17"/>
                <w:color w:val="auto"/>
              </w:rPr>
            </w:pPr>
          </w:p>
        </w:tc>
        <w:tc>
          <w:tcPr>
            <w:tcW w:w="120" w:type="dxa"/>
            <w:vAlign w:val="bottom"/>
            <w:tcBorders>
              <w:bottom w:val="single" w:sz="8" w:color="BF5B5A"/>
            </w:tcBorders>
          </w:tcPr>
          <w:p>
            <w:pPr>
              <w:spacing w:after="0"/>
              <w:rPr>
                <w:sz w:val="17"/>
                <w:szCs w:val="17"/>
                <w:color w:val="auto"/>
              </w:rPr>
            </w:pPr>
          </w:p>
        </w:tc>
        <w:tc>
          <w:tcPr>
            <w:tcW w:w="720" w:type="dxa"/>
            <w:vAlign w:val="bottom"/>
            <w:tcBorders>
              <w:bottom w:val="single" w:sz="8" w:color="BF5B5A"/>
            </w:tcBorders>
          </w:tcPr>
          <w:p>
            <w:pPr>
              <w:spacing w:after="0"/>
              <w:rPr>
                <w:sz w:val="17"/>
                <w:szCs w:val="17"/>
                <w:color w:val="auto"/>
              </w:rPr>
            </w:pPr>
          </w:p>
        </w:tc>
        <w:tc>
          <w:tcPr>
            <w:tcW w:w="220" w:type="dxa"/>
            <w:vAlign w:val="bottom"/>
            <w:tcBorders>
              <w:bottom w:val="single" w:sz="8" w:color="BF5B5A"/>
            </w:tcBorders>
          </w:tcPr>
          <w:p>
            <w:pPr>
              <w:spacing w:after="0"/>
              <w:rPr>
                <w:sz w:val="17"/>
                <w:szCs w:val="17"/>
                <w:color w:val="auto"/>
              </w:rPr>
            </w:pPr>
          </w:p>
        </w:tc>
        <w:tc>
          <w:tcPr>
            <w:tcW w:w="660" w:type="dxa"/>
            <w:vAlign w:val="bottom"/>
            <w:tcBorders>
              <w:bottom w:val="single" w:sz="8" w:color="BF5B5A"/>
            </w:tcBorders>
          </w:tcPr>
          <w:p>
            <w:pPr>
              <w:spacing w:after="0"/>
              <w:rPr>
                <w:sz w:val="17"/>
                <w:szCs w:val="17"/>
                <w:color w:val="auto"/>
              </w:rPr>
            </w:pPr>
          </w:p>
        </w:tc>
        <w:tc>
          <w:tcPr>
            <w:tcW w:w="80" w:type="dxa"/>
            <w:vAlign w:val="bottom"/>
            <w:tcBorders>
              <w:bottom w:val="single" w:sz="8" w:color="BF5B5A"/>
            </w:tcBorders>
          </w:tcPr>
          <w:p>
            <w:pPr>
              <w:spacing w:after="0"/>
              <w:rPr>
                <w:sz w:val="17"/>
                <w:szCs w:val="17"/>
                <w:color w:val="auto"/>
              </w:rPr>
            </w:pPr>
          </w:p>
        </w:tc>
        <w:tc>
          <w:tcPr>
            <w:tcW w:w="140" w:type="dxa"/>
            <w:vAlign w:val="bottom"/>
            <w:tcBorders>
              <w:bottom w:val="single" w:sz="8" w:color="BF5B5A"/>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1"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100"/>
              <w:spacing w:after="0" w:line="121" w:lineRule="exact"/>
              <w:rPr>
                <w:sz w:val="20"/>
                <w:szCs w:val="20"/>
                <w:color w:val="auto"/>
              </w:rPr>
            </w:pPr>
            <w:r>
              <w:rPr>
                <w:rFonts w:ascii="Arial" w:cs="Arial" w:eastAsia="Arial" w:hAnsi="Arial"/>
                <w:sz w:val="14"/>
                <w:szCs w:val="14"/>
                <w:color w:val="auto"/>
              </w:rPr>
              <w:t>​​​</w:t>
            </w:r>
          </w:p>
        </w:tc>
        <w:tc>
          <w:tcPr>
            <w:tcW w:w="180" w:type="dxa"/>
            <w:vAlign w:val="bottom"/>
          </w:tcPr>
          <w:p>
            <w:pPr>
              <w:jc w:val="center"/>
              <w:spacing w:after="0" w:line="121" w:lineRule="exact"/>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535,274</w:t>
            </w:r>
          </w:p>
        </w:tc>
        <w:tc>
          <w:tcPr>
            <w:tcW w:w="180" w:type="dxa"/>
            <w:vAlign w:val="bottom"/>
          </w:tcPr>
          <w:p>
            <w:pPr>
              <w:spacing w:after="0" w:line="12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244,738</w:t>
            </w:r>
          </w:p>
        </w:tc>
        <w:tc>
          <w:tcPr>
            <w:tcW w:w="180" w:type="dxa"/>
            <w:vAlign w:val="bottom"/>
          </w:tcPr>
          <w:p>
            <w:pPr>
              <w:spacing w:after="0" w:line="12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299,985</w:t>
            </w:r>
          </w:p>
        </w:tc>
        <w:tc>
          <w:tcPr>
            <w:tcW w:w="140" w:type="dxa"/>
            <w:vAlign w:val="bottom"/>
          </w:tcPr>
          <w:p>
            <w:pPr>
              <w:jc w:val="right"/>
              <w:spacing w:after="0" w:line="121" w:lineRule="exact"/>
              <w:rPr>
                <w:sz w:val="20"/>
                <w:szCs w:val="20"/>
                <w:color w:val="auto"/>
              </w:rPr>
            </w:pPr>
            <w:r>
              <w:rPr>
                <w:rFonts w:ascii="Arial" w:cs="Arial" w:eastAsia="Arial" w:hAnsi="Arial"/>
                <w:sz w:val="14"/>
                <w:szCs w:val="14"/>
                <w:color w:val="auto"/>
              </w:rPr>
              <w:t>​​​</w:t>
            </w:r>
          </w:p>
        </w:tc>
        <w:tc>
          <w:tcPr>
            <w:tcW w:w="440" w:type="dxa"/>
            <w:vAlign w:val="bottom"/>
          </w:tcPr>
          <w:p>
            <w:pPr>
              <w:ind w:left="80"/>
              <w:spacing w:after="0" w:line="121" w:lineRule="exact"/>
              <w:rPr>
                <w:sz w:val="20"/>
                <w:szCs w:val="20"/>
                <w:color w:val="auto"/>
              </w:rPr>
            </w:pPr>
            <w:r>
              <w:rPr>
                <w:rFonts w:ascii="Arial" w:cs="Arial" w:eastAsia="Arial" w:hAnsi="Arial"/>
                <w:sz w:val="9"/>
                <w:szCs w:val="9"/>
                <w:color w:val="auto"/>
              </w:rPr>
              <w:t xml:space="preserve">​ </w:t>
            </w:r>
            <w:r>
              <w:rPr>
                <w:rFonts w:ascii="Arial" w:cs="Arial" w:eastAsia="Arial" w:hAnsi="Arial"/>
                <w:sz w:val="14"/>
                <w:szCs w:val="14"/>
                <w:color w:val="auto"/>
                <w:vertAlign w:val="subscript"/>
              </w:rPr>
              <w:t>​</w:t>
            </w:r>
          </w:p>
        </w:tc>
        <w:tc>
          <w:tcPr>
            <w:tcW w:w="480" w:type="dxa"/>
            <w:vAlign w:val="bottom"/>
          </w:tcPr>
          <w:p>
            <w:pPr>
              <w:ind w:left="380"/>
              <w:spacing w:after="0" w:line="121" w:lineRule="exact"/>
              <w:rPr>
                <w:sz w:val="20"/>
                <w:szCs w:val="20"/>
                <w:color w:val="auto"/>
              </w:rPr>
            </w:pPr>
            <w:r>
              <w:rPr>
                <w:rFonts w:ascii="Arial" w:cs="Arial" w:eastAsia="Arial" w:hAnsi="Arial"/>
                <w:sz w:val="14"/>
                <w:szCs w:val="14"/>
                <w:color w:val="auto"/>
              </w:rPr>
              <w:t>​</w:t>
            </w:r>
          </w:p>
        </w:tc>
        <w:tc>
          <w:tcPr>
            <w:tcW w:w="220" w:type="dxa"/>
            <w:vAlign w:val="bottom"/>
          </w:tcPr>
          <w:p>
            <w:pPr>
              <w:ind w:left="20"/>
              <w:spacing w:after="0" w:line="121" w:lineRule="exact"/>
              <w:rPr>
                <w:sz w:val="20"/>
                <w:szCs w:val="20"/>
                <w:color w:val="auto"/>
              </w:rPr>
            </w:pPr>
            <w:r>
              <w:rPr>
                <w:rFonts w:ascii="Arial" w:cs="Arial" w:eastAsia="Arial" w:hAnsi="Arial"/>
                <w:sz w:val="14"/>
                <w:szCs w:val="14"/>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4"/>
                <w:szCs w:val="14"/>
                <w:color w:val="auto"/>
              </w:rPr>
              <w:t>​</w:t>
            </w:r>
          </w:p>
        </w:tc>
        <w:tc>
          <w:tcPr>
            <w:tcW w:w="1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145,346</w:t>
            </w:r>
          </w:p>
        </w:tc>
        <w:tc>
          <w:tcPr>
            <w:tcW w:w="220" w:type="dxa"/>
            <w:vAlign w:val="bottom"/>
          </w:tcPr>
          <w:p>
            <w:pPr>
              <w:jc w:val="center"/>
              <w:spacing w:after="0" w:line="121" w:lineRule="exact"/>
              <w:rPr>
                <w:sz w:val="20"/>
                <w:szCs w:val="20"/>
                <w:color w:val="auto"/>
              </w:rPr>
            </w:pPr>
            <w:r>
              <w:rPr>
                <w:rFonts w:ascii="Arial" w:cs="Arial" w:eastAsia="Arial" w:hAnsi="Arial"/>
                <w:sz w:val="14"/>
                <w:szCs w:val="14"/>
                <w:color w:val="auto"/>
              </w:rPr>
              <w:t>​​​​</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auto"/>
                <w:w w:val="99"/>
              </w:rPr>
              <w:t>​1,225,343</w:t>
            </w:r>
          </w:p>
        </w:tc>
        <w:tc>
          <w:tcPr>
            <w:tcW w:w="80" w:type="dxa"/>
            <w:vAlign w:val="bottom"/>
          </w:tcPr>
          <w:p>
            <w:pPr>
              <w:jc w:val="right"/>
              <w:spacing w:after="0" w:line="121"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2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74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Alan H. Arizumi</w:t>
            </w:r>
          </w:p>
        </w:tc>
        <w:tc>
          <w:tcPr>
            <w:tcW w:w="120" w:type="dxa"/>
            <w:vAlign w:val="bottom"/>
          </w:tcPr>
          <w:p>
            <w:pPr>
              <w:spacing w:after="0"/>
              <w:rPr>
                <w:sz w:val="12"/>
                <w:szCs w:val="12"/>
                <w:color w:val="auto"/>
              </w:rPr>
            </w:pPr>
          </w:p>
        </w:tc>
        <w:tc>
          <w:tcPr>
            <w:tcW w:w="400" w:type="dxa"/>
            <w:vAlign w:val="bottom"/>
          </w:tcPr>
          <w:p>
            <w:pPr>
              <w:ind w:left="80"/>
              <w:spacing w:after="0" w:line="139" w:lineRule="exact"/>
              <w:rPr>
                <w:sz w:val="20"/>
                <w:szCs w:val="20"/>
                <w:color w:val="auto"/>
              </w:rPr>
            </w:pPr>
            <w:r>
              <w:rPr>
                <w:rFonts w:ascii="Arial" w:cs="Arial" w:eastAsia="Arial" w:hAnsi="Arial"/>
                <w:sz w:val="14"/>
                <w:szCs w:val="14"/>
                <w:color w:val="auto"/>
                <w:w w:val="96"/>
              </w:rPr>
              <w:t>​2023</w:t>
            </w:r>
          </w:p>
        </w:tc>
        <w:tc>
          <w:tcPr>
            <w:tcW w:w="1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Vice Chairman, Wealth</w:t>
            </w:r>
          </w:p>
        </w:tc>
        <w:tc>
          <w:tcPr>
            <w:tcW w:w="120" w:type="dxa"/>
            <w:vAlign w:val="bottom"/>
          </w:tcPr>
          <w:p>
            <w:pPr>
              <w:spacing w:after="0"/>
              <w:rPr>
                <w:sz w:val="3"/>
                <w:szCs w:val="3"/>
                <w:color w:val="auto"/>
              </w:rPr>
            </w:pPr>
          </w:p>
        </w:tc>
        <w:tc>
          <w:tcPr>
            <w:tcW w:w="660" w:type="dxa"/>
            <w:vAlign w:val="bottom"/>
            <w:tcBorders>
              <w:bottom w:val="single" w:sz="8" w:color="7F7F7F"/>
            </w:tcBorders>
            <w:gridSpan w:val="3"/>
          </w:tcPr>
          <w:p>
            <w:pPr>
              <w:spacing w:after="0"/>
              <w:rPr>
                <w:sz w:val="3"/>
                <w:szCs w:val="3"/>
                <w:color w:val="auto"/>
              </w:rPr>
            </w:pPr>
          </w:p>
        </w:tc>
        <w:tc>
          <w:tcPr>
            <w:tcW w:w="880" w:type="dxa"/>
            <w:vAlign w:val="bottom"/>
            <w:tcBorders>
              <w:bottom w:val="single" w:sz="8" w:color="7F7F7F"/>
            </w:tcBorders>
            <w:gridSpan w:val="3"/>
          </w:tcPr>
          <w:p>
            <w:pPr>
              <w:spacing w:after="0"/>
              <w:rPr>
                <w:sz w:val="3"/>
                <w:szCs w:val="3"/>
                <w:color w:val="auto"/>
              </w:rPr>
            </w:pPr>
          </w:p>
        </w:tc>
        <w:tc>
          <w:tcPr>
            <w:tcW w:w="840" w:type="dxa"/>
            <w:vAlign w:val="bottom"/>
            <w:tcBorders>
              <w:bottom w:val="single" w:sz="8" w:color="7F7F7F"/>
            </w:tcBorders>
            <w:gridSpan w:val="3"/>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gridSpan w:val="2"/>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gridSpan w:val="3"/>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​2022</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88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518,073</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84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466,732</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gridSpan w:val="2"/>
          </w:tcPr>
          <w:p>
            <w:pPr>
              <w:jc w:val="right"/>
              <w:spacing w:after="0" w:line="169" w:lineRule="exact"/>
              <w:rPr>
                <w:sz w:val="20"/>
                <w:szCs w:val="20"/>
                <w:color w:val="auto"/>
              </w:rPr>
            </w:pPr>
            <w:r>
              <w:rPr>
                <w:rFonts w:ascii="Arial" w:cs="Arial" w:eastAsia="Arial" w:hAnsi="Arial"/>
                <w:sz w:val="11"/>
                <w:szCs w:val="11"/>
                <w:color w:val="auto"/>
              </w:rPr>
              <w:t>274,986</w:t>
            </w:r>
            <w:r>
              <w:rPr>
                <w:rFonts w:ascii="Arial" w:cs="Arial" w:eastAsia="Arial" w:hAnsi="Arial"/>
                <w:sz w:val="19"/>
                <w:szCs w:val="19"/>
                <w:color w:val="auto"/>
                <w:vertAlign w:val="superscript"/>
              </w:rPr>
              <w:t>​​​</w:t>
            </w:r>
          </w:p>
        </w:tc>
        <w:tc>
          <w:tcPr>
            <w:tcW w:w="440" w:type="dxa"/>
            <w:vAlign w:val="bottom"/>
          </w:tcPr>
          <w:p>
            <w:pPr>
              <w:ind w:left="8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135,250</w:t>
            </w:r>
          </w:p>
        </w:tc>
        <w:tc>
          <w:tcPr>
            <w:tcW w:w="960" w:type="dxa"/>
            <w:vAlign w:val="bottom"/>
            <w:gridSpan w:val="3"/>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​1,395,041</w:t>
            </w:r>
            <w:r>
              <w:rPr>
                <w:rFonts w:ascii="Arial" w:cs="Arial" w:eastAsia="Arial" w:hAnsi="Arial"/>
                <w:sz w:val="19"/>
                <w:szCs w:val="19"/>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Management Group</w:t>
            </w:r>
          </w:p>
        </w:tc>
        <w:tc>
          <w:tcPr>
            <w:tcW w:w="120" w:type="dxa"/>
            <w:vAlign w:val="bottom"/>
          </w:tcPr>
          <w:p>
            <w:pPr>
              <w:spacing w:after="0"/>
              <w:rPr>
                <w:sz w:val="5"/>
                <w:szCs w:val="5"/>
                <w:color w:val="auto"/>
              </w:rPr>
            </w:pPr>
          </w:p>
        </w:tc>
        <w:tc>
          <w:tcPr>
            <w:tcW w:w="4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8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4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120" w:type="dxa"/>
            <w:vAlign w:val="bottom"/>
            <w:tcBorders>
              <w:bottom w:val="single" w:sz="8" w:color="7F7F7F"/>
            </w:tcBorders>
          </w:tcPr>
          <w:p>
            <w:pPr>
              <w:spacing w:after="0"/>
              <w:rPr>
                <w:sz w:val="5"/>
                <w:szCs w:val="5"/>
                <w:color w:val="auto"/>
              </w:rPr>
            </w:pPr>
          </w:p>
        </w:tc>
        <w:tc>
          <w:tcPr>
            <w:tcW w:w="72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spacing w:after="0"/>
              <w:rPr>
                <w:sz w:val="5"/>
                <w:szCs w:val="5"/>
                <w:color w:val="auto"/>
              </w:rPr>
            </w:pPr>
          </w:p>
        </w:tc>
        <w:tc>
          <w:tcPr>
            <w:tcW w:w="660" w:type="dxa"/>
            <w:vAlign w:val="bottom"/>
            <w:tcBorders>
              <w:bottom w:val="single" w:sz="8" w:color="7F7F7F"/>
            </w:tcBorders>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1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​2021</w:t>
            </w: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8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auto"/>
              </w:rPr>
              <w:t>497,350</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gridSpan w:val="3"/>
            <w:vMerge w:val="restart"/>
          </w:tcPr>
          <w:p>
            <w:pPr>
              <w:jc w:val="right"/>
              <w:spacing w:after="0" w:line="236" w:lineRule="exact"/>
              <w:rPr>
                <w:sz w:val="20"/>
                <w:szCs w:val="20"/>
                <w:color w:val="auto"/>
              </w:rPr>
            </w:pPr>
            <w:r>
              <w:rPr>
                <w:rFonts w:ascii="Arial" w:cs="Arial" w:eastAsia="Arial" w:hAnsi="Arial"/>
                <w:sz w:val="14"/>
                <w:szCs w:val="14"/>
                <w:color w:val="auto"/>
              </w:rPr>
              <w:t>439,657</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720" w:type="dxa"/>
            <w:vAlign w:val="bottom"/>
            <w:gridSpan w:val="2"/>
            <w:vMerge w:val="restart"/>
          </w:tcPr>
          <w:p>
            <w:pPr>
              <w:jc w:val="right"/>
              <w:spacing w:after="0" w:line="236" w:lineRule="exact"/>
              <w:rPr>
                <w:sz w:val="20"/>
                <w:szCs w:val="20"/>
                <w:color w:val="auto"/>
              </w:rPr>
            </w:pPr>
            <w:r>
              <w:rPr>
                <w:rFonts w:ascii="Arial" w:cs="Arial" w:eastAsia="Arial" w:hAnsi="Arial"/>
                <w:sz w:val="14"/>
                <w:szCs w:val="14"/>
                <w:color w:val="auto"/>
              </w:rPr>
              <w:t>274,987</w:t>
            </w:r>
            <w:r>
              <w:rPr>
                <w:rFonts w:ascii="Arial" w:cs="Arial" w:eastAsia="Arial" w:hAnsi="Arial"/>
                <w:sz w:val="27"/>
                <w:szCs w:val="27"/>
                <w:color w:val="auto"/>
                <w:vertAlign w:val="superscript"/>
              </w:rPr>
              <w:t>​​​</w:t>
            </w:r>
          </w:p>
        </w:tc>
        <w:tc>
          <w:tcPr>
            <w:tcW w:w="440" w:type="dxa"/>
            <w:vAlign w:val="bottom"/>
            <w:vMerge w:val="restart"/>
          </w:tcPr>
          <w:p>
            <w:pPr>
              <w:ind w:left="8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4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ind w:left="10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113,451</w:t>
            </w:r>
          </w:p>
        </w:tc>
        <w:tc>
          <w:tcPr>
            <w:tcW w:w="960" w:type="dxa"/>
            <w:vAlign w:val="bottom"/>
            <w:gridSpan w:val="3"/>
            <w:vMerge w:val="restart"/>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​1,325,445</w:t>
            </w:r>
            <w:r>
              <w:rPr>
                <w:rFonts w:ascii="Arial" w:cs="Arial" w:eastAsia="Arial" w:hAnsi="Arial"/>
                <w:sz w:val="27"/>
                <w:szCs w:val="27"/>
                <w:color w:val="auto"/>
                <w:vertAlign w:val="superscript"/>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740" w:type="dxa"/>
            <w:vAlign w:val="bottom"/>
            <w:tcBorders>
              <w:bottom w:val="single" w:sz="8" w:color="BF5B5A"/>
            </w:tcBorders>
          </w:tcPr>
          <w:p>
            <w:pPr>
              <w:spacing w:after="0"/>
              <w:rPr>
                <w:sz w:val="11"/>
                <w:szCs w:val="11"/>
                <w:color w:val="auto"/>
              </w:rPr>
            </w:pPr>
          </w:p>
        </w:tc>
        <w:tc>
          <w:tcPr>
            <w:tcW w:w="120" w:type="dxa"/>
            <w:vAlign w:val="bottom"/>
            <w:tcBorders>
              <w:bottom w:val="single" w:sz="8" w:color="BF5B5A"/>
            </w:tcBorders>
          </w:tcPr>
          <w:p>
            <w:pPr>
              <w:spacing w:after="0"/>
              <w:rPr>
                <w:sz w:val="11"/>
                <w:szCs w:val="11"/>
                <w:color w:val="auto"/>
              </w:rPr>
            </w:pPr>
          </w:p>
        </w:tc>
        <w:tc>
          <w:tcPr>
            <w:tcW w:w="660" w:type="dxa"/>
            <w:vAlign w:val="bottom"/>
            <w:tcBorders>
              <w:bottom w:val="single" w:sz="8" w:color="BF5B5A"/>
            </w:tcBorders>
            <w:gridSpan w:val="3"/>
            <w:vMerge w:val="continue"/>
          </w:tcPr>
          <w:p>
            <w:pPr>
              <w:spacing w:after="0"/>
              <w:rPr>
                <w:sz w:val="11"/>
                <w:szCs w:val="11"/>
                <w:color w:val="auto"/>
              </w:rPr>
            </w:pPr>
          </w:p>
        </w:tc>
        <w:tc>
          <w:tcPr>
            <w:tcW w:w="880" w:type="dxa"/>
            <w:vAlign w:val="bottom"/>
            <w:tcBorders>
              <w:bottom w:val="single" w:sz="8" w:color="BF5B5A"/>
            </w:tcBorders>
            <w:gridSpan w:val="3"/>
            <w:vMerge w:val="continue"/>
          </w:tcPr>
          <w:p>
            <w:pPr>
              <w:spacing w:after="0"/>
              <w:rPr>
                <w:sz w:val="11"/>
                <w:szCs w:val="11"/>
                <w:color w:val="auto"/>
              </w:rPr>
            </w:pPr>
          </w:p>
        </w:tc>
        <w:tc>
          <w:tcPr>
            <w:tcW w:w="840" w:type="dxa"/>
            <w:vAlign w:val="bottom"/>
            <w:tcBorders>
              <w:bottom w:val="single" w:sz="8" w:color="BF5B5A"/>
            </w:tcBorders>
            <w:gridSpan w:val="3"/>
            <w:vMerge w:val="continue"/>
          </w:tcPr>
          <w:p>
            <w:pPr>
              <w:spacing w:after="0"/>
              <w:rPr>
                <w:sz w:val="11"/>
                <w:szCs w:val="11"/>
                <w:color w:val="auto"/>
              </w:rPr>
            </w:pPr>
          </w:p>
        </w:tc>
        <w:tc>
          <w:tcPr>
            <w:tcW w:w="720" w:type="dxa"/>
            <w:vAlign w:val="bottom"/>
            <w:tcBorders>
              <w:bottom w:val="single" w:sz="8" w:color="BF5B5A"/>
            </w:tcBorders>
            <w:gridSpan w:val="2"/>
            <w:vMerge w:val="continue"/>
          </w:tcPr>
          <w:p>
            <w:pPr>
              <w:spacing w:after="0"/>
              <w:rPr>
                <w:sz w:val="11"/>
                <w:szCs w:val="11"/>
                <w:color w:val="auto"/>
              </w:rPr>
            </w:pPr>
          </w:p>
        </w:tc>
        <w:tc>
          <w:tcPr>
            <w:tcW w:w="440" w:type="dxa"/>
            <w:vAlign w:val="bottom"/>
            <w:tcBorders>
              <w:bottom w:val="single" w:sz="8" w:color="BF5B5A"/>
            </w:tcBorders>
            <w:vMerge w:val="continue"/>
          </w:tcPr>
          <w:p>
            <w:pPr>
              <w:spacing w:after="0"/>
              <w:rPr>
                <w:sz w:val="11"/>
                <w:szCs w:val="11"/>
                <w:color w:val="auto"/>
              </w:rPr>
            </w:pPr>
          </w:p>
        </w:tc>
        <w:tc>
          <w:tcPr>
            <w:tcW w:w="480" w:type="dxa"/>
            <w:vAlign w:val="bottom"/>
            <w:tcBorders>
              <w:bottom w:val="single" w:sz="8" w:color="BF5B5A"/>
            </w:tcBorders>
            <w:vMerge w:val="continue"/>
          </w:tcPr>
          <w:p>
            <w:pPr>
              <w:spacing w:after="0"/>
              <w:rPr>
                <w:sz w:val="11"/>
                <w:szCs w:val="11"/>
                <w:color w:val="auto"/>
              </w:rPr>
            </w:pPr>
          </w:p>
        </w:tc>
        <w:tc>
          <w:tcPr>
            <w:tcW w:w="220" w:type="dxa"/>
            <w:vAlign w:val="bottom"/>
            <w:tcBorders>
              <w:bottom w:val="single" w:sz="8" w:color="BF5B5A"/>
            </w:tcBorders>
            <w:vMerge w:val="continue"/>
          </w:tcPr>
          <w:p>
            <w:pPr>
              <w:spacing w:after="0"/>
              <w:rPr>
                <w:sz w:val="11"/>
                <w:szCs w:val="11"/>
                <w:color w:val="auto"/>
              </w:rPr>
            </w:pPr>
          </w:p>
        </w:tc>
        <w:tc>
          <w:tcPr>
            <w:tcW w:w="260" w:type="dxa"/>
            <w:vAlign w:val="bottom"/>
            <w:tcBorders>
              <w:bottom w:val="single" w:sz="8" w:color="BF5B5A"/>
            </w:tcBorders>
            <w:gridSpan w:val="2"/>
            <w:vMerge w:val="continue"/>
          </w:tcPr>
          <w:p>
            <w:pPr>
              <w:spacing w:after="0"/>
              <w:rPr>
                <w:sz w:val="11"/>
                <w:szCs w:val="11"/>
                <w:color w:val="auto"/>
              </w:rPr>
            </w:pPr>
          </w:p>
        </w:tc>
        <w:tc>
          <w:tcPr>
            <w:tcW w:w="720" w:type="dxa"/>
            <w:vAlign w:val="bottom"/>
            <w:tcBorders>
              <w:bottom w:val="single" w:sz="8" w:color="BF5B5A"/>
            </w:tcBorders>
            <w:vMerge w:val="continue"/>
          </w:tcPr>
          <w:p>
            <w:pPr>
              <w:spacing w:after="0"/>
              <w:rPr>
                <w:sz w:val="11"/>
                <w:szCs w:val="11"/>
                <w:color w:val="auto"/>
              </w:rPr>
            </w:pPr>
          </w:p>
        </w:tc>
        <w:tc>
          <w:tcPr>
            <w:tcW w:w="960" w:type="dxa"/>
            <w:vAlign w:val="bottom"/>
            <w:tcBorders>
              <w:bottom w:val="single" w:sz="8" w:color="BF5B5A"/>
            </w:tcBorders>
            <w:gridSpan w:val="3"/>
            <w:vMerge w:val="continue"/>
          </w:tcPr>
          <w:p>
            <w:pPr>
              <w:spacing w:after="0"/>
              <w:rPr>
                <w:sz w:val="11"/>
                <w:szCs w:val="11"/>
                <w:color w:val="auto"/>
              </w:rPr>
            </w:pPr>
          </w:p>
        </w:tc>
        <w:tc>
          <w:tcPr>
            <w:tcW w:w="140" w:type="dxa"/>
            <w:vAlign w:val="bottom"/>
            <w:tcBorders>
              <w:bottom w:val="single" w:sz="8" w:color="BF5B5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Neill A. Char</w:t>
            </w:r>
          </w:p>
        </w:tc>
        <w:tc>
          <w:tcPr>
            <w:tcW w:w="780" w:type="dxa"/>
            <w:vAlign w:val="bottom"/>
            <w:gridSpan w:val="4"/>
          </w:tcPr>
          <w:p>
            <w:pPr>
              <w:jc w:val="right"/>
              <w:spacing w:after="0"/>
              <w:rPr>
                <w:sz w:val="20"/>
                <w:szCs w:val="20"/>
                <w:color w:val="auto"/>
              </w:rPr>
            </w:pPr>
            <w:r>
              <w:rPr>
                <w:rFonts w:ascii="Arial" w:cs="Arial" w:eastAsia="Arial" w:hAnsi="Arial"/>
                <w:sz w:val="14"/>
                <w:szCs w:val="14"/>
                <w:color w:val="auto"/>
              </w:rPr>
              <w:t>​​​2023​​​​ ​</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475,000​​​​ ​</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185,250​​​​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299,985​​​</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129,450</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 ​1,089,685​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740" w:type="dxa"/>
            <w:vAlign w:val="bottom"/>
          </w:tcPr>
          <w:p>
            <w:pPr>
              <w:ind w:left="200"/>
              <w:spacing w:after="0"/>
              <w:rPr>
                <w:sz w:val="20"/>
                <w:szCs w:val="20"/>
                <w:color w:val="auto"/>
              </w:rPr>
            </w:pPr>
            <w:r>
              <w:rPr>
                <w:rFonts w:ascii="Arial" w:cs="Arial" w:eastAsia="Arial" w:hAnsi="Arial"/>
                <w:sz w:val="14"/>
                <w:szCs w:val="14"/>
                <w:color w:val="auto"/>
              </w:rPr>
              <w:t>Vice Chairman, Retail and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200"/>
              <w:spacing w:after="0"/>
              <w:rPr>
                <w:sz w:val="20"/>
                <w:szCs w:val="20"/>
                <w:color w:val="auto"/>
              </w:rPr>
            </w:pPr>
            <w:r>
              <w:rPr>
                <w:rFonts w:ascii="Arial" w:cs="Arial" w:eastAsia="Arial" w:hAnsi="Arial"/>
                <w:sz w:val="14"/>
                <w:szCs w:val="14"/>
                <w:color w:val="auto"/>
              </w:rPr>
              <w:t>Commercial Banking Group</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740" w:type="dxa"/>
            <w:vAlign w:val="bottom"/>
            <w:tcBorders>
              <w:bottom w:val="single" w:sz="8" w:color="BF5B5A"/>
            </w:tcBorders>
          </w:tcPr>
          <w:p>
            <w:pPr>
              <w:spacing w:after="0"/>
              <w:rPr>
                <w:sz w:val="3"/>
                <w:szCs w:val="3"/>
                <w:color w:val="auto"/>
              </w:rPr>
            </w:pPr>
          </w:p>
        </w:tc>
        <w:tc>
          <w:tcPr>
            <w:tcW w:w="780" w:type="dxa"/>
            <w:vAlign w:val="bottom"/>
            <w:tcBorders>
              <w:bottom w:val="single" w:sz="8" w:color="BF5B5A"/>
            </w:tcBorders>
            <w:gridSpan w:val="4"/>
          </w:tcPr>
          <w:p>
            <w:pPr>
              <w:spacing w:after="0"/>
              <w:rPr>
                <w:sz w:val="3"/>
                <w:szCs w:val="3"/>
                <w:color w:val="auto"/>
              </w:rPr>
            </w:pPr>
          </w:p>
        </w:tc>
        <w:tc>
          <w:tcPr>
            <w:tcW w:w="880" w:type="dxa"/>
            <w:vAlign w:val="bottom"/>
            <w:tcBorders>
              <w:bottom w:val="single" w:sz="8" w:color="BF5B5A"/>
            </w:tcBorders>
            <w:gridSpan w:val="3"/>
          </w:tcPr>
          <w:p>
            <w:pPr>
              <w:spacing w:after="0"/>
              <w:rPr>
                <w:sz w:val="3"/>
                <w:szCs w:val="3"/>
                <w:color w:val="auto"/>
              </w:rPr>
            </w:pPr>
          </w:p>
        </w:tc>
        <w:tc>
          <w:tcPr>
            <w:tcW w:w="840" w:type="dxa"/>
            <w:vAlign w:val="bottom"/>
            <w:tcBorders>
              <w:bottom w:val="single" w:sz="8" w:color="BF5B5A"/>
            </w:tcBorders>
            <w:gridSpan w:val="3"/>
          </w:tcPr>
          <w:p>
            <w:pPr>
              <w:spacing w:after="0"/>
              <w:rPr>
                <w:sz w:val="3"/>
                <w:szCs w:val="3"/>
                <w:color w:val="auto"/>
              </w:rPr>
            </w:pPr>
          </w:p>
        </w:tc>
        <w:tc>
          <w:tcPr>
            <w:tcW w:w="720" w:type="dxa"/>
            <w:vAlign w:val="bottom"/>
            <w:tcBorders>
              <w:bottom w:val="single" w:sz="8" w:color="BF5B5A"/>
            </w:tcBorders>
            <w:gridSpan w:val="2"/>
          </w:tcPr>
          <w:p>
            <w:pPr>
              <w:spacing w:after="0"/>
              <w:rPr>
                <w:sz w:val="3"/>
                <w:szCs w:val="3"/>
                <w:color w:val="auto"/>
              </w:rPr>
            </w:pPr>
          </w:p>
        </w:tc>
        <w:tc>
          <w:tcPr>
            <w:tcW w:w="440" w:type="dxa"/>
            <w:vAlign w:val="bottom"/>
            <w:tcBorders>
              <w:bottom w:val="single" w:sz="8" w:color="BF5B5A"/>
            </w:tcBorders>
          </w:tcPr>
          <w:p>
            <w:pPr>
              <w:spacing w:after="0"/>
              <w:rPr>
                <w:sz w:val="3"/>
                <w:szCs w:val="3"/>
                <w:color w:val="auto"/>
              </w:rPr>
            </w:pPr>
          </w:p>
        </w:tc>
        <w:tc>
          <w:tcPr>
            <w:tcW w:w="480" w:type="dxa"/>
            <w:vAlign w:val="bottom"/>
            <w:tcBorders>
              <w:bottom w:val="single" w:sz="8" w:color="BF5B5A"/>
            </w:tcBorders>
          </w:tcPr>
          <w:p>
            <w:pPr>
              <w:spacing w:after="0"/>
              <w:rPr>
                <w:sz w:val="3"/>
                <w:szCs w:val="3"/>
                <w:color w:val="auto"/>
              </w:rPr>
            </w:pPr>
          </w:p>
        </w:tc>
        <w:tc>
          <w:tcPr>
            <w:tcW w:w="220" w:type="dxa"/>
            <w:vAlign w:val="bottom"/>
            <w:tcBorders>
              <w:bottom w:val="single" w:sz="8" w:color="BF5B5A"/>
            </w:tcBorders>
          </w:tcPr>
          <w:p>
            <w:pPr>
              <w:spacing w:after="0"/>
              <w:rPr>
                <w:sz w:val="3"/>
                <w:szCs w:val="3"/>
                <w:color w:val="auto"/>
              </w:rPr>
            </w:pPr>
          </w:p>
        </w:tc>
        <w:tc>
          <w:tcPr>
            <w:tcW w:w="980" w:type="dxa"/>
            <w:vAlign w:val="bottom"/>
            <w:tcBorders>
              <w:bottom w:val="single" w:sz="8" w:color="BF5B5A"/>
            </w:tcBorders>
            <w:gridSpan w:val="3"/>
          </w:tcPr>
          <w:p>
            <w:pPr>
              <w:spacing w:after="0"/>
              <w:rPr>
                <w:sz w:val="3"/>
                <w:szCs w:val="3"/>
                <w:color w:val="auto"/>
              </w:rPr>
            </w:pPr>
          </w:p>
        </w:tc>
        <w:tc>
          <w:tcPr>
            <w:tcW w:w="960" w:type="dxa"/>
            <w:vAlign w:val="bottom"/>
            <w:tcBorders>
              <w:bottom w:val="single" w:sz="8" w:color="BF5B5A"/>
            </w:tcBorders>
            <w:gridSpan w:val="3"/>
          </w:tcPr>
          <w:p>
            <w:pPr>
              <w:spacing w:after="0"/>
              <w:rPr>
                <w:sz w:val="3"/>
                <w:szCs w:val="3"/>
                <w:color w:val="auto"/>
              </w:rPr>
            </w:pPr>
          </w:p>
        </w:tc>
        <w:tc>
          <w:tcPr>
            <w:tcW w:w="140" w:type="dxa"/>
            <w:vAlign w:val="bottom"/>
            <w:tcBorders>
              <w:bottom w:val="single" w:sz="8" w:color="BF5B5A"/>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740" w:type="dxa"/>
            <w:vAlign w:val="bottom"/>
          </w:tcPr>
          <w:p>
            <w:pPr>
              <w:ind w:left="20"/>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b w:val="1"/>
                <w:bCs w:val="1"/>
                <w:color w:val="auto"/>
              </w:rPr>
              <w:t>Ralph M. Mesick</w:t>
            </w:r>
          </w:p>
        </w:tc>
        <w:tc>
          <w:tcPr>
            <w:tcW w:w="780" w:type="dxa"/>
            <w:vAlign w:val="bottom"/>
            <w:gridSpan w:val="4"/>
          </w:tcPr>
          <w:p>
            <w:pPr>
              <w:jc w:val="right"/>
              <w:spacing w:after="0" w:line="26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80" w:type="dxa"/>
            <w:vAlign w:val="bottom"/>
            <w:gridSpan w:val="3"/>
          </w:tcPr>
          <w:p>
            <w:pPr>
              <w:jc w:val="right"/>
              <w:spacing w:after="0" w:line="267" w:lineRule="exact"/>
              <w:rPr>
                <w:sz w:val="20"/>
                <w:szCs w:val="20"/>
                <w:color w:val="auto"/>
              </w:rPr>
            </w:pPr>
            <w:r>
              <w:rPr>
                <w:rFonts w:ascii="Arial" w:cs="Arial" w:eastAsia="Arial" w:hAnsi="Arial"/>
                <w:sz w:val="14"/>
                <w:szCs w:val="14"/>
                <w:color w:val="auto"/>
              </w:rPr>
              <w:t>223,947</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40" w:type="dxa"/>
            <w:vAlign w:val="bottom"/>
            <w:gridSpan w:val="3"/>
          </w:tcPr>
          <w:p>
            <w:pPr>
              <w:jc w:val="right"/>
              <w:spacing w:after="0" w:line="267" w:lineRule="exact"/>
              <w:rPr>
                <w:sz w:val="20"/>
                <w:szCs w:val="20"/>
                <w:color w:val="auto"/>
              </w:rPr>
            </w:pPr>
            <w:r>
              <w:rPr>
                <w:rFonts w:ascii="Arial" w:cs="Arial" w:eastAsia="Arial" w:hAnsi="Arial"/>
                <w:sz w:val="14"/>
                <w:szCs w:val="14"/>
                <w:color w:val="auto"/>
              </w:rPr>
              <w:t>79,122</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20" w:type="dxa"/>
            <w:vAlign w:val="bottom"/>
            <w:gridSpan w:val="2"/>
          </w:tcPr>
          <w:p>
            <w:pPr>
              <w:jc w:val="right"/>
              <w:spacing w:after="0" w:line="267" w:lineRule="exact"/>
              <w:rPr>
                <w:sz w:val="20"/>
                <w:szCs w:val="20"/>
                <w:color w:val="auto"/>
              </w:rPr>
            </w:pPr>
            <w:r>
              <w:rPr>
                <w:rFonts w:ascii="Arial" w:cs="Arial" w:eastAsia="Arial" w:hAnsi="Arial"/>
                <w:sz w:val="14"/>
                <w:szCs w:val="14"/>
                <w:color w:val="auto"/>
              </w:rPr>
              <w:t>424,982</w:t>
            </w:r>
            <w:r>
              <w:rPr>
                <w:rFonts w:ascii="Arial" w:cs="Arial" w:eastAsia="Arial" w:hAnsi="Arial"/>
                <w:sz w:val="28"/>
                <w:szCs w:val="28"/>
                <w:color w:val="auto"/>
                <w:vertAlign w:val="superscript"/>
              </w:rPr>
              <w:t>​​​</w:t>
            </w:r>
          </w:p>
        </w:tc>
        <w:tc>
          <w:tcPr>
            <w:tcW w:w="440" w:type="dxa"/>
            <w:vAlign w:val="bottom"/>
          </w:tcPr>
          <w:p>
            <w:pPr>
              <w:ind w:left="80"/>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8"/>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​1,224,837</w:t>
            </w:r>
          </w:p>
        </w:tc>
        <w:tc>
          <w:tcPr>
            <w:tcW w:w="960" w:type="dxa"/>
            <w:vAlign w:val="bottom"/>
            <w:gridSpan w:val="3"/>
          </w:tcPr>
          <w:p>
            <w:pPr>
              <w:jc w:val="right"/>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​1,952,888</w:t>
            </w:r>
            <w:r>
              <w:rPr>
                <w:rFonts w:ascii="Arial" w:cs="Arial" w:eastAsia="Arial" w:hAnsi="Arial"/>
                <w:sz w:val="28"/>
                <w:szCs w:val="28"/>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Former Vice Chairman, Interim Chief</w:t>
            </w:r>
          </w:p>
        </w:tc>
        <w:tc>
          <w:tcPr>
            <w:tcW w:w="120" w:type="dxa"/>
            <w:vAlign w:val="bottom"/>
          </w:tcPr>
          <w:p>
            <w:pPr>
              <w:spacing w:after="0"/>
              <w:rPr>
                <w:sz w:val="3"/>
                <w:szCs w:val="3"/>
                <w:color w:val="auto"/>
              </w:rPr>
            </w:pPr>
          </w:p>
        </w:tc>
        <w:tc>
          <w:tcPr>
            <w:tcW w:w="660" w:type="dxa"/>
            <w:vAlign w:val="bottom"/>
            <w:tcBorders>
              <w:bottom w:val="single" w:sz="8" w:color="7F7F7F"/>
            </w:tcBorders>
            <w:gridSpan w:val="3"/>
          </w:tcPr>
          <w:p>
            <w:pPr>
              <w:spacing w:after="0"/>
              <w:rPr>
                <w:sz w:val="3"/>
                <w:szCs w:val="3"/>
                <w:color w:val="auto"/>
              </w:rPr>
            </w:pPr>
          </w:p>
        </w:tc>
        <w:tc>
          <w:tcPr>
            <w:tcW w:w="880" w:type="dxa"/>
            <w:vAlign w:val="bottom"/>
            <w:tcBorders>
              <w:bottom w:val="single" w:sz="8" w:color="7F7F7F"/>
            </w:tcBorders>
            <w:gridSpan w:val="3"/>
          </w:tcPr>
          <w:p>
            <w:pPr>
              <w:spacing w:after="0"/>
              <w:rPr>
                <w:sz w:val="3"/>
                <w:szCs w:val="3"/>
                <w:color w:val="auto"/>
              </w:rPr>
            </w:pPr>
          </w:p>
        </w:tc>
        <w:tc>
          <w:tcPr>
            <w:tcW w:w="840" w:type="dxa"/>
            <w:vAlign w:val="bottom"/>
            <w:tcBorders>
              <w:bottom w:val="single" w:sz="8" w:color="7F7F7F"/>
            </w:tcBorders>
            <w:gridSpan w:val="3"/>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2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gridSpan w:val="2"/>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​2022</w:t>
            </w: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88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679,167</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84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520,878</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gridSpan w:val="2"/>
          </w:tcPr>
          <w:p>
            <w:pPr>
              <w:jc w:val="right"/>
              <w:spacing w:after="0" w:line="169" w:lineRule="exact"/>
              <w:rPr>
                <w:sz w:val="20"/>
                <w:szCs w:val="20"/>
                <w:color w:val="auto"/>
              </w:rPr>
            </w:pPr>
            <w:r>
              <w:rPr>
                <w:rFonts w:ascii="Arial" w:cs="Arial" w:eastAsia="Arial" w:hAnsi="Arial"/>
                <w:sz w:val="11"/>
                <w:szCs w:val="11"/>
                <w:color w:val="auto"/>
              </w:rPr>
              <w:t>499,975</w:t>
            </w:r>
            <w:r>
              <w:rPr>
                <w:rFonts w:ascii="Arial" w:cs="Arial" w:eastAsia="Arial" w:hAnsi="Arial"/>
                <w:sz w:val="19"/>
                <w:szCs w:val="19"/>
                <w:color w:val="auto"/>
                <w:vertAlign w:val="superscript"/>
              </w:rPr>
              <w:t>​​​</w:t>
            </w:r>
          </w:p>
        </w:tc>
        <w:tc>
          <w:tcPr>
            <w:tcW w:w="440" w:type="dxa"/>
            <w:vAlign w:val="bottom"/>
          </w:tcPr>
          <w:p>
            <w:pPr>
              <w:ind w:left="8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118,770</w:t>
            </w:r>
          </w:p>
        </w:tc>
        <w:tc>
          <w:tcPr>
            <w:tcW w:w="1100" w:type="dxa"/>
            <w:vAlign w:val="bottom"/>
            <w:gridSpan w:val="4"/>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​1,818,790</w:t>
            </w:r>
            <w:r>
              <w:rPr>
                <w:rFonts w:ascii="Arial" w:cs="Arial" w:eastAsia="Arial" w:hAnsi="Arial"/>
                <w:sz w:val="19"/>
                <w:szCs w:val="19"/>
                <w:color w:val="auto"/>
                <w:vertAlign w:val="superscript"/>
              </w:rPr>
              <w:t>​ ​</w:t>
            </w:r>
          </w:p>
        </w:tc>
        <w:tc>
          <w:tcPr>
            <w:tcW w:w="0" w:type="dxa"/>
            <w:vAlign w:val="bottom"/>
          </w:tcPr>
          <w:p>
            <w:pPr>
              <w:spacing w:after="0"/>
              <w:rPr>
                <w:sz w:val="1"/>
                <w:szCs w:val="1"/>
                <w:color w:val="auto"/>
              </w:rPr>
            </w:pPr>
          </w:p>
        </w:tc>
      </w:tr>
      <w:tr>
        <w:trPr>
          <w:trHeight w:val="81"/>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Financial Officer, Finance Group and</w:t>
            </w:r>
          </w:p>
        </w:tc>
        <w:tc>
          <w:tcPr>
            <w:tcW w:w="120" w:type="dxa"/>
            <w:vAlign w:val="bottom"/>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60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56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440" w:type="dxa"/>
            <w:vAlign w:val="bottom"/>
            <w:tcBorders>
              <w:bottom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12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jc w:val="right"/>
              <w:spacing w:after="0" w:line="254"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​2021</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80" w:type="dxa"/>
            <w:vAlign w:val="bottom"/>
            <w:gridSpan w:val="3"/>
            <w:vMerge w:val="restart"/>
          </w:tcPr>
          <w:p>
            <w:pPr>
              <w:jc w:val="right"/>
              <w:spacing w:after="0" w:line="254" w:lineRule="exact"/>
              <w:rPr>
                <w:sz w:val="20"/>
                <w:szCs w:val="20"/>
                <w:color w:val="auto"/>
              </w:rPr>
            </w:pPr>
            <w:r>
              <w:rPr>
                <w:rFonts w:ascii="Arial" w:cs="Arial" w:eastAsia="Arial" w:hAnsi="Arial"/>
                <w:sz w:val="14"/>
                <w:szCs w:val="14"/>
                <w:color w:val="auto"/>
              </w:rPr>
              <w:t>425,000</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40" w:type="dxa"/>
            <w:vAlign w:val="bottom"/>
            <w:gridSpan w:val="3"/>
            <w:vMerge w:val="restart"/>
          </w:tcPr>
          <w:p>
            <w:pPr>
              <w:jc w:val="right"/>
              <w:spacing w:after="0" w:line="254" w:lineRule="exact"/>
              <w:rPr>
                <w:sz w:val="20"/>
                <w:szCs w:val="20"/>
                <w:color w:val="auto"/>
              </w:rPr>
            </w:pPr>
            <w:r>
              <w:rPr>
                <w:rFonts w:ascii="Arial" w:cs="Arial" w:eastAsia="Arial" w:hAnsi="Arial"/>
                <w:sz w:val="14"/>
                <w:szCs w:val="14"/>
                <w:color w:val="auto"/>
              </w:rPr>
              <w:t>370,175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20" w:type="dxa"/>
            <w:vAlign w:val="bottom"/>
            <w:gridSpan w:val="2"/>
            <w:vMerge w:val="restart"/>
          </w:tcPr>
          <w:p>
            <w:pPr>
              <w:jc w:val="right"/>
              <w:spacing w:after="0" w:line="254" w:lineRule="exact"/>
              <w:rPr>
                <w:sz w:val="20"/>
                <w:szCs w:val="20"/>
                <w:color w:val="auto"/>
              </w:rPr>
            </w:pPr>
            <w:r>
              <w:rPr>
                <w:rFonts w:ascii="Arial" w:cs="Arial" w:eastAsia="Arial" w:hAnsi="Arial"/>
                <w:sz w:val="14"/>
                <w:szCs w:val="14"/>
                <w:color w:val="auto"/>
              </w:rPr>
              <w:t>499,975</w:t>
            </w:r>
            <w:r>
              <w:rPr>
                <w:rFonts w:ascii="Arial" w:cs="Arial" w:eastAsia="Arial" w:hAnsi="Arial"/>
                <w:sz w:val="28"/>
                <w:szCs w:val="28"/>
                <w:color w:val="auto"/>
                <w:vertAlign w:val="superscript"/>
              </w:rPr>
              <w:t>​​​</w:t>
            </w:r>
          </w:p>
        </w:tc>
        <w:tc>
          <w:tcPr>
            <w:tcW w:w="440" w:type="dxa"/>
            <w:vAlign w:val="bottom"/>
            <w:vMerge w:val="restart"/>
          </w:tcPr>
          <w:p>
            <w:pPr>
              <w:ind w:left="80"/>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8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tcPr>
          <w:p>
            <w:pPr>
              <w:ind w:left="100"/>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81,769</w:t>
            </w:r>
          </w:p>
        </w:tc>
        <w:tc>
          <w:tcPr>
            <w:tcW w:w="1100" w:type="dxa"/>
            <w:vAlign w:val="bottom"/>
            <w:gridSpan w:val="4"/>
            <w:vMerge w:val="restart"/>
          </w:tcPr>
          <w:p>
            <w:pPr>
              <w:jc w:val="right"/>
              <w:spacing w:after="0" w:line="25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​1,376,919</w:t>
            </w:r>
            <w:r>
              <w:rPr>
                <w:rFonts w:ascii="Arial" w:cs="Arial" w:eastAsia="Arial" w:hAnsi="Arial"/>
                <w:sz w:val="28"/>
                <w:szCs w:val="28"/>
                <w:color w:val="auto"/>
                <w:vertAlign w:val="superscript"/>
              </w:rPr>
              <w:t>​ ​</w:t>
            </w:r>
          </w:p>
        </w:tc>
        <w:tc>
          <w:tcPr>
            <w:tcW w:w="0" w:type="dxa"/>
            <w:vAlign w:val="bottom"/>
          </w:tcPr>
          <w:p>
            <w:pPr>
              <w:spacing w:after="0"/>
              <w:rPr>
                <w:sz w:val="1"/>
                <w:szCs w:val="1"/>
                <w:color w:val="auto"/>
              </w:rPr>
            </w:pPr>
          </w:p>
        </w:tc>
      </w:tr>
      <w:tr>
        <w:trPr>
          <w:trHeight w:val="189"/>
        </w:trPr>
        <w:tc>
          <w:tcPr>
            <w:tcW w:w="2740" w:type="dxa"/>
            <w:vAlign w:val="bottom"/>
          </w:tcPr>
          <w:p>
            <w:pPr>
              <w:ind w:left="200"/>
              <w:spacing w:after="0"/>
              <w:rPr>
                <w:sz w:val="20"/>
                <w:szCs w:val="20"/>
                <w:color w:val="auto"/>
              </w:rPr>
            </w:pPr>
            <w:r>
              <w:rPr>
                <w:rFonts w:ascii="Arial" w:cs="Arial" w:eastAsia="Arial" w:hAnsi="Arial"/>
                <w:sz w:val="14"/>
                <w:szCs w:val="14"/>
                <w:color w:val="auto"/>
              </w:rPr>
              <w:t>Chief Risk Officer, Risk Management</w:t>
            </w:r>
          </w:p>
        </w:tc>
        <w:tc>
          <w:tcPr>
            <w:tcW w:w="12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740" w:type="dxa"/>
            <w:vAlign w:val="bottom"/>
          </w:tcPr>
          <w:p>
            <w:pPr>
              <w:ind w:left="200"/>
              <w:spacing w:after="0"/>
              <w:rPr>
                <w:sz w:val="20"/>
                <w:szCs w:val="20"/>
                <w:color w:val="auto"/>
              </w:rPr>
            </w:pPr>
            <w:r>
              <w:rPr>
                <w:rFonts w:ascii="Arial" w:cs="Arial" w:eastAsia="Arial" w:hAnsi="Arial"/>
                <w:sz w:val="14"/>
                <w:szCs w:val="14"/>
                <w:color w:val="auto"/>
              </w:rPr>
              <w:t>Group</w:t>
            </w:r>
            <w:r>
              <w:rPr>
                <w:rFonts w:ascii="Arial" w:cs="Arial" w:eastAsia="Arial" w:hAnsi="Arial"/>
                <w:sz w:val="17"/>
                <w:szCs w:val="17"/>
                <w:color w:val="auto"/>
                <w:vertAlign w:val="superscript"/>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740" w:type="dxa"/>
            <w:vAlign w:val="bottom"/>
            <w:tcBorders>
              <w:bottom w:val="single" w:sz="8" w:color="BF5B5A"/>
            </w:tcBorders>
          </w:tcPr>
          <w:p>
            <w:pPr>
              <w:spacing w:after="0"/>
              <w:rPr>
                <w:sz w:val="2"/>
                <w:szCs w:val="2"/>
                <w:color w:val="auto"/>
              </w:rPr>
            </w:pPr>
          </w:p>
        </w:tc>
        <w:tc>
          <w:tcPr>
            <w:tcW w:w="780" w:type="dxa"/>
            <w:vAlign w:val="bottom"/>
            <w:tcBorders>
              <w:bottom w:val="single" w:sz="8" w:color="BF5B5A"/>
            </w:tcBorders>
            <w:gridSpan w:val="4"/>
          </w:tcPr>
          <w:p>
            <w:pPr>
              <w:spacing w:after="0"/>
              <w:rPr>
                <w:sz w:val="2"/>
                <w:szCs w:val="2"/>
                <w:color w:val="auto"/>
              </w:rPr>
            </w:pPr>
          </w:p>
        </w:tc>
        <w:tc>
          <w:tcPr>
            <w:tcW w:w="880" w:type="dxa"/>
            <w:vAlign w:val="bottom"/>
            <w:tcBorders>
              <w:bottom w:val="single" w:sz="8" w:color="BF5B5A"/>
            </w:tcBorders>
            <w:gridSpan w:val="3"/>
          </w:tcPr>
          <w:p>
            <w:pPr>
              <w:spacing w:after="0"/>
              <w:rPr>
                <w:sz w:val="2"/>
                <w:szCs w:val="2"/>
                <w:color w:val="auto"/>
              </w:rPr>
            </w:pPr>
          </w:p>
        </w:tc>
        <w:tc>
          <w:tcPr>
            <w:tcW w:w="840" w:type="dxa"/>
            <w:vAlign w:val="bottom"/>
            <w:tcBorders>
              <w:bottom w:val="single" w:sz="8" w:color="BF5B5A"/>
            </w:tcBorders>
            <w:gridSpan w:val="3"/>
          </w:tcPr>
          <w:p>
            <w:pPr>
              <w:spacing w:after="0"/>
              <w:rPr>
                <w:sz w:val="2"/>
                <w:szCs w:val="2"/>
                <w:color w:val="auto"/>
              </w:rPr>
            </w:pPr>
          </w:p>
        </w:tc>
        <w:tc>
          <w:tcPr>
            <w:tcW w:w="720" w:type="dxa"/>
            <w:vAlign w:val="bottom"/>
            <w:tcBorders>
              <w:bottom w:val="single" w:sz="8" w:color="BF5B5A"/>
            </w:tcBorders>
            <w:gridSpan w:val="2"/>
          </w:tcPr>
          <w:p>
            <w:pPr>
              <w:spacing w:after="0"/>
              <w:rPr>
                <w:sz w:val="2"/>
                <w:szCs w:val="2"/>
                <w:color w:val="auto"/>
              </w:rPr>
            </w:pPr>
          </w:p>
        </w:tc>
        <w:tc>
          <w:tcPr>
            <w:tcW w:w="440" w:type="dxa"/>
            <w:vAlign w:val="bottom"/>
            <w:tcBorders>
              <w:bottom w:val="single" w:sz="8" w:color="BF5B5A"/>
            </w:tcBorders>
          </w:tcPr>
          <w:p>
            <w:pPr>
              <w:spacing w:after="0"/>
              <w:rPr>
                <w:sz w:val="2"/>
                <w:szCs w:val="2"/>
                <w:color w:val="auto"/>
              </w:rPr>
            </w:pPr>
          </w:p>
        </w:tc>
        <w:tc>
          <w:tcPr>
            <w:tcW w:w="480" w:type="dxa"/>
            <w:vAlign w:val="bottom"/>
            <w:tcBorders>
              <w:bottom w:val="single" w:sz="8" w:color="BF5B5A"/>
            </w:tcBorders>
          </w:tcPr>
          <w:p>
            <w:pPr>
              <w:spacing w:after="0"/>
              <w:rPr>
                <w:sz w:val="2"/>
                <w:szCs w:val="2"/>
                <w:color w:val="auto"/>
              </w:rPr>
            </w:pPr>
          </w:p>
        </w:tc>
        <w:tc>
          <w:tcPr>
            <w:tcW w:w="220" w:type="dxa"/>
            <w:vAlign w:val="bottom"/>
            <w:tcBorders>
              <w:bottom w:val="single" w:sz="8" w:color="BF5B5A"/>
            </w:tcBorders>
          </w:tcPr>
          <w:p>
            <w:pPr>
              <w:spacing w:after="0"/>
              <w:rPr>
                <w:sz w:val="2"/>
                <w:szCs w:val="2"/>
                <w:color w:val="auto"/>
              </w:rPr>
            </w:pPr>
          </w:p>
        </w:tc>
        <w:tc>
          <w:tcPr>
            <w:tcW w:w="260" w:type="dxa"/>
            <w:vAlign w:val="bottom"/>
            <w:tcBorders>
              <w:bottom w:val="single" w:sz="8" w:color="BF5B5A"/>
            </w:tcBorders>
            <w:gridSpan w:val="2"/>
          </w:tcPr>
          <w:p>
            <w:pPr>
              <w:spacing w:after="0"/>
              <w:rPr>
                <w:sz w:val="2"/>
                <w:szCs w:val="2"/>
                <w:color w:val="auto"/>
              </w:rPr>
            </w:pPr>
          </w:p>
        </w:tc>
        <w:tc>
          <w:tcPr>
            <w:tcW w:w="720" w:type="dxa"/>
            <w:vAlign w:val="bottom"/>
            <w:tcBorders>
              <w:bottom w:val="single" w:sz="8" w:color="BF5B5A"/>
            </w:tcBorders>
          </w:tcPr>
          <w:p>
            <w:pPr>
              <w:spacing w:after="0"/>
              <w:rPr>
                <w:sz w:val="2"/>
                <w:szCs w:val="2"/>
                <w:color w:val="auto"/>
              </w:rPr>
            </w:pPr>
          </w:p>
        </w:tc>
        <w:tc>
          <w:tcPr>
            <w:tcW w:w="960" w:type="dxa"/>
            <w:vAlign w:val="bottom"/>
            <w:tcBorders>
              <w:bottom w:val="single" w:sz="8" w:color="BF5B5A"/>
            </w:tcBorders>
            <w:gridSpan w:val="3"/>
          </w:tcPr>
          <w:p>
            <w:pPr>
              <w:spacing w:after="0"/>
              <w:rPr>
                <w:sz w:val="2"/>
                <w:szCs w:val="2"/>
                <w:color w:val="auto"/>
              </w:rPr>
            </w:pPr>
          </w:p>
        </w:tc>
        <w:tc>
          <w:tcPr>
            <w:tcW w:w="140" w:type="dxa"/>
            <w:vAlign w:val="bottom"/>
            <w:tcBorders>
              <w:bottom w:val="single" w:sz="8" w:color="BF5B5A"/>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740" w:type="dxa"/>
            <w:vAlign w:val="bottom"/>
          </w:tcPr>
          <w:p>
            <w:pPr>
              <w:ind w:left="20"/>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b w:val="1"/>
                <w:bCs w:val="1"/>
                <w:color w:val="auto"/>
              </w:rPr>
              <w:t>Lance A. Mizumoto</w:t>
            </w:r>
          </w:p>
        </w:tc>
        <w:tc>
          <w:tcPr>
            <w:tcW w:w="780" w:type="dxa"/>
            <w:vAlign w:val="bottom"/>
            <w:gridSpan w:val="4"/>
          </w:tcPr>
          <w:p>
            <w:pPr>
              <w:jc w:val="right"/>
              <w:spacing w:after="0" w:line="26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​2023</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80" w:type="dxa"/>
            <w:vAlign w:val="bottom"/>
            <w:gridSpan w:val="3"/>
          </w:tcPr>
          <w:p>
            <w:pPr>
              <w:jc w:val="right"/>
              <w:spacing w:after="0" w:line="267" w:lineRule="exact"/>
              <w:rPr>
                <w:sz w:val="20"/>
                <w:szCs w:val="20"/>
                <w:color w:val="auto"/>
              </w:rPr>
            </w:pPr>
            <w:r>
              <w:rPr>
                <w:rFonts w:ascii="Arial" w:cs="Arial" w:eastAsia="Arial" w:hAnsi="Arial"/>
                <w:sz w:val="14"/>
                <w:szCs w:val="14"/>
                <w:color w:val="auto"/>
              </w:rPr>
              <w:t>345,445</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840" w:type="dxa"/>
            <w:vAlign w:val="bottom"/>
            <w:gridSpan w:val="3"/>
          </w:tcPr>
          <w:p>
            <w:pPr>
              <w:jc w:val="right"/>
              <w:spacing w:after="0" w:line="267" w:lineRule="exact"/>
              <w:rPr>
                <w:sz w:val="20"/>
                <w:szCs w:val="20"/>
                <w:color w:val="auto"/>
              </w:rPr>
            </w:pPr>
            <w:r>
              <w:rPr>
                <w:rFonts w:ascii="Arial" w:cs="Arial" w:eastAsia="Arial" w:hAnsi="Arial"/>
                <w:sz w:val="14"/>
                <w:szCs w:val="14"/>
                <w:color w:val="auto"/>
              </w:rPr>
              <w:t>123,419</w:t>
            </w: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720" w:type="dxa"/>
            <w:vAlign w:val="bottom"/>
            <w:gridSpan w:val="2"/>
          </w:tcPr>
          <w:p>
            <w:pPr>
              <w:jc w:val="right"/>
              <w:spacing w:after="0" w:line="267" w:lineRule="exact"/>
              <w:rPr>
                <w:sz w:val="20"/>
                <w:szCs w:val="20"/>
                <w:color w:val="auto"/>
              </w:rPr>
            </w:pPr>
            <w:r>
              <w:rPr>
                <w:rFonts w:ascii="Arial" w:cs="Arial" w:eastAsia="Arial" w:hAnsi="Arial"/>
                <w:sz w:val="14"/>
                <w:szCs w:val="14"/>
                <w:color w:val="auto"/>
              </w:rPr>
              <w:t>324,995</w:t>
            </w:r>
            <w:r>
              <w:rPr>
                <w:rFonts w:ascii="Arial" w:cs="Arial" w:eastAsia="Arial" w:hAnsi="Arial"/>
                <w:sz w:val="28"/>
                <w:szCs w:val="28"/>
                <w:color w:val="auto"/>
                <w:vertAlign w:val="superscript"/>
              </w:rPr>
              <w:t>​​​</w:t>
            </w:r>
          </w:p>
        </w:tc>
        <w:tc>
          <w:tcPr>
            <w:tcW w:w="440" w:type="dxa"/>
            <w:vAlign w:val="bottom"/>
          </w:tcPr>
          <w:p>
            <w:pPr>
              <w:ind w:left="80"/>
              <w:spacing w:after="0" w:line="26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26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955,285</w:t>
            </w:r>
          </w:p>
        </w:tc>
        <w:tc>
          <w:tcPr>
            <w:tcW w:w="960" w:type="dxa"/>
            <w:vAlign w:val="bottom"/>
            <w:gridSpan w:val="3"/>
          </w:tcPr>
          <w:p>
            <w:pPr>
              <w:jc w:val="right"/>
              <w:spacing w:after="0" w:line="26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​1,749,144</w:t>
            </w:r>
            <w:r>
              <w:rPr>
                <w:rFonts w:ascii="Arial" w:cs="Arial" w:eastAsia="Arial" w:hAnsi="Arial"/>
                <w:sz w:val="28"/>
                <w:szCs w:val="28"/>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2740" w:type="dxa"/>
            <w:vAlign w:val="bottom"/>
            <w:vMerge w:val="restart"/>
          </w:tcPr>
          <w:p>
            <w:pPr>
              <w:ind w:left="200"/>
              <w:spacing w:after="0"/>
              <w:rPr>
                <w:sz w:val="20"/>
                <w:szCs w:val="20"/>
                <w:color w:val="auto"/>
              </w:rPr>
            </w:pPr>
            <w:r>
              <w:rPr>
                <w:rFonts w:ascii="Arial" w:cs="Arial" w:eastAsia="Arial" w:hAnsi="Arial"/>
                <w:sz w:val="14"/>
                <w:szCs w:val="14"/>
                <w:color w:val="auto"/>
              </w:rPr>
              <w:t>Former Vice Chairman and Chief</w:t>
            </w:r>
          </w:p>
        </w:tc>
        <w:tc>
          <w:tcPr>
            <w:tcW w:w="120" w:type="dxa"/>
            <w:vAlign w:val="bottom"/>
          </w:tcPr>
          <w:p>
            <w:pPr>
              <w:spacing w:after="0"/>
              <w:rPr>
                <w:sz w:val="4"/>
                <w:szCs w:val="4"/>
                <w:color w:val="auto"/>
              </w:rPr>
            </w:pPr>
          </w:p>
        </w:tc>
        <w:tc>
          <w:tcPr>
            <w:tcW w:w="660" w:type="dxa"/>
            <w:vAlign w:val="bottom"/>
            <w:tcBorders>
              <w:bottom w:val="single" w:sz="8" w:color="7F7F7F"/>
            </w:tcBorders>
            <w:gridSpan w:val="3"/>
          </w:tcPr>
          <w:p>
            <w:pPr>
              <w:spacing w:after="0"/>
              <w:rPr>
                <w:sz w:val="4"/>
                <w:szCs w:val="4"/>
                <w:color w:val="auto"/>
              </w:rPr>
            </w:pPr>
          </w:p>
        </w:tc>
        <w:tc>
          <w:tcPr>
            <w:tcW w:w="880" w:type="dxa"/>
            <w:vAlign w:val="bottom"/>
            <w:tcBorders>
              <w:bottom w:val="single" w:sz="8" w:color="7F7F7F"/>
            </w:tcBorders>
            <w:gridSpan w:val="3"/>
          </w:tcPr>
          <w:p>
            <w:pPr>
              <w:spacing w:after="0"/>
              <w:rPr>
                <w:sz w:val="4"/>
                <w:szCs w:val="4"/>
                <w:color w:val="auto"/>
              </w:rPr>
            </w:pPr>
          </w:p>
        </w:tc>
        <w:tc>
          <w:tcPr>
            <w:tcW w:w="840" w:type="dxa"/>
            <w:vAlign w:val="bottom"/>
            <w:tcBorders>
              <w:bottom w:val="single" w:sz="8" w:color="7F7F7F"/>
            </w:tcBorders>
            <w:gridSpan w:val="3"/>
          </w:tcPr>
          <w:p>
            <w:pPr>
              <w:spacing w:after="0"/>
              <w:rPr>
                <w:sz w:val="4"/>
                <w:szCs w:val="4"/>
                <w:color w:val="auto"/>
              </w:rPr>
            </w:pPr>
          </w:p>
        </w:tc>
        <w:tc>
          <w:tcPr>
            <w:tcW w:w="720" w:type="dxa"/>
            <w:vAlign w:val="bottom"/>
            <w:tcBorders>
              <w:bottom w:val="single" w:sz="8" w:color="7F7F7F"/>
            </w:tcBorders>
            <w:gridSpan w:val="2"/>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gridSpan w:val="2"/>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​2022</w:t>
            </w: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88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451,563</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840" w:type="dxa"/>
            <w:vAlign w:val="bottom"/>
            <w:gridSpan w:val="3"/>
          </w:tcPr>
          <w:p>
            <w:pPr>
              <w:jc w:val="right"/>
              <w:spacing w:after="0" w:line="169" w:lineRule="exact"/>
              <w:rPr>
                <w:sz w:val="20"/>
                <w:szCs w:val="20"/>
                <w:color w:val="auto"/>
              </w:rPr>
            </w:pPr>
            <w:r>
              <w:rPr>
                <w:rFonts w:ascii="Arial" w:cs="Arial" w:eastAsia="Arial" w:hAnsi="Arial"/>
                <w:sz w:val="11"/>
                <w:szCs w:val="11"/>
                <w:color w:val="auto"/>
              </w:rPr>
              <w:t>371,309</w:t>
            </w:r>
            <w:r>
              <w:rPr>
                <w:rFonts w:ascii="Arial" w:cs="Arial" w:eastAsia="Arial" w:hAnsi="Arial"/>
                <w:sz w:val="19"/>
                <w:szCs w:val="19"/>
                <w:color w:val="auto"/>
                <w:vertAlign w:val="superscript"/>
              </w:rPr>
              <w:t>​​​​</w:t>
            </w:r>
            <w:r>
              <w:rPr>
                <w:rFonts w:ascii="Arial" w:cs="Arial" w:eastAsia="Arial" w:hAnsi="Arial"/>
                <w:sz w:val="11"/>
                <w:szCs w:val="11"/>
                <w:color w:val="auto"/>
              </w:rPr>
              <w:t xml:space="preserve"> ​</w:t>
            </w:r>
          </w:p>
        </w:tc>
        <w:tc>
          <w:tcPr>
            <w:tcW w:w="720" w:type="dxa"/>
            <w:vAlign w:val="bottom"/>
            <w:gridSpan w:val="2"/>
          </w:tcPr>
          <w:p>
            <w:pPr>
              <w:jc w:val="right"/>
              <w:spacing w:after="0" w:line="169" w:lineRule="exact"/>
              <w:rPr>
                <w:sz w:val="20"/>
                <w:szCs w:val="20"/>
                <w:color w:val="auto"/>
              </w:rPr>
            </w:pPr>
            <w:r>
              <w:rPr>
                <w:rFonts w:ascii="Arial" w:cs="Arial" w:eastAsia="Arial" w:hAnsi="Arial"/>
                <w:sz w:val="11"/>
                <w:szCs w:val="11"/>
                <w:color w:val="auto"/>
              </w:rPr>
              <w:t>324,984</w:t>
            </w:r>
            <w:r>
              <w:rPr>
                <w:rFonts w:ascii="Arial" w:cs="Arial" w:eastAsia="Arial" w:hAnsi="Arial"/>
                <w:sz w:val="19"/>
                <w:szCs w:val="19"/>
                <w:color w:val="auto"/>
                <w:vertAlign w:val="superscript"/>
              </w:rPr>
              <w:t>​​​</w:t>
            </w:r>
          </w:p>
        </w:tc>
        <w:tc>
          <w:tcPr>
            <w:tcW w:w="440" w:type="dxa"/>
            <w:vAlign w:val="bottom"/>
          </w:tcPr>
          <w:p>
            <w:pPr>
              <w:ind w:left="8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69"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127,309</w:t>
            </w:r>
          </w:p>
        </w:tc>
        <w:tc>
          <w:tcPr>
            <w:tcW w:w="1100" w:type="dxa"/>
            <w:vAlign w:val="bottom"/>
            <w:gridSpan w:val="4"/>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 ​1,275,165</w:t>
            </w:r>
            <w:r>
              <w:rPr>
                <w:rFonts w:ascii="Arial" w:cs="Arial" w:eastAsia="Arial" w:hAnsi="Arial"/>
                <w:sz w:val="19"/>
                <w:szCs w:val="19"/>
                <w:color w:val="auto"/>
                <w:vertAlign w:val="superscript"/>
              </w:rPr>
              <w:t>​ ​</w:t>
            </w:r>
          </w:p>
        </w:tc>
        <w:tc>
          <w:tcPr>
            <w:tcW w:w="0" w:type="dxa"/>
            <w:vAlign w:val="bottom"/>
          </w:tcPr>
          <w:p>
            <w:pPr>
              <w:spacing w:after="0"/>
              <w:rPr>
                <w:sz w:val="1"/>
                <w:szCs w:val="1"/>
                <w:color w:val="auto"/>
              </w:rPr>
            </w:pPr>
          </w:p>
        </w:tc>
      </w:tr>
      <w:tr>
        <w:trPr>
          <w:trHeight w:val="81"/>
        </w:trPr>
        <w:tc>
          <w:tcPr>
            <w:tcW w:w="2740" w:type="dxa"/>
            <w:vAlign w:val="bottom"/>
          </w:tcPr>
          <w:p>
            <w:pPr>
              <w:ind w:left="200"/>
              <w:spacing w:after="0" w:line="75" w:lineRule="exact"/>
              <w:rPr>
                <w:sz w:val="20"/>
                <w:szCs w:val="20"/>
                <w:color w:val="auto"/>
              </w:rPr>
            </w:pPr>
            <w:r>
              <w:rPr>
                <w:rFonts w:ascii="Arial" w:cs="Arial" w:eastAsia="Arial" w:hAnsi="Arial"/>
                <w:sz w:val="8"/>
                <w:szCs w:val="8"/>
                <w:color w:val="auto"/>
              </w:rPr>
              <w:t>Lending Officer, Wholesale Banking</w:t>
            </w:r>
          </w:p>
        </w:tc>
        <w:tc>
          <w:tcPr>
            <w:tcW w:w="120" w:type="dxa"/>
            <w:vAlign w:val="bottom"/>
          </w:tcPr>
          <w:p>
            <w:pPr>
              <w:spacing w:after="0"/>
              <w:rPr>
                <w:sz w:val="7"/>
                <w:szCs w:val="7"/>
                <w:color w:val="auto"/>
              </w:rPr>
            </w:pPr>
          </w:p>
        </w:tc>
        <w:tc>
          <w:tcPr>
            <w:tcW w:w="40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60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560" w:type="dxa"/>
            <w:vAlign w:val="bottom"/>
            <w:tcBorders>
              <w:bottom w:val="single" w:sz="8" w:color="7F7F7F"/>
            </w:tcBorders>
          </w:tcPr>
          <w:p>
            <w:pPr>
              <w:spacing w:after="0"/>
              <w:rPr>
                <w:sz w:val="7"/>
                <w:szCs w:val="7"/>
                <w:color w:val="auto"/>
              </w:rPr>
            </w:pPr>
          </w:p>
        </w:tc>
        <w:tc>
          <w:tcPr>
            <w:tcW w:w="180" w:type="dxa"/>
            <w:vAlign w:val="bottom"/>
            <w:tcBorders>
              <w:bottom w:val="single" w:sz="8" w:color="7F7F7F"/>
            </w:tcBorders>
          </w:tcPr>
          <w:p>
            <w:pPr>
              <w:spacing w:after="0"/>
              <w:rPr>
                <w:sz w:val="7"/>
                <w:szCs w:val="7"/>
                <w:color w:val="auto"/>
              </w:rPr>
            </w:pPr>
          </w:p>
        </w:tc>
        <w:tc>
          <w:tcPr>
            <w:tcW w:w="10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440" w:type="dxa"/>
            <w:vAlign w:val="bottom"/>
            <w:tcBorders>
              <w:bottom w:val="single" w:sz="8" w:color="7F7F7F"/>
            </w:tcBorders>
          </w:tcPr>
          <w:p>
            <w:pPr>
              <w:spacing w:after="0"/>
              <w:rPr>
                <w:sz w:val="7"/>
                <w:szCs w:val="7"/>
                <w:color w:val="auto"/>
              </w:rPr>
            </w:pPr>
          </w:p>
        </w:tc>
        <w:tc>
          <w:tcPr>
            <w:tcW w:w="48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120" w:type="dxa"/>
            <w:vAlign w:val="bottom"/>
            <w:tcBorders>
              <w:bottom w:val="single" w:sz="8" w:color="7F7F7F"/>
            </w:tcBorders>
          </w:tcPr>
          <w:p>
            <w:pPr>
              <w:spacing w:after="0"/>
              <w:rPr>
                <w:sz w:val="7"/>
                <w:szCs w:val="7"/>
                <w:color w:val="auto"/>
              </w:rPr>
            </w:pPr>
          </w:p>
        </w:tc>
        <w:tc>
          <w:tcPr>
            <w:tcW w:w="720" w:type="dxa"/>
            <w:vAlign w:val="bottom"/>
            <w:tcBorders>
              <w:bottom w:val="single" w:sz="8" w:color="7F7F7F"/>
            </w:tcBorders>
          </w:tcPr>
          <w:p>
            <w:pPr>
              <w:spacing w:after="0"/>
              <w:rPr>
                <w:sz w:val="7"/>
                <w:szCs w:val="7"/>
                <w:color w:val="auto"/>
              </w:rPr>
            </w:pPr>
          </w:p>
        </w:tc>
        <w:tc>
          <w:tcPr>
            <w:tcW w:w="220" w:type="dxa"/>
            <w:vAlign w:val="bottom"/>
            <w:tcBorders>
              <w:bottom w:val="single" w:sz="8" w:color="7F7F7F"/>
            </w:tcBorders>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740" w:type="dxa"/>
            <w:vAlign w:val="bottom"/>
          </w:tcPr>
          <w:p>
            <w:pPr>
              <w:ind w:left="200"/>
              <w:spacing w:after="0"/>
              <w:rPr>
                <w:sz w:val="20"/>
                <w:szCs w:val="20"/>
                <w:color w:val="auto"/>
              </w:rPr>
            </w:pPr>
            <w:r>
              <w:rPr>
                <w:rFonts w:ascii="Arial" w:cs="Arial" w:eastAsia="Arial" w:hAnsi="Arial"/>
                <w:sz w:val="14"/>
                <w:szCs w:val="14"/>
                <w:color w:val="auto"/>
              </w:rPr>
              <w:t>Group</w:t>
            </w:r>
            <w:r>
              <w:rPr>
                <w:rFonts w:ascii="Arial" w:cs="Arial" w:eastAsia="Arial" w:hAnsi="Arial"/>
                <w:sz w:val="17"/>
                <w:szCs w:val="17"/>
                <w:color w:val="auto"/>
                <w:vertAlign w:val="superscript"/>
              </w:rPr>
              <w:t>(5)</w:t>
            </w:r>
          </w:p>
        </w:tc>
        <w:tc>
          <w:tcPr>
            <w:tcW w:w="1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​​2021​​​​ ​</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433,500​​​​ ​</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402,938​​​​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324,984​​​</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 ​</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106,877</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 ​1,268,299​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41910</wp:posOffset>
            </wp:positionV>
            <wp:extent cx="58293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99" w:lineRule="exact"/>
        <w:rPr>
          <w:sz w:val="20"/>
          <w:szCs w:val="20"/>
          <w:color w:val="auto"/>
        </w:rPr>
      </w:pPr>
    </w:p>
    <w:p>
      <w:pPr>
        <w:ind w:left="1140" w:hanging="360"/>
        <w:spacing w:after="0"/>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amounts in this column represent annual incentive cash awards earned under the Bonus Plan.</w:t>
      </w:r>
    </w:p>
    <w:p>
      <w:pPr>
        <w:spacing w:after="0" w:line="99" w:lineRule="exact"/>
        <w:rPr>
          <w:rFonts w:ascii="Arial" w:cs="Arial" w:eastAsia="Arial" w:hAnsi="Arial"/>
          <w:sz w:val="16"/>
          <w:szCs w:val="16"/>
          <w:color w:val="auto"/>
        </w:rPr>
      </w:pPr>
    </w:p>
    <w:p>
      <w:pPr>
        <w:ind w:left="1140" w:right="20" w:hanging="360"/>
        <w:spacing w:after="0" w:line="284" w:lineRule="auto"/>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amounts in this column for fiscal years 2023, 2022 and 2021 represent the grant date fair value, as determined in accordance with FASB ASC Topic 718, of (i) during fiscal year 2023, performance share units granted pursuant to the LTIP for the 2023-2025 cycle (the “2023-2025 LTIP Awards”) and restricted stock units granted pursuant to the Omnibus Plan, (ii) during fiscal year 2022, performance share units granted pursuant to the LTIP for the 2022-2024 cycle (the “2022-2024 LTIP Awards”) and restricted stock units granted pursuant to the Omnibus Plan and (iii) during fiscal year 2021, performance share units granted pursuant to the LTIP for the 2021-2023 cycle (the “2021-2023 LTIP Awards”) and restricted stock units granted pursuant to the Omnibus Plan. For further information regarding grant date fair value calculations, see Note 20 to the Consolidated Financial Statements included in First Hawaiian’s Annual Report on Form 10-K for the fiscal year ended December 31, 2023. The LTIP Award amounts for each year reported are based on assumed performance achievement at 100%, which is the target level of performance share units that may be earned. The amounts for the 2023-2025 LTIP Awards based on assumed performance achievement of 200%, the highest level of performance share unit awards that may be earned, are $2,759,962, $803,951, $839,970, $359,972, $359,972, $509,978 and $390,005 for each of Messrs. Harrison, Moses, Dods, Arizumi, Char, Mesick and Mizumoto, respectively. The amounts for the 2022-2024 LTIP Awards based on assumed performance achievement of 200%, the highest level of performance share unit awards that may be earned, are $2,399,994, $780,018, $329,983, $599,970 and $389,980 for each of Messrs. Harrison, Dods, Arizumi, Mesick and Mizumoto, respectively. The amounts for the 2021-2023 LTIP Awards based on assumed performance achievement of 200%, the highest level of performance share award amounts that may be earned, are $2,399,959, $367,116, $667,089 and $433,584 for each of Messrs. Harrison, Arizumi, Mesick and Mizumoto, respectively.</w:t>
      </w:r>
    </w:p>
    <w:p>
      <w:pPr>
        <w:spacing w:after="0" w:line="200" w:lineRule="exact"/>
        <w:rPr>
          <w:sz w:val="20"/>
          <w:szCs w:val="20"/>
          <w:color w:val="auto"/>
        </w:rPr>
      </w:pPr>
    </w:p>
    <w:p>
      <w:pPr>
        <w:spacing w:after="0" w:line="255"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49" w:lineRule="exact"/>
        <w:rPr>
          <w:sz w:val="20"/>
          <w:szCs w:val="20"/>
          <w:color w:val="auto"/>
        </w:rPr>
      </w:pPr>
    </w:p>
    <w:p>
      <w:pPr>
        <w:ind w:left="1140" w:right="40" w:hanging="360"/>
        <w:spacing w:after="0" w:line="286" w:lineRule="auto"/>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amounts in this column reflect the actuarial increase in the present value of benefits under the SERP. Mr. Harrison is the only NEO who participates in the SERP, and none of our NEOs received above-market earnings on their non-qualified deferred compensation accounts. The change in pension value represents the present value of future retirement benefits and does not represent any cash benefit to Mr. Harrison. The SERP was frozen and all accruals of benefits, including service accruals, ceased effective July 1, 2019. Therefore, any subsequent changes in the actuarial present value of an NEO’s accumulated benefit under the SERP would likely be attributable, primarily, to variations in the discount rate or modifications to actuarial assumptions. Mr. Harrison was not paid any compensation in respect of the SERP in 2023, 2022 or 2021, and will not be paid any amounts until his retirement or termination of employment with First Hawaiian. See “</w:t>
      </w:r>
      <w:r>
        <w:rPr>
          <w:rFonts w:ascii="Arial" w:cs="Arial" w:eastAsia="Arial" w:hAnsi="Arial"/>
          <w:sz w:val="16"/>
          <w:szCs w:val="16"/>
          <w:i w:val="1"/>
          <w:iCs w:val="1"/>
          <w:color w:val="auto"/>
        </w:rPr>
        <w:t>Compensation Discussion and Analysis—Other Benefits and Retirement Plans</w:t>
      </w:r>
      <w:r>
        <w:rPr>
          <w:rFonts w:ascii="Arial" w:cs="Arial" w:eastAsia="Arial" w:hAnsi="Arial"/>
          <w:sz w:val="16"/>
          <w:szCs w:val="16"/>
          <w:color w:val="auto"/>
        </w:rPr>
        <w:t>” and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in CEO Pension Value in the Summary Compensation Table</w:t>
      </w:r>
      <w:r>
        <w:rPr>
          <w:rFonts w:ascii="Arial" w:cs="Arial" w:eastAsia="Arial" w:hAnsi="Arial"/>
          <w:sz w:val="16"/>
          <w:szCs w:val="16"/>
          <w:color w:val="auto"/>
        </w:rPr>
        <w:t>” for more information.</w:t>
      </w:r>
    </w:p>
    <w:p>
      <w:pPr>
        <w:spacing w:after="0" w:line="35" w:lineRule="exact"/>
        <w:rPr>
          <w:rFonts w:ascii="Arial" w:cs="Arial" w:eastAsia="Arial" w:hAnsi="Arial"/>
          <w:sz w:val="16"/>
          <w:szCs w:val="16"/>
          <w:color w:val="auto"/>
        </w:rPr>
      </w:pPr>
    </w:p>
    <w:p>
      <w:pPr>
        <w:ind w:left="1140" w:hanging="360"/>
        <w:spacing w:after="0"/>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items comprising “All Other Compensation” for 2023 are: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80"/>
        </w:trPr>
        <w:tc>
          <w:tcPr>
            <w:tcW w:w="1720" w:type="dxa"/>
            <w:vAlign w:val="bottom"/>
            <w:shd w:val="clear" w:color="auto" w:fill="BF5B5A"/>
          </w:tcPr>
          <w:p>
            <w:pPr>
              <w:spacing w:after="0"/>
              <w:rPr>
                <w:sz w:val="15"/>
                <w:szCs w:val="15"/>
                <w:color w:val="auto"/>
              </w:rPr>
            </w:pPr>
          </w:p>
        </w:tc>
        <w:tc>
          <w:tcPr>
            <w:tcW w:w="320" w:type="dxa"/>
            <w:vAlign w:val="bottom"/>
            <w:shd w:val="clear" w:color="auto" w:fill="BF5B5A"/>
          </w:tcPr>
          <w:p>
            <w:pPr>
              <w:spacing w:after="0"/>
              <w:rPr>
                <w:sz w:val="15"/>
                <w:szCs w:val="15"/>
                <w:color w:val="auto"/>
              </w:rPr>
            </w:pPr>
          </w:p>
        </w:tc>
        <w:tc>
          <w:tcPr>
            <w:tcW w:w="15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rPr>
              <w:t>Perquisites and Other</w:t>
            </w:r>
          </w:p>
        </w:tc>
        <w:tc>
          <w:tcPr>
            <w:tcW w:w="280" w:type="dxa"/>
            <w:vAlign w:val="bottom"/>
            <w:shd w:val="clear" w:color="auto" w:fill="BF5B5A"/>
          </w:tcPr>
          <w:p>
            <w:pPr>
              <w:spacing w:after="0"/>
              <w:rPr>
                <w:sz w:val="15"/>
                <w:szCs w:val="15"/>
                <w:color w:val="auto"/>
              </w:rPr>
            </w:pPr>
          </w:p>
        </w:tc>
        <w:tc>
          <w:tcPr>
            <w:tcW w:w="17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9"/>
              </w:rPr>
              <w:t>Contributions to Defined</w:t>
            </w:r>
          </w:p>
        </w:tc>
        <w:tc>
          <w:tcPr>
            <w:tcW w:w="280" w:type="dxa"/>
            <w:vAlign w:val="bottom"/>
            <w:shd w:val="clear" w:color="auto" w:fill="BF5B5A"/>
          </w:tcPr>
          <w:p>
            <w:pPr>
              <w:spacing w:after="0"/>
              <w:rPr>
                <w:sz w:val="15"/>
                <w:szCs w:val="15"/>
                <w:color w:val="auto"/>
              </w:rPr>
            </w:pPr>
          </w:p>
        </w:tc>
        <w:tc>
          <w:tcPr>
            <w:tcW w:w="8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9"/>
              </w:rPr>
              <w:t>Insurance</w:t>
            </w:r>
          </w:p>
        </w:tc>
        <w:tc>
          <w:tcPr>
            <w:tcW w:w="340" w:type="dxa"/>
            <w:vAlign w:val="bottom"/>
            <w:shd w:val="clear" w:color="auto" w:fill="BF5B5A"/>
          </w:tcPr>
          <w:p>
            <w:pPr>
              <w:spacing w:after="0"/>
              <w:rPr>
                <w:sz w:val="15"/>
                <w:szCs w:val="15"/>
                <w:color w:val="auto"/>
              </w:rPr>
            </w:pPr>
          </w:p>
        </w:tc>
        <w:tc>
          <w:tcPr>
            <w:tcW w:w="440" w:type="dxa"/>
            <w:vAlign w:val="bottom"/>
            <w:shd w:val="clear" w:color="auto" w:fill="BF5B5A"/>
          </w:tcPr>
          <w:p>
            <w:pPr>
              <w:spacing w:after="0"/>
              <w:rPr>
                <w:sz w:val="15"/>
                <w:szCs w:val="15"/>
                <w:color w:val="auto"/>
              </w:rPr>
            </w:pPr>
          </w:p>
        </w:tc>
        <w:tc>
          <w:tcPr>
            <w:tcW w:w="54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540" w:type="dxa"/>
            <w:vAlign w:val="bottom"/>
            <w:shd w:val="clear" w:color="auto" w:fill="BF5B5A"/>
          </w:tcPr>
          <w:p>
            <w:pPr>
              <w:spacing w:after="0"/>
              <w:rPr>
                <w:sz w:val="15"/>
                <w:szCs w:val="15"/>
                <w:color w:val="auto"/>
              </w:rPr>
            </w:pPr>
          </w:p>
        </w:tc>
        <w:tc>
          <w:tcPr>
            <w:tcW w:w="2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vMerge w:val="restart"/>
            <w:shd w:val="clear" w:color="auto" w:fill="BF5B5A"/>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w:t>
            </w:r>
          </w:p>
        </w:tc>
        <w:tc>
          <w:tcPr>
            <w:tcW w:w="320" w:type="dxa"/>
            <w:vAlign w:val="bottom"/>
            <w:shd w:val="clear" w:color="auto" w:fill="BF5B5A"/>
          </w:tcPr>
          <w:p>
            <w:pPr>
              <w:spacing w:after="0"/>
              <w:rPr>
                <w:sz w:val="15"/>
                <w:szCs w:val="15"/>
                <w:color w:val="auto"/>
              </w:rPr>
            </w:pPr>
          </w:p>
        </w:tc>
        <w:tc>
          <w:tcPr>
            <w:tcW w:w="1520" w:type="dxa"/>
            <w:vAlign w:val="bottom"/>
            <w:shd w:val="clear" w:color="auto" w:fill="BF5B5A"/>
          </w:tcPr>
          <w:p>
            <w:pPr>
              <w:jc w:val="center"/>
              <w:spacing w:after="0" w:line="176" w:lineRule="exact"/>
              <w:rPr>
                <w:sz w:val="20"/>
                <w:szCs w:val="20"/>
                <w:color w:val="auto"/>
              </w:rPr>
            </w:pPr>
            <w:r>
              <w:rPr>
                <w:rFonts w:ascii="Arial" w:cs="Arial" w:eastAsia="Arial" w:hAnsi="Arial"/>
                <w:sz w:val="14"/>
                <w:szCs w:val="14"/>
                <w:b w:val="1"/>
                <w:bCs w:val="1"/>
                <w:color w:val="FFFFFF"/>
                <w:w w:val="98"/>
              </w:rPr>
              <w:t>Personal Benefits</w:t>
            </w:r>
            <w:r>
              <w:rPr>
                <w:rFonts w:ascii="Arial" w:cs="Arial" w:eastAsia="Arial" w:hAnsi="Arial"/>
                <w:sz w:val="17"/>
                <w:szCs w:val="17"/>
                <w:b w:val="1"/>
                <w:bCs w:val="1"/>
                <w:color w:val="FFFFFF"/>
                <w:w w:val="98"/>
                <w:vertAlign w:val="superscript"/>
              </w:rPr>
              <w:t>(a)</w:t>
            </w:r>
          </w:p>
        </w:tc>
        <w:tc>
          <w:tcPr>
            <w:tcW w:w="280" w:type="dxa"/>
            <w:vAlign w:val="bottom"/>
            <w:shd w:val="clear" w:color="auto" w:fill="BF5B5A"/>
          </w:tcPr>
          <w:p>
            <w:pPr>
              <w:spacing w:after="0"/>
              <w:rPr>
                <w:sz w:val="15"/>
                <w:szCs w:val="15"/>
                <w:color w:val="auto"/>
              </w:rPr>
            </w:pPr>
          </w:p>
        </w:tc>
        <w:tc>
          <w:tcPr>
            <w:tcW w:w="1720" w:type="dxa"/>
            <w:vAlign w:val="bottom"/>
            <w:shd w:val="clear" w:color="auto" w:fill="BF5B5A"/>
          </w:tcPr>
          <w:p>
            <w:pPr>
              <w:jc w:val="center"/>
              <w:spacing w:after="0" w:line="176" w:lineRule="exact"/>
              <w:rPr>
                <w:sz w:val="20"/>
                <w:szCs w:val="20"/>
                <w:color w:val="auto"/>
              </w:rPr>
            </w:pPr>
            <w:r>
              <w:rPr>
                <w:rFonts w:ascii="Arial" w:cs="Arial" w:eastAsia="Arial" w:hAnsi="Arial"/>
                <w:sz w:val="14"/>
                <w:szCs w:val="14"/>
                <w:b w:val="1"/>
                <w:bCs w:val="1"/>
                <w:color w:val="FFFFFF"/>
                <w:w w:val="97"/>
              </w:rPr>
              <w:t>Contribution Plans</w:t>
            </w:r>
            <w:r>
              <w:rPr>
                <w:rFonts w:ascii="Arial" w:cs="Arial" w:eastAsia="Arial" w:hAnsi="Arial"/>
                <w:sz w:val="17"/>
                <w:szCs w:val="17"/>
                <w:b w:val="1"/>
                <w:bCs w:val="1"/>
                <w:color w:val="FFFFFF"/>
                <w:w w:val="97"/>
                <w:vertAlign w:val="superscript"/>
              </w:rPr>
              <w:t>(b)</w:t>
            </w:r>
          </w:p>
        </w:tc>
        <w:tc>
          <w:tcPr>
            <w:tcW w:w="280" w:type="dxa"/>
            <w:vAlign w:val="bottom"/>
            <w:shd w:val="clear" w:color="auto" w:fill="BF5B5A"/>
          </w:tcPr>
          <w:p>
            <w:pPr>
              <w:spacing w:after="0"/>
              <w:rPr>
                <w:sz w:val="15"/>
                <w:szCs w:val="15"/>
                <w:color w:val="auto"/>
              </w:rPr>
            </w:pPr>
          </w:p>
        </w:tc>
        <w:tc>
          <w:tcPr>
            <w:tcW w:w="820" w:type="dxa"/>
            <w:vAlign w:val="bottom"/>
            <w:shd w:val="clear" w:color="auto" w:fill="BF5B5A"/>
          </w:tcPr>
          <w:p>
            <w:pPr>
              <w:jc w:val="center"/>
              <w:spacing w:after="0" w:line="176" w:lineRule="exact"/>
              <w:rPr>
                <w:sz w:val="20"/>
                <w:szCs w:val="20"/>
                <w:color w:val="auto"/>
              </w:rPr>
            </w:pPr>
            <w:r>
              <w:rPr>
                <w:rFonts w:ascii="Arial" w:cs="Arial" w:eastAsia="Arial" w:hAnsi="Arial"/>
                <w:sz w:val="14"/>
                <w:szCs w:val="14"/>
                <w:b w:val="1"/>
                <w:bCs w:val="1"/>
                <w:color w:val="FFFFFF"/>
                <w:w w:val="95"/>
              </w:rPr>
              <w:t>Premiums</w:t>
            </w:r>
            <w:r>
              <w:rPr>
                <w:rFonts w:ascii="Arial" w:cs="Arial" w:eastAsia="Arial" w:hAnsi="Arial"/>
                <w:sz w:val="17"/>
                <w:szCs w:val="17"/>
                <w:b w:val="1"/>
                <w:bCs w:val="1"/>
                <w:color w:val="FFFFFF"/>
                <w:w w:val="95"/>
                <w:vertAlign w:val="superscript"/>
              </w:rPr>
              <w:t>(c)</w:t>
            </w:r>
          </w:p>
        </w:tc>
        <w:tc>
          <w:tcPr>
            <w:tcW w:w="340" w:type="dxa"/>
            <w:vAlign w:val="bottom"/>
            <w:shd w:val="clear" w:color="auto" w:fill="BF5B5A"/>
          </w:tcPr>
          <w:p>
            <w:pPr>
              <w:spacing w:after="0"/>
              <w:rPr>
                <w:sz w:val="15"/>
                <w:szCs w:val="15"/>
                <w:color w:val="auto"/>
              </w:rPr>
            </w:pPr>
          </w:p>
        </w:tc>
        <w:tc>
          <w:tcPr>
            <w:tcW w:w="980" w:type="dxa"/>
            <w:vAlign w:val="bottom"/>
            <w:gridSpan w:val="2"/>
            <w:shd w:val="clear" w:color="auto" w:fill="BF5B5A"/>
          </w:tcPr>
          <w:p>
            <w:pPr>
              <w:jc w:val="right"/>
              <w:ind w:right="406"/>
              <w:spacing w:after="0" w:line="176" w:lineRule="exact"/>
              <w:rPr>
                <w:sz w:val="20"/>
                <w:szCs w:val="20"/>
                <w:color w:val="auto"/>
              </w:rPr>
            </w:pPr>
            <w:r>
              <w:rPr>
                <w:rFonts w:ascii="Arial" w:cs="Arial" w:eastAsia="Arial" w:hAnsi="Arial"/>
                <w:sz w:val="14"/>
                <w:szCs w:val="14"/>
                <w:b w:val="1"/>
                <w:bCs w:val="1"/>
                <w:color w:val="FFFFFF"/>
                <w:w w:val="92"/>
              </w:rPr>
              <w:t>Other</w:t>
            </w:r>
            <w:r>
              <w:rPr>
                <w:rFonts w:ascii="Arial" w:cs="Arial" w:eastAsia="Arial" w:hAnsi="Arial"/>
                <w:sz w:val="17"/>
                <w:szCs w:val="17"/>
                <w:b w:val="1"/>
                <w:bCs w:val="1"/>
                <w:color w:val="FFFFFF"/>
                <w:w w:val="92"/>
                <w:vertAlign w:val="superscript"/>
              </w:rPr>
              <w:t>(d)</w:t>
            </w:r>
          </w:p>
        </w:tc>
        <w:tc>
          <w:tcPr>
            <w:tcW w:w="80" w:type="dxa"/>
            <w:vAlign w:val="bottom"/>
            <w:shd w:val="clear" w:color="auto" w:fill="BF5B5A"/>
          </w:tcPr>
          <w:p>
            <w:pPr>
              <w:spacing w:after="0"/>
              <w:rPr>
                <w:sz w:val="15"/>
                <w:szCs w:val="15"/>
                <w:color w:val="auto"/>
              </w:rPr>
            </w:pPr>
          </w:p>
        </w:tc>
        <w:tc>
          <w:tcPr>
            <w:tcW w:w="540" w:type="dxa"/>
            <w:vAlign w:val="bottom"/>
            <w:shd w:val="clear" w:color="auto" w:fill="BF5B5A"/>
          </w:tcPr>
          <w:p>
            <w:pPr>
              <w:jc w:val="center"/>
              <w:ind w:right="46"/>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20" w:type="dxa"/>
            <w:vAlign w:val="bottom"/>
            <w:vMerge w:val="continue"/>
            <w:shd w:val="clear" w:color="auto" w:fill="BF5B5A"/>
          </w:tcPr>
          <w:p>
            <w:pPr>
              <w:spacing w:after="0"/>
              <w:rPr>
                <w:sz w:val="18"/>
                <w:szCs w:val="18"/>
                <w:color w:val="auto"/>
              </w:rPr>
            </w:pPr>
          </w:p>
        </w:tc>
        <w:tc>
          <w:tcPr>
            <w:tcW w:w="320" w:type="dxa"/>
            <w:vAlign w:val="bottom"/>
            <w:shd w:val="clear" w:color="auto" w:fill="BF5B5A"/>
          </w:tcPr>
          <w:p>
            <w:pPr>
              <w:ind w:left="140"/>
              <w:spacing w:after="0"/>
              <w:rPr>
                <w:sz w:val="20"/>
                <w:szCs w:val="20"/>
                <w:color w:val="auto"/>
              </w:rPr>
            </w:pPr>
            <w:r>
              <w:rPr>
                <w:rFonts w:ascii="Arial" w:cs="Arial" w:eastAsia="Arial" w:hAnsi="Arial"/>
                <w:sz w:val="14"/>
                <w:szCs w:val="14"/>
                <w:b w:val="1"/>
                <w:bCs w:val="1"/>
                <w:color w:val="FFFFFF"/>
              </w:rPr>
              <w:t>​ ​</w:t>
            </w:r>
          </w:p>
        </w:tc>
        <w:tc>
          <w:tcPr>
            <w:tcW w:w="15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BF5B5A"/>
          </w:tcPr>
          <w:p>
            <w:pPr>
              <w:jc w:val="right"/>
              <w:spacing w:after="0"/>
              <w:rPr>
                <w:sz w:val="20"/>
                <w:szCs w:val="20"/>
                <w:color w:val="auto"/>
              </w:rPr>
            </w:pPr>
            <w:r>
              <w:rPr>
                <w:rFonts w:ascii="Arial" w:cs="Arial" w:eastAsia="Arial" w:hAnsi="Arial"/>
                <w:sz w:val="14"/>
                <w:szCs w:val="14"/>
                <w:b w:val="1"/>
                <w:bCs w:val="1"/>
                <w:color w:val="FFFFFF"/>
              </w:rPr>
              <w:t>​ ​</w:t>
            </w:r>
          </w:p>
        </w:tc>
        <w:tc>
          <w:tcPr>
            <w:tcW w:w="17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3"/>
              </w:rPr>
              <w:t>($)</w:t>
            </w:r>
          </w:p>
        </w:tc>
        <w:tc>
          <w:tcPr>
            <w:tcW w:w="280" w:type="dxa"/>
            <w:vAlign w:val="bottom"/>
            <w:shd w:val="clear" w:color="auto" w:fill="BF5B5A"/>
          </w:tcPr>
          <w:p>
            <w:pPr>
              <w:jc w:val="right"/>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BF5B5A"/>
          </w:tcPr>
          <w:p>
            <w:pPr>
              <w:jc w:val="center"/>
              <w:spacing w:after="0"/>
              <w:rPr>
                <w:sz w:val="20"/>
                <w:szCs w:val="20"/>
                <w:color w:val="auto"/>
              </w:rPr>
            </w:pPr>
            <w:r>
              <w:rPr>
                <w:rFonts w:ascii="Arial" w:cs="Arial" w:eastAsia="Arial" w:hAnsi="Arial"/>
                <w:sz w:val="14"/>
                <w:szCs w:val="14"/>
                <w:b w:val="1"/>
                <w:bCs w:val="1"/>
                <w:color w:val="FFFFFF"/>
                <w:w w:val="93"/>
              </w:rPr>
              <w:t>($)</w:t>
            </w:r>
          </w:p>
        </w:tc>
        <w:tc>
          <w:tcPr>
            <w:tcW w:w="340" w:type="dxa"/>
            <w:vAlign w:val="bottom"/>
            <w:shd w:val="clear" w:color="auto" w:fill="BF5B5A"/>
          </w:tcPr>
          <w:p>
            <w:pPr>
              <w:ind w:left="100"/>
              <w:spacing w:after="0"/>
              <w:rPr>
                <w:sz w:val="20"/>
                <w:szCs w:val="20"/>
                <w:color w:val="auto"/>
              </w:rPr>
            </w:pPr>
            <w:r>
              <w:rPr>
                <w:rFonts w:ascii="Arial" w:cs="Arial" w:eastAsia="Arial" w:hAnsi="Arial"/>
                <w:sz w:val="14"/>
                <w:szCs w:val="14"/>
                <w:b w:val="1"/>
                <w:bCs w:val="1"/>
                <w:color w:val="FFFFFF"/>
              </w:rPr>
              <w:t>​ ​</w:t>
            </w:r>
          </w:p>
        </w:tc>
        <w:tc>
          <w:tcPr>
            <w:tcW w:w="440" w:type="dxa"/>
            <w:vAlign w:val="bottom"/>
            <w:shd w:val="clear" w:color="auto" w:fill="BF5B5A"/>
          </w:tcPr>
          <w:p>
            <w:pPr>
              <w:jc w:val="right"/>
              <w:ind w:right="7"/>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BF5B5A"/>
          </w:tcPr>
          <w:p>
            <w:pPr>
              <w:jc w:val="right"/>
              <w:ind w:right="46"/>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BF5B5A"/>
          </w:tcPr>
          <w:p>
            <w:pPr>
              <w:spacing w:after="0"/>
              <w:rPr>
                <w:sz w:val="18"/>
                <w:szCs w:val="18"/>
                <w:color w:val="auto"/>
              </w:rPr>
            </w:pPr>
          </w:p>
        </w:tc>
        <w:tc>
          <w:tcPr>
            <w:tcW w:w="540" w:type="dxa"/>
            <w:vAlign w:val="bottom"/>
            <w:shd w:val="clear" w:color="auto" w:fill="BF5B5A"/>
          </w:tcPr>
          <w:p>
            <w:pPr>
              <w:jc w:val="right"/>
              <w:ind w:right="146"/>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BF5B5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7"/>
        </w:trPr>
        <w:tc>
          <w:tcPr>
            <w:tcW w:w="172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$38,896</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$200,478</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$13,876</w:t>
            </w:r>
          </w:p>
        </w:tc>
        <w:tc>
          <w:tcPr>
            <w:tcW w:w="34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440" w:type="dxa"/>
            <w:vAlign w:val="bottom"/>
            <w:tcBorders>
              <w:bottom w:val="single" w:sz="8" w:color="7F7F7F"/>
            </w:tcBorders>
          </w:tcPr>
          <w:p>
            <w:pPr>
              <w:spacing w:after="0"/>
              <w:rPr>
                <w:sz w:val="22"/>
                <w:szCs w:val="22"/>
                <w:color w:val="auto"/>
              </w:rPr>
            </w:pPr>
          </w:p>
        </w:tc>
        <w:tc>
          <w:tcPr>
            <w:tcW w:w="540" w:type="dxa"/>
            <w:vAlign w:val="bottom"/>
            <w:tcBorders>
              <w:bottom w:val="single" w:sz="8" w:color="7F7F7F"/>
            </w:tcBorders>
          </w:tcPr>
          <w:p>
            <w:pPr>
              <w:jc w:val="right"/>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80" w:type="dxa"/>
            <w:vAlign w:val="bottom"/>
            <w:tcBorders>
              <w:bottom w:val="single" w:sz="8" w:color="7F7F7F"/>
            </w:tcBorders>
          </w:tcPr>
          <w:p>
            <w:pPr>
              <w:spacing w:after="0"/>
              <w:rPr>
                <w:sz w:val="22"/>
                <w:szCs w:val="22"/>
                <w:color w:val="auto"/>
              </w:rPr>
            </w:pPr>
          </w:p>
        </w:tc>
        <w:tc>
          <w:tcPr>
            <w:tcW w:w="760" w:type="dxa"/>
            <w:vAlign w:val="bottom"/>
            <w:tcBorders>
              <w:bottom w:val="single" w:sz="8" w:color="7F7F7F"/>
            </w:tcBorders>
            <w:gridSpan w:val="2"/>
          </w:tcPr>
          <w:p>
            <w:pPr>
              <w:jc w:val="right"/>
              <w:spacing w:after="0" w:line="256" w:lineRule="exact"/>
              <w:rPr>
                <w:sz w:val="20"/>
                <w:szCs w:val="20"/>
                <w:color w:val="auto"/>
              </w:rPr>
            </w:pPr>
            <w:r>
              <w:rPr>
                <w:rFonts w:ascii="Arial" w:cs="Arial" w:eastAsia="Arial" w:hAnsi="Arial"/>
                <w:sz w:val="15"/>
                <w:szCs w:val="15"/>
                <w:color w:val="auto"/>
              </w:rPr>
              <w:t>253,250</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M. Moses</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​19,779</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35,648</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6,179</w:t>
            </w:r>
          </w:p>
        </w:tc>
        <w:tc>
          <w:tcPr>
            <w:tcW w:w="3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40" w:type="dxa"/>
            <w:vAlign w:val="bottom"/>
            <w:tcBorders>
              <w:bottom w:val="single" w:sz="8" w:color="7F7F7F"/>
            </w:tcBorders>
          </w:tcPr>
          <w:p>
            <w:pPr>
              <w:spacing w:after="0"/>
              <w:rPr>
                <w:sz w:val="21"/>
                <w:szCs w:val="21"/>
                <w:color w:val="auto"/>
              </w:rPr>
            </w:pPr>
          </w:p>
        </w:tc>
        <w:tc>
          <w:tcPr>
            <w:tcW w:w="54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61,606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​29,031</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​109,203</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7,494</w:t>
            </w:r>
          </w:p>
        </w:tc>
        <w:tc>
          <w:tcPr>
            <w:tcW w:w="3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40" w:type="dxa"/>
            <w:vAlign w:val="bottom"/>
            <w:tcBorders>
              <w:bottom w:val="single" w:sz="8" w:color="7F7F7F"/>
            </w:tcBorders>
          </w:tcPr>
          <w:p>
            <w:pPr>
              <w:spacing w:after="0"/>
              <w:rPr>
                <w:sz w:val="21"/>
                <w:szCs w:val="21"/>
                <w:color w:val="auto"/>
              </w:rPr>
            </w:pPr>
          </w:p>
        </w:tc>
        <w:tc>
          <w:tcPr>
            <w:tcW w:w="54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145,728</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​31,248</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99,900</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​14,198</w:t>
            </w:r>
          </w:p>
        </w:tc>
        <w:tc>
          <w:tcPr>
            <w:tcW w:w="3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40" w:type="dxa"/>
            <w:vAlign w:val="bottom"/>
            <w:tcBorders>
              <w:bottom w:val="single" w:sz="8" w:color="7F7F7F"/>
            </w:tcBorders>
          </w:tcPr>
          <w:p>
            <w:pPr>
              <w:spacing w:after="0"/>
              <w:rPr>
                <w:sz w:val="21"/>
                <w:szCs w:val="21"/>
                <w:color w:val="auto"/>
              </w:rPr>
            </w:pPr>
          </w:p>
        </w:tc>
        <w:tc>
          <w:tcPr>
            <w:tcW w:w="54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145,346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Neill A. Char</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​37,509</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84,970</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6,971</w:t>
            </w:r>
          </w:p>
        </w:tc>
        <w:tc>
          <w:tcPr>
            <w:tcW w:w="34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440" w:type="dxa"/>
            <w:vAlign w:val="bottom"/>
            <w:tcBorders>
              <w:bottom w:val="single" w:sz="8" w:color="7F7F7F"/>
            </w:tcBorders>
          </w:tcPr>
          <w:p>
            <w:pPr>
              <w:spacing w:after="0"/>
              <w:rPr>
                <w:sz w:val="21"/>
                <w:szCs w:val="21"/>
                <w:color w:val="auto"/>
              </w:rPr>
            </w:pPr>
          </w:p>
        </w:tc>
        <w:tc>
          <w:tcPr>
            <w:tcW w:w="54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8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129,450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Ralph M. Mesick</w:t>
            </w:r>
          </w:p>
        </w:tc>
        <w:tc>
          <w:tcPr>
            <w:tcW w:w="3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6,748</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71,731</w:t>
            </w:r>
          </w:p>
        </w:tc>
        <w:tc>
          <w:tcPr>
            <w:tcW w:w="2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7,581</w:t>
            </w:r>
          </w:p>
        </w:tc>
        <w:tc>
          <w:tcPr>
            <w:tcW w:w="132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​1,138,777</w:t>
            </w:r>
            <w:r>
              <w:rPr>
                <w:rFonts w:ascii="Arial" w:cs="Arial" w:eastAsia="Arial" w:hAnsi="Arial"/>
                <w:sz w:val="28"/>
                <w:szCs w:val="28"/>
                <w:color w:val="auto"/>
                <w:vertAlign w:val="subscript"/>
              </w:rPr>
              <w:t>​​ ​​</w:t>
            </w:r>
          </w:p>
        </w:tc>
        <w:tc>
          <w:tcPr>
            <w:tcW w:w="840" w:type="dxa"/>
            <w:vAlign w:val="bottom"/>
            <w:tcBorders>
              <w:bottom w:val="single" w:sz="8" w:color="7F7F7F"/>
            </w:tcBorders>
            <w:gridSpan w:val="3"/>
          </w:tcPr>
          <w:p>
            <w:pPr>
              <w:jc w:val="right"/>
              <w:spacing w:after="0" w:line="250" w:lineRule="exact"/>
              <w:rPr>
                <w:sz w:val="20"/>
                <w:szCs w:val="20"/>
                <w:color w:val="auto"/>
              </w:rPr>
            </w:pPr>
            <w:r>
              <w:rPr>
                <w:rFonts w:ascii="Arial" w:cs="Arial" w:eastAsia="Arial" w:hAnsi="Arial"/>
                <w:sz w:val="15"/>
                <w:szCs w:val="15"/>
                <w:color w:val="auto"/>
              </w:rPr>
              <w:t>​1,224,837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Lance A. Mizumoto</w:t>
            </w:r>
          </w:p>
        </w:tc>
        <w:tc>
          <w:tcPr>
            <w:tcW w:w="320" w:type="dxa"/>
            <w:vAlign w:val="bottom"/>
            <w:tcBorders>
              <w:bottom w:val="single" w:sz="8" w:color="BF5B5A"/>
            </w:tcBorders>
          </w:tcPr>
          <w:p>
            <w:pPr>
              <w:ind w:left="140"/>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​21,492</w:t>
            </w:r>
          </w:p>
        </w:tc>
        <w:tc>
          <w:tcPr>
            <w:tcW w:w="28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75,825</w:t>
            </w:r>
          </w:p>
        </w:tc>
        <w:tc>
          <w:tcPr>
            <w:tcW w:w="28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​10,656</w:t>
            </w:r>
          </w:p>
        </w:tc>
        <w:tc>
          <w:tcPr>
            <w:tcW w:w="34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80" w:type="dxa"/>
            <w:vAlign w:val="bottom"/>
            <w:tcBorders>
              <w:bottom w:val="single" w:sz="8" w:color="BF5B5A"/>
            </w:tcBorders>
            <w:gridSpan w:val="2"/>
          </w:tcPr>
          <w:p>
            <w:pPr>
              <w:jc w:val="right"/>
              <w:spacing w:after="0" w:line="250" w:lineRule="exact"/>
              <w:rPr>
                <w:sz w:val="20"/>
                <w:szCs w:val="20"/>
                <w:color w:val="auto"/>
              </w:rPr>
            </w:pPr>
            <w:r>
              <w:rPr>
                <w:rFonts w:ascii="Arial" w:cs="Arial" w:eastAsia="Arial" w:hAnsi="Arial"/>
                <w:sz w:val="15"/>
                <w:szCs w:val="15"/>
                <w:color w:val="auto"/>
              </w:rPr>
              <w:t>847,312</w:t>
            </w:r>
            <w:r>
              <w:rPr>
                <w:rFonts w:ascii="Arial" w:cs="Arial" w:eastAsia="Arial" w:hAnsi="Arial"/>
                <w:sz w:val="28"/>
                <w:szCs w:val="28"/>
                <w:color w:val="auto"/>
                <w:vertAlign w:val="subscript"/>
              </w:rPr>
              <w:t>​​ ​​</w:t>
            </w:r>
          </w:p>
        </w:tc>
        <w:tc>
          <w:tcPr>
            <w:tcW w:w="80" w:type="dxa"/>
            <w:vAlign w:val="bottom"/>
            <w:tcBorders>
              <w:bottom w:val="single" w:sz="8" w:color="BF5B5A"/>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F5B5A"/>
            </w:tcBorders>
            <w:gridSpan w:val="2"/>
          </w:tcPr>
          <w:p>
            <w:pPr>
              <w:jc w:val="right"/>
              <w:spacing w:after="0" w:line="250" w:lineRule="exact"/>
              <w:rPr>
                <w:sz w:val="20"/>
                <w:szCs w:val="20"/>
                <w:color w:val="auto"/>
              </w:rPr>
            </w:pPr>
            <w:r>
              <w:rPr>
                <w:rFonts w:ascii="Arial" w:cs="Arial" w:eastAsia="Arial" w:hAnsi="Arial"/>
                <w:sz w:val="15"/>
                <w:szCs w:val="15"/>
                <w:color w:val="auto"/>
              </w:rPr>
              <w:t>955,285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00" w:right="280" w:hanging="360"/>
        <w:spacing w:after="0" w:line="295" w:lineRule="auto"/>
        <w:tabs>
          <w:tab w:leader="none" w:pos="15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“Perquisites and Other Personal Benefits” include: for each NEO, Company provided parking, automobile allowance and related expenses, and meals; for Messrs. Harrison, Moses, Dods, Arizumi, Char and Mizumoto, club dues and fees; for Messrs. Harrison and Char, spouse travel expenses; and for Mr. Mizumoto, executive physical and COBRA benefits.</w:t>
      </w:r>
    </w:p>
    <w:p>
      <w:pPr>
        <w:spacing w:after="0" w:line="26" w:lineRule="exact"/>
        <w:rPr>
          <w:rFonts w:ascii="Arial" w:cs="Arial" w:eastAsia="Arial" w:hAnsi="Arial"/>
          <w:sz w:val="16"/>
          <w:szCs w:val="16"/>
          <w:color w:val="auto"/>
        </w:rPr>
      </w:pPr>
    </w:p>
    <w:p>
      <w:pPr>
        <w:ind w:left="1500" w:right="180" w:hanging="360"/>
        <w:spacing w:after="0" w:line="286" w:lineRule="auto"/>
        <w:tabs>
          <w:tab w:leader="none" w:pos="15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Reflects Company contributions for Mr. Harrison under the 401(k) Plan ($16,500), the Future Plan ($8,250) and the First Hawaiian Bank DCP ($175,728); for Mr. Moses under the First Hawaiian Bank DCP ($35,648); for Mr. Dods under the 401(k) Plan ($16,500), the Future Plan ($8,250) and the First Hawaiian, Inc. DCP ($84,453); for Mr. Arizumi under the 401(k) Plan ($16,500), the Future Plan ($8,250) and the First Hawaiian, Inc. DCP ($75,150); for Mr. Char under the 401(k) Plan ($16,500), the Future Plan ($8,250) and the First Hawaiian, Inc. DCP ($60,220); for Mr. Mesick under the 401(k) Plan ($7,619), the Future Plan ($8,250) and the First Hawaiian Bank DCP ($55,862) and for Mr. Mizumoto under the 401(k) Plan ($13,818), the Future Plan ($8,250) and the First Hawaiian Bank DCP ($53,757) and, as discussed under “—</w:t>
      </w:r>
      <w:r>
        <w:rPr>
          <w:rFonts w:ascii="Arial" w:cs="Arial" w:eastAsia="Arial" w:hAnsi="Arial"/>
          <w:sz w:val="16"/>
          <w:szCs w:val="16"/>
          <w:i w:val="1"/>
          <w:iCs w:val="1"/>
          <w:color w:val="auto"/>
        </w:rPr>
        <w:t>Compensation Discussion and Analysis—Other</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 and Retirement Plans</w:t>
      </w:r>
      <w:r>
        <w:rPr>
          <w:rFonts w:ascii="Arial" w:cs="Arial" w:eastAsia="Arial" w:hAnsi="Arial"/>
          <w:sz w:val="16"/>
          <w:szCs w:val="16"/>
          <w:color w:val="auto"/>
        </w:rPr>
        <w:t>” above.</w:t>
      </w:r>
    </w:p>
    <w:p>
      <w:pPr>
        <w:spacing w:after="0" w:line="38" w:lineRule="exact"/>
        <w:rPr>
          <w:rFonts w:ascii="Arial" w:cs="Arial" w:eastAsia="Arial" w:hAnsi="Arial"/>
          <w:sz w:val="16"/>
          <w:szCs w:val="16"/>
          <w:color w:val="auto"/>
        </w:rPr>
      </w:pPr>
    </w:p>
    <w:p>
      <w:pPr>
        <w:ind w:left="1500" w:right="320" w:hanging="360"/>
        <w:spacing w:after="0" w:line="321" w:lineRule="auto"/>
        <w:tabs>
          <w:tab w:leader="none" w:pos="15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Reflects insurance premiums paid for the benefit of all of the NEOs in a group variable universal life insurance policy, an individual disability insurance policy and a group life insurance plan.</w:t>
      </w:r>
    </w:p>
    <w:p>
      <w:pPr>
        <w:spacing w:after="0" w:line="20" w:lineRule="exact"/>
        <w:rPr>
          <w:rFonts w:ascii="Arial" w:cs="Arial" w:eastAsia="Arial" w:hAnsi="Arial"/>
          <w:sz w:val="16"/>
          <w:szCs w:val="16"/>
          <w:color w:val="auto"/>
        </w:rPr>
      </w:pPr>
    </w:p>
    <w:p>
      <w:pPr>
        <w:ind w:left="1500" w:right="40" w:hanging="360"/>
        <w:spacing w:after="0" w:line="291" w:lineRule="auto"/>
        <w:tabs>
          <w:tab w:leader="none" w:pos="15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Reflects, for Messrs. Mesick and Mizumoto, payments and benefits received upon a qualifying termination under the Executive Severance Plan, as well as consulting fees of $11,250 and $5,013, respectively. For information with respect to amounts paid to Messrs. Mizumoto and Mesick, see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to Mr. Mizumoto in Connection with Termination of Employment” and see “—Compensation Discussion and Analysis—Payments to Mr. Mesick in Connection with Termination of Employment.”</w:t>
      </w:r>
    </w:p>
    <w:p>
      <w:pPr>
        <w:spacing w:after="0" w:line="32" w:lineRule="exact"/>
        <w:rPr>
          <w:rFonts w:ascii="Arial" w:cs="Arial" w:eastAsia="Arial" w:hAnsi="Arial"/>
          <w:sz w:val="16"/>
          <w:szCs w:val="16"/>
          <w:color w:val="auto"/>
        </w:rPr>
      </w:pPr>
    </w:p>
    <w:p>
      <w:pPr>
        <w:ind w:left="1140" w:right="380" w:hanging="360"/>
        <w:spacing w:after="0" w:line="321" w:lineRule="auto"/>
        <w:tabs>
          <w:tab w:leader="none" w:pos="1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Messrs. Mesick’s and Mizumoto’s employment with the Company terminated effective July 1, 2023 and October 1, 2023, respectively.</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65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Grants of Plan-Based Awards</w:t>
      </w:r>
    </w:p>
    <w:p>
      <w:pPr>
        <w:spacing w:after="0" w:line="1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plan-based awards granted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146050</wp:posOffset>
            </wp:positionV>
            <wp:extent cx="34290" cy="7886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788670"/>
                    </a:xfrm>
                    <a:prstGeom prst="rect">
                      <a:avLst/>
                    </a:prstGeom>
                    <a:noFill/>
                  </pic:spPr>
                </pic:pic>
              </a:graphicData>
            </a:graphic>
          </wp:anchor>
        </w:drawing>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96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54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40" w:type="dxa"/>
            <w:vAlign w:val="bottom"/>
            <w:shd w:val="clear" w:color="auto" w:fill="BF5B5A"/>
          </w:tcPr>
          <w:p>
            <w:pPr>
              <w:spacing w:after="0"/>
              <w:rPr>
                <w:sz w:val="13"/>
                <w:szCs w:val="13"/>
                <w:color w:val="auto"/>
              </w:rPr>
            </w:pPr>
          </w:p>
        </w:tc>
        <w:tc>
          <w:tcPr>
            <w:tcW w:w="2200" w:type="dxa"/>
            <w:vAlign w:val="bottom"/>
            <w:gridSpan w:val="7"/>
            <w:shd w:val="clear" w:color="auto" w:fill="BF5B5A"/>
          </w:tcPr>
          <w:p>
            <w:pPr>
              <w:jc w:val="right"/>
              <w:ind w:right="29"/>
              <w:spacing w:after="0"/>
              <w:rPr>
                <w:sz w:val="20"/>
                <w:szCs w:val="20"/>
                <w:color w:val="auto"/>
              </w:rPr>
            </w:pPr>
            <w:r>
              <w:rPr>
                <w:rFonts w:ascii="Arial" w:cs="Arial" w:eastAsia="Arial" w:hAnsi="Arial"/>
                <w:sz w:val="13"/>
                <w:szCs w:val="13"/>
                <w:b w:val="1"/>
                <w:bCs w:val="1"/>
                <w:color w:val="FFFFFF"/>
              </w:rPr>
              <w:t>Estimated Future Payouts Under</w:t>
            </w:r>
          </w:p>
        </w:tc>
        <w:tc>
          <w:tcPr>
            <w:tcW w:w="100" w:type="dxa"/>
            <w:vAlign w:val="bottom"/>
            <w:shd w:val="clear" w:color="auto" w:fill="BF5B5A"/>
          </w:tcPr>
          <w:p>
            <w:pPr>
              <w:spacing w:after="0"/>
              <w:rPr>
                <w:sz w:val="13"/>
                <w:szCs w:val="13"/>
                <w:color w:val="auto"/>
              </w:rPr>
            </w:pPr>
          </w:p>
        </w:tc>
        <w:tc>
          <w:tcPr>
            <w:tcW w:w="20" w:type="dxa"/>
            <w:vAlign w:val="bottom"/>
            <w:shd w:val="clear" w:color="auto" w:fill="BF5B5A"/>
          </w:tcPr>
          <w:p>
            <w:pPr>
              <w:spacing w:after="0"/>
              <w:rPr>
                <w:sz w:val="13"/>
                <w:szCs w:val="13"/>
                <w:color w:val="auto"/>
              </w:rPr>
            </w:pPr>
          </w:p>
        </w:tc>
        <w:tc>
          <w:tcPr>
            <w:tcW w:w="240" w:type="dxa"/>
            <w:vAlign w:val="bottom"/>
            <w:shd w:val="clear" w:color="auto" w:fill="BF5B5A"/>
          </w:tcPr>
          <w:p>
            <w:pPr>
              <w:spacing w:after="0"/>
              <w:rPr>
                <w:sz w:val="13"/>
                <w:szCs w:val="13"/>
                <w:color w:val="auto"/>
              </w:rPr>
            </w:pPr>
          </w:p>
        </w:tc>
        <w:tc>
          <w:tcPr>
            <w:tcW w:w="820" w:type="dxa"/>
            <w:vAlign w:val="bottom"/>
            <w:gridSpan w:val="3"/>
            <w:shd w:val="clear" w:color="auto" w:fill="BF5B5A"/>
          </w:tcPr>
          <w:p>
            <w:pPr>
              <w:ind w:left="280"/>
              <w:spacing w:after="0"/>
              <w:rPr>
                <w:sz w:val="20"/>
                <w:szCs w:val="20"/>
                <w:color w:val="auto"/>
              </w:rPr>
            </w:pPr>
            <w:r>
              <w:rPr>
                <w:rFonts w:ascii="Arial" w:cs="Arial" w:eastAsia="Arial" w:hAnsi="Arial"/>
                <w:sz w:val="13"/>
                <w:szCs w:val="13"/>
                <w:b w:val="1"/>
                <w:bCs w:val="1"/>
                <w:color w:val="FFFFFF"/>
                <w:w w:val="94"/>
              </w:rPr>
              <w:t>All Other</w:t>
            </w:r>
          </w:p>
        </w:tc>
        <w:tc>
          <w:tcPr>
            <w:tcW w:w="640" w:type="dxa"/>
            <w:vAlign w:val="bottom"/>
            <w:shd w:val="clear" w:color="auto" w:fill="BF5B5A"/>
          </w:tcPr>
          <w:p>
            <w:pPr>
              <w:spacing w:after="0"/>
              <w:rPr>
                <w:sz w:val="13"/>
                <w:szCs w:val="13"/>
                <w:color w:val="auto"/>
              </w:rPr>
            </w:pPr>
          </w:p>
        </w:tc>
        <w:tc>
          <w:tcPr>
            <w:tcW w:w="22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180" w:type="dxa"/>
            <w:vAlign w:val="bottom"/>
            <w:gridSpan w:val="2"/>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540" w:type="dxa"/>
            <w:vAlign w:val="bottom"/>
            <w:shd w:val="clear" w:color="auto" w:fill="BF5B5A"/>
          </w:tcPr>
          <w:p>
            <w:pPr>
              <w:ind w:left="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spacing w:after="0"/>
              <w:rPr>
                <w:sz w:val="20"/>
                <w:szCs w:val="20"/>
                <w:color w:val="auto"/>
              </w:rPr>
            </w:pPr>
            <w:r>
              <w:rPr>
                <w:rFonts w:ascii="Arial" w:cs="Arial" w:eastAsia="Arial" w:hAnsi="Arial"/>
                <w:sz w:val="13"/>
                <w:szCs w:val="13"/>
                <w:b w:val="1"/>
                <w:bCs w:val="1"/>
                <w:color w:val="FFFFFF"/>
              </w:rPr>
              <w:t>​</w:t>
            </w:r>
          </w:p>
        </w:tc>
        <w:tc>
          <w:tcPr>
            <w:tcW w:w="160" w:type="dxa"/>
            <w:vAlign w:val="bottom"/>
            <w:gridSpan w:val="2"/>
            <w:shd w:val="clear" w:color="auto" w:fill="BF5B5A"/>
          </w:tcPr>
          <w:p>
            <w:pPr>
              <w:jc w:val="right"/>
              <w:ind w:right="20"/>
              <w:spacing w:after="0"/>
              <w:rPr>
                <w:sz w:val="20"/>
                <w:szCs w:val="20"/>
                <w:color w:val="auto"/>
              </w:rPr>
            </w:pPr>
            <w:r>
              <w:rPr>
                <w:rFonts w:ascii="Arial" w:cs="Arial" w:eastAsia="Arial" w:hAnsi="Arial"/>
                <w:sz w:val="13"/>
                <w:szCs w:val="13"/>
                <w:b w:val="1"/>
                <w:bCs w:val="1"/>
                <w:color w:val="FFFFFF"/>
              </w:rPr>
              <w:t>​​​</w:t>
            </w:r>
          </w:p>
        </w:tc>
        <w:tc>
          <w:tcPr>
            <w:tcW w:w="2200" w:type="dxa"/>
            <w:vAlign w:val="bottom"/>
            <w:gridSpan w:val="7"/>
            <w:shd w:val="clear" w:color="auto" w:fill="BF5B5A"/>
          </w:tcPr>
          <w:p>
            <w:pPr>
              <w:ind w:left="140"/>
              <w:spacing w:after="0"/>
              <w:rPr>
                <w:sz w:val="20"/>
                <w:szCs w:val="20"/>
                <w:color w:val="auto"/>
              </w:rPr>
            </w:pPr>
            <w:r>
              <w:rPr>
                <w:rFonts w:ascii="Arial" w:cs="Arial" w:eastAsia="Arial" w:hAnsi="Arial"/>
                <w:sz w:val="13"/>
                <w:szCs w:val="13"/>
                <w:b w:val="1"/>
                <w:bCs w:val="1"/>
                <w:color w:val="FFFFFF"/>
              </w:rPr>
              <w:t>Equity Incentive Plan Awards</w:t>
            </w:r>
            <w:r>
              <w:rPr>
                <w:rFonts w:ascii="Arial" w:cs="Arial" w:eastAsia="Arial" w:hAnsi="Arial"/>
                <w:sz w:val="16"/>
                <w:szCs w:val="16"/>
                <w:b w:val="1"/>
                <w:bCs w:val="1"/>
                <w:color w:val="FFFFFF"/>
                <w:vertAlign w:val="superscript"/>
              </w:rPr>
              <w:t>(1)</w:t>
            </w:r>
          </w:p>
        </w:tc>
        <w:tc>
          <w:tcPr>
            <w:tcW w:w="120" w:type="dxa"/>
            <w:vAlign w:val="bottom"/>
            <w:gridSpan w:val="2"/>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BF5B5A"/>
          </w:tcPr>
          <w:p>
            <w:pPr>
              <w:spacing w:after="0"/>
              <w:rPr>
                <w:sz w:val="18"/>
                <w:szCs w:val="18"/>
                <w:color w:val="auto"/>
              </w:rPr>
            </w:pPr>
          </w:p>
        </w:tc>
        <w:tc>
          <w:tcPr>
            <w:tcW w:w="1460" w:type="dxa"/>
            <w:vAlign w:val="bottom"/>
            <w:gridSpan w:val="4"/>
            <w:shd w:val="clear" w:color="auto" w:fill="BF5B5A"/>
          </w:tcPr>
          <w:p>
            <w:pPr>
              <w:jc w:val="right"/>
              <w:ind w:right="408"/>
              <w:spacing w:after="0"/>
              <w:rPr>
                <w:sz w:val="20"/>
                <w:szCs w:val="20"/>
                <w:color w:val="auto"/>
              </w:rPr>
            </w:pPr>
            <w:r>
              <w:rPr>
                <w:rFonts w:ascii="Arial" w:cs="Arial" w:eastAsia="Arial" w:hAnsi="Arial"/>
                <w:sz w:val="13"/>
                <w:szCs w:val="13"/>
                <w:b w:val="1"/>
                <w:bCs w:val="1"/>
                <w:color w:val="FFFFFF"/>
              </w:rPr>
              <w:t>Stock Awards</w:t>
            </w:r>
          </w:p>
        </w:tc>
        <w:tc>
          <w:tcPr>
            <w:tcW w:w="220" w:type="dxa"/>
            <w:vAlign w:val="bottom"/>
            <w:shd w:val="clear" w:color="auto" w:fill="BF5B5A"/>
          </w:tcPr>
          <w:p>
            <w:pPr>
              <w:ind w:left="1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1"/>
        </w:trPr>
        <w:tc>
          <w:tcPr>
            <w:tcW w:w="3960" w:type="dxa"/>
            <w:vAlign w:val="bottom"/>
          </w:tcPr>
          <w:p>
            <w:pPr>
              <w:spacing w:after="0"/>
              <w:rPr>
                <w:sz w:val="15"/>
                <w:szCs w:val="15"/>
                <w:color w:val="auto"/>
              </w:rPr>
            </w:pPr>
          </w:p>
        </w:tc>
        <w:tc>
          <w:tcPr>
            <w:tcW w:w="60" w:type="dxa"/>
            <w:vAlign w:val="bottom"/>
            <w:tcBorders>
              <w:top w:val="single" w:sz="8" w:color="BF5B5A"/>
            </w:tcBorders>
          </w:tcPr>
          <w:p>
            <w:pPr>
              <w:spacing w:after="0"/>
              <w:rPr>
                <w:sz w:val="15"/>
                <w:szCs w:val="15"/>
                <w:color w:val="auto"/>
              </w:rPr>
            </w:pPr>
          </w:p>
        </w:tc>
        <w:tc>
          <w:tcPr>
            <w:tcW w:w="120" w:type="dxa"/>
            <w:vAlign w:val="bottom"/>
            <w:tcBorders>
              <w:top w:val="single" w:sz="8" w:color="BF5B5A"/>
            </w:tcBorders>
          </w:tcPr>
          <w:p>
            <w:pPr>
              <w:spacing w:after="0"/>
              <w:rPr>
                <w:sz w:val="15"/>
                <w:szCs w:val="15"/>
                <w:color w:val="auto"/>
              </w:rPr>
            </w:pPr>
          </w:p>
        </w:tc>
        <w:tc>
          <w:tcPr>
            <w:tcW w:w="540" w:type="dxa"/>
            <w:vAlign w:val="bottom"/>
            <w:tcBorders>
              <w:top w:val="single" w:sz="8" w:color="BF5B5A"/>
            </w:tcBorders>
          </w:tcPr>
          <w:p>
            <w:pPr>
              <w:spacing w:after="0"/>
              <w:rPr>
                <w:sz w:val="15"/>
                <w:szCs w:val="15"/>
                <w:color w:val="auto"/>
              </w:rPr>
            </w:pPr>
          </w:p>
        </w:tc>
        <w:tc>
          <w:tcPr>
            <w:tcW w:w="100" w:type="dxa"/>
            <w:vAlign w:val="bottom"/>
            <w:tcBorders>
              <w:top w:val="single" w:sz="8" w:color="BF5B5A"/>
            </w:tcBorders>
          </w:tcPr>
          <w:p>
            <w:pPr>
              <w:spacing w:after="0"/>
              <w:rPr>
                <w:sz w:val="15"/>
                <w:szCs w:val="15"/>
                <w:color w:val="auto"/>
              </w:rPr>
            </w:pPr>
          </w:p>
        </w:tc>
        <w:tc>
          <w:tcPr>
            <w:tcW w:w="120" w:type="dxa"/>
            <w:vAlign w:val="bottom"/>
            <w:tcBorders>
              <w:top w:val="single" w:sz="8" w:color="BF5B5A"/>
            </w:tcBorders>
          </w:tcPr>
          <w:p>
            <w:pPr>
              <w:spacing w:after="0"/>
              <w:rPr>
                <w:sz w:val="15"/>
                <w:szCs w:val="15"/>
                <w:color w:val="auto"/>
              </w:rPr>
            </w:pPr>
          </w:p>
        </w:tc>
        <w:tc>
          <w:tcPr>
            <w:tcW w:w="40" w:type="dxa"/>
            <w:vAlign w:val="bottom"/>
            <w:tcBorders>
              <w:top w:val="single" w:sz="8" w:color="7F7F7F"/>
            </w:tcBorders>
          </w:tcPr>
          <w:p>
            <w:pPr>
              <w:spacing w:after="0"/>
              <w:rPr>
                <w:sz w:val="15"/>
                <w:szCs w:val="15"/>
                <w:color w:val="auto"/>
              </w:rPr>
            </w:pPr>
          </w:p>
        </w:tc>
        <w:tc>
          <w:tcPr>
            <w:tcW w:w="220" w:type="dxa"/>
            <w:vAlign w:val="bottom"/>
            <w:tcBorders>
              <w:top w:val="single" w:sz="8" w:color="7F7F7F"/>
            </w:tcBorders>
          </w:tcPr>
          <w:p>
            <w:pPr>
              <w:spacing w:after="0"/>
              <w:rPr>
                <w:sz w:val="15"/>
                <w:szCs w:val="15"/>
                <w:color w:val="auto"/>
              </w:rPr>
            </w:pPr>
          </w:p>
        </w:tc>
        <w:tc>
          <w:tcPr>
            <w:tcW w:w="460" w:type="dxa"/>
            <w:vAlign w:val="bottom"/>
            <w:tcBorders>
              <w:top w:val="single" w:sz="8" w:color="7F7F7F"/>
            </w:tcBorders>
          </w:tcPr>
          <w:p>
            <w:pPr>
              <w:spacing w:after="0"/>
              <w:rPr>
                <w:sz w:val="15"/>
                <w:szCs w:val="15"/>
                <w:color w:val="auto"/>
              </w:rPr>
            </w:pPr>
          </w:p>
        </w:tc>
        <w:tc>
          <w:tcPr>
            <w:tcW w:w="280" w:type="dxa"/>
            <w:vAlign w:val="bottom"/>
            <w:tcBorders>
              <w:top w:val="single" w:sz="8" w:color="7F7F7F"/>
            </w:tcBorders>
          </w:tcPr>
          <w:p>
            <w:pPr>
              <w:spacing w:after="0"/>
              <w:rPr>
                <w:sz w:val="15"/>
                <w:szCs w:val="15"/>
                <w:color w:val="auto"/>
              </w:rPr>
            </w:pPr>
          </w:p>
        </w:tc>
        <w:tc>
          <w:tcPr>
            <w:tcW w:w="380" w:type="dxa"/>
            <w:vAlign w:val="bottom"/>
            <w:tcBorders>
              <w:top w:val="single" w:sz="8" w:color="7F7F7F"/>
            </w:tcBorders>
          </w:tcPr>
          <w:p>
            <w:pPr>
              <w:spacing w:after="0"/>
              <w:rPr>
                <w:sz w:val="15"/>
                <w:szCs w:val="15"/>
                <w:color w:val="auto"/>
              </w:rPr>
            </w:pPr>
          </w:p>
        </w:tc>
        <w:tc>
          <w:tcPr>
            <w:tcW w:w="140" w:type="dxa"/>
            <w:vAlign w:val="bottom"/>
            <w:tcBorders>
              <w:top w:val="single" w:sz="8" w:color="7F7F7F"/>
            </w:tcBorders>
          </w:tcPr>
          <w:p>
            <w:pPr>
              <w:spacing w:after="0"/>
              <w:rPr>
                <w:sz w:val="15"/>
                <w:szCs w:val="15"/>
                <w:color w:val="auto"/>
              </w:rPr>
            </w:pPr>
          </w:p>
        </w:tc>
        <w:tc>
          <w:tcPr>
            <w:tcW w:w="200" w:type="dxa"/>
            <w:vAlign w:val="bottom"/>
            <w:tcBorders>
              <w:top w:val="single" w:sz="8" w:color="7F7F7F"/>
            </w:tcBorders>
          </w:tcPr>
          <w:p>
            <w:pPr>
              <w:spacing w:after="0"/>
              <w:rPr>
                <w:sz w:val="15"/>
                <w:szCs w:val="15"/>
                <w:color w:val="auto"/>
              </w:rPr>
            </w:pPr>
          </w:p>
        </w:tc>
        <w:tc>
          <w:tcPr>
            <w:tcW w:w="520" w:type="dxa"/>
            <w:vAlign w:val="bottom"/>
            <w:tcBorders>
              <w:top w:val="single" w:sz="8" w:color="7F7F7F"/>
            </w:tcBorders>
          </w:tcPr>
          <w:p>
            <w:pPr>
              <w:spacing w:after="0"/>
              <w:rPr>
                <w:sz w:val="15"/>
                <w:szCs w:val="15"/>
                <w:color w:val="auto"/>
              </w:rPr>
            </w:pPr>
          </w:p>
        </w:tc>
        <w:tc>
          <w:tcPr>
            <w:tcW w:w="100" w:type="dxa"/>
            <w:vAlign w:val="bottom"/>
            <w:tcBorders>
              <w:top w:val="single" w:sz="8" w:color="BF5B5A"/>
            </w:tcBorders>
          </w:tcPr>
          <w:p>
            <w:pPr>
              <w:spacing w:after="0"/>
              <w:rPr>
                <w:sz w:val="15"/>
                <w:szCs w:val="15"/>
                <w:color w:val="auto"/>
              </w:rPr>
            </w:pPr>
          </w:p>
        </w:tc>
        <w:tc>
          <w:tcPr>
            <w:tcW w:w="20" w:type="dxa"/>
            <w:vAlign w:val="bottom"/>
            <w:tcBorders>
              <w:top w:val="single" w:sz="8" w:color="7F7F7F"/>
            </w:tcBorders>
          </w:tcPr>
          <w:p>
            <w:pPr>
              <w:spacing w:after="0"/>
              <w:rPr>
                <w:sz w:val="15"/>
                <w:szCs w:val="15"/>
                <w:color w:val="auto"/>
              </w:rPr>
            </w:pPr>
          </w:p>
        </w:tc>
        <w:tc>
          <w:tcPr>
            <w:tcW w:w="700" w:type="dxa"/>
            <w:vAlign w:val="bottom"/>
            <w:tcBorders>
              <w:top w:val="single" w:sz="8" w:color="7F7F7F"/>
            </w:tcBorders>
            <w:gridSpan w:val="2"/>
          </w:tcPr>
          <w:p>
            <w:pPr>
              <w:jc w:val="center"/>
              <w:spacing w:after="0"/>
              <w:rPr>
                <w:sz w:val="20"/>
                <w:szCs w:val="20"/>
                <w:color w:val="auto"/>
              </w:rPr>
            </w:pPr>
            <w:r>
              <w:rPr>
                <w:rFonts w:ascii="Arial" w:cs="Arial" w:eastAsia="Arial" w:hAnsi="Arial"/>
                <w:sz w:val="13"/>
                <w:szCs w:val="13"/>
                <w:b w:val="1"/>
                <w:bCs w:val="1"/>
                <w:color w:val="FFFFFF"/>
              </w:rPr>
              <w:t>Number of</w:t>
            </w:r>
          </w:p>
        </w:tc>
        <w:tc>
          <w:tcPr>
            <w:tcW w:w="160" w:type="dxa"/>
            <w:vAlign w:val="bottom"/>
            <w:tcBorders>
              <w:top w:val="single" w:sz="8" w:color="7F7F7F"/>
            </w:tcBorders>
          </w:tcPr>
          <w:p>
            <w:pPr>
              <w:spacing w:after="0"/>
              <w:rPr>
                <w:sz w:val="15"/>
                <w:szCs w:val="15"/>
                <w:color w:val="auto"/>
              </w:rPr>
            </w:pPr>
          </w:p>
        </w:tc>
        <w:tc>
          <w:tcPr>
            <w:tcW w:w="200" w:type="dxa"/>
            <w:vAlign w:val="bottom"/>
            <w:tcBorders>
              <w:top w:val="single" w:sz="8" w:color="7F7F7F"/>
            </w:tcBorders>
          </w:tcPr>
          <w:p>
            <w:pPr>
              <w:spacing w:after="0"/>
              <w:rPr>
                <w:sz w:val="15"/>
                <w:szCs w:val="15"/>
                <w:color w:val="auto"/>
              </w:rPr>
            </w:pPr>
          </w:p>
        </w:tc>
        <w:tc>
          <w:tcPr>
            <w:tcW w:w="640" w:type="dxa"/>
            <w:vAlign w:val="bottom"/>
            <w:tcBorders>
              <w:top w:val="single" w:sz="8" w:color="7F7F7F"/>
            </w:tcBorders>
          </w:tcPr>
          <w:p>
            <w:pPr>
              <w:spacing w:after="0"/>
              <w:rPr>
                <w:sz w:val="15"/>
                <w:szCs w:val="15"/>
                <w:color w:val="auto"/>
              </w:rPr>
            </w:pPr>
          </w:p>
        </w:tc>
        <w:tc>
          <w:tcPr>
            <w:tcW w:w="220" w:type="dxa"/>
            <w:vAlign w:val="bottom"/>
            <w:tcBorders>
              <w:top w:val="single" w:sz="8" w:color="BF5B5A"/>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FFFFFF"/>
              </w:rPr>
              <w:t>Shares of</w:t>
            </w:r>
          </w:p>
        </w:tc>
        <w:tc>
          <w:tcPr>
            <w:tcW w:w="1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FFFFFF"/>
              </w:rPr>
              <w:t>Grant Date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FFFFFF"/>
                <w:w w:val="98"/>
              </w:rPr>
              <w:t>Threshold</w:t>
            </w:r>
          </w:p>
        </w:tc>
        <w:tc>
          <w:tcPr>
            <w:tcW w:w="66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FFFFFF"/>
              </w:rPr>
              <w:t>Target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FFFFFF"/>
              </w:rPr>
              <w:t>Maximum</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9"/>
              </w:rPr>
              <w:t>Stock or</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FFFFFF"/>
                <w:w w:val="99"/>
              </w:rPr>
              <w:t>Fair Value of</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vMerge w:val="restart"/>
          </w:tcPr>
          <w:p>
            <w:pPr>
              <w:ind w:left="20"/>
              <w:spacing w:after="0"/>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3"/>
                <w:szCs w:val="13"/>
                <w:b w:val="1"/>
                <w:bCs w:val="1"/>
                <w:color w:val="FFFFFF"/>
              </w:rPr>
              <w:t>Name</w:t>
            </w:r>
          </w:p>
        </w:tc>
        <w:tc>
          <w:tcPr>
            <w:tcW w:w="820" w:type="dxa"/>
            <w:vAlign w:val="bottom"/>
            <w:gridSpan w:val="4"/>
            <w:vMerge w:val="restart"/>
          </w:tcPr>
          <w:p>
            <w:pPr>
              <w:ind w:left="40"/>
              <w:spacing w:after="0"/>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3"/>
                <w:szCs w:val="13"/>
                <w:b w:val="1"/>
                <w:bCs w:val="1"/>
                <w:color w:val="FFFFFF"/>
              </w:rPr>
              <w:t>Grant Date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ind w:left="140"/>
              <w:spacing w:after="0" w:line="161" w:lineRule="exact"/>
              <w:rPr>
                <w:sz w:val="20"/>
                <w:szCs w:val="20"/>
                <w:color w:val="auto"/>
              </w:rPr>
            </w:pPr>
            <w:r>
              <w:rPr>
                <w:rFonts w:ascii="Arial" w:cs="Arial" w:eastAsia="Arial" w:hAnsi="Arial"/>
                <w:sz w:val="13"/>
                <w:szCs w:val="13"/>
                <w:b w:val="1"/>
                <w:bCs w:val="1"/>
                <w:color w:val="FFFFFF"/>
              </w:rPr>
              <w:t>Units</w:t>
            </w:r>
            <w:r>
              <w:rPr>
                <w:rFonts w:ascii="Arial" w:cs="Arial" w:eastAsia="Arial" w:hAnsi="Arial"/>
                <w:sz w:val="16"/>
                <w:szCs w:val="16"/>
                <w:b w:val="1"/>
                <w:bCs w:val="1"/>
                <w:color w:val="FFFFFF"/>
                <w:vertAlign w:val="superscript"/>
              </w:rPr>
              <w:t>(2)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ind w:right="168"/>
              <w:spacing w:after="0"/>
              <w:rPr>
                <w:sz w:val="20"/>
                <w:szCs w:val="20"/>
                <w:color w:val="auto"/>
              </w:rPr>
            </w:pPr>
            <w:r>
              <w:rPr>
                <w:rFonts w:ascii="Arial" w:cs="Arial" w:eastAsia="Arial" w:hAnsi="Arial"/>
                <w:sz w:val="13"/>
                <w:szCs w:val="13"/>
                <w:b w:val="1"/>
                <w:bCs w:val="1"/>
                <w:color w:val="FFFFFF"/>
              </w:rPr>
              <w:t>Stock</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960" w:type="dxa"/>
            <w:vAlign w:val="bottom"/>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FFFFFF"/>
              </w:rPr>
              <w:t>​​</w:t>
            </w:r>
          </w:p>
        </w:tc>
        <w:tc>
          <w:tcPr>
            <w:tcW w:w="220" w:type="dxa"/>
            <w:vAlign w:val="bottom"/>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Arial" w:cs="Arial" w:eastAsia="Arial" w:hAnsi="Arial"/>
                <w:sz w:val="13"/>
                <w:szCs w:val="13"/>
                <w:b w:val="1"/>
                <w:bCs w:val="1"/>
                <w:color w:val="FFFFFF"/>
              </w:rPr>
              <w:t>(#)</w:t>
            </w:r>
          </w:p>
        </w:tc>
        <w:tc>
          <w:tcPr>
            <w:tcW w:w="280" w:type="dxa"/>
            <w:vAlign w:val="bottom"/>
          </w:tcPr>
          <w:p>
            <w:pPr>
              <w:ind w:left="60"/>
              <w:spacing w:after="0"/>
              <w:rPr>
                <w:sz w:val="20"/>
                <w:szCs w:val="20"/>
                <w:color w:val="auto"/>
              </w:rPr>
            </w:pPr>
            <w:r>
              <w:rPr>
                <w:rFonts w:ascii="Arial" w:cs="Arial" w:eastAsia="Arial" w:hAnsi="Arial"/>
                <w:sz w:val="13"/>
                <w:szCs w:val="13"/>
                <w:b w:val="1"/>
                <w:bCs w:val="1"/>
                <w:color w:val="FFFFFF"/>
              </w:rPr>
              <w:t>​​</w:t>
            </w:r>
          </w:p>
        </w:tc>
        <w:tc>
          <w:tcPr>
            <w:tcW w:w="380" w:type="dxa"/>
            <w:vAlign w:val="bottom"/>
          </w:tcPr>
          <w:p>
            <w:pPr>
              <w:jc w:val="right"/>
              <w:ind w:right="109"/>
              <w:spacing w:after="0"/>
              <w:rPr>
                <w:sz w:val="20"/>
                <w:szCs w:val="20"/>
                <w:color w:val="auto"/>
              </w:rPr>
            </w:pPr>
            <w:r>
              <w:rPr>
                <w:rFonts w:ascii="Arial" w:cs="Arial" w:eastAsia="Arial" w:hAnsi="Arial"/>
                <w:sz w:val="13"/>
                <w:szCs w:val="13"/>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tcPr>
          <w:p>
            <w:pPr>
              <w:spacing w:after="0"/>
              <w:rPr>
                <w:sz w:val="14"/>
                <w:szCs w:val="14"/>
                <w:color w:val="auto"/>
              </w:rPr>
            </w:pPr>
          </w:p>
        </w:tc>
        <w:tc>
          <w:tcPr>
            <w:tcW w:w="520" w:type="dxa"/>
            <w:vAlign w:val="bottom"/>
          </w:tcPr>
          <w:p>
            <w:pPr>
              <w:jc w:val="right"/>
              <w:ind w:right="209"/>
              <w:spacing w:after="0"/>
              <w:rPr>
                <w:sz w:val="20"/>
                <w:szCs w:val="20"/>
                <w:color w:val="auto"/>
              </w:rPr>
            </w:pPr>
            <w:r>
              <w:rPr>
                <w:rFonts w:ascii="Arial" w:cs="Arial" w:eastAsia="Arial" w:hAnsi="Arial"/>
                <w:sz w:val="13"/>
                <w:szCs w:val="13"/>
                <w:b w:val="1"/>
                <w:bCs w:val="1"/>
                <w:color w:val="FFFFFF"/>
              </w:rPr>
              <w:t>(#)</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FFFFFF"/>
              </w:rPr>
              <w:t>​​</w:t>
            </w:r>
          </w:p>
        </w:tc>
        <w:tc>
          <w:tcPr>
            <w:tcW w:w="240" w:type="dxa"/>
            <w:vAlign w:val="bottom"/>
          </w:tcPr>
          <w:p>
            <w:pPr>
              <w:spacing w:after="0"/>
              <w:rPr>
                <w:sz w:val="14"/>
                <w:szCs w:val="14"/>
                <w:color w:val="auto"/>
              </w:rPr>
            </w:pPr>
          </w:p>
        </w:tc>
        <w:tc>
          <w:tcPr>
            <w:tcW w:w="460" w:type="dxa"/>
            <w:vAlign w:val="bottom"/>
          </w:tcPr>
          <w:p>
            <w:pPr>
              <w:jc w:val="right"/>
              <w:ind w:right="189"/>
              <w:spacing w:after="0"/>
              <w:rPr>
                <w:sz w:val="20"/>
                <w:szCs w:val="20"/>
                <w:color w:val="auto"/>
              </w:rPr>
            </w:pPr>
            <w:r>
              <w:rPr>
                <w:rFonts w:ascii="Arial" w:cs="Arial" w:eastAsia="Arial" w:hAnsi="Arial"/>
                <w:sz w:val="13"/>
                <w:szCs w:val="13"/>
                <w:b w:val="1"/>
                <w:bCs w:val="1"/>
                <w:color w:val="FFFFFF"/>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FFFFFF"/>
              </w:rPr>
              <w:t>​​</w:t>
            </w:r>
          </w:p>
        </w:tc>
        <w:tc>
          <w:tcPr>
            <w:tcW w:w="840" w:type="dxa"/>
            <w:vAlign w:val="bottom"/>
            <w:gridSpan w:val="2"/>
          </w:tcPr>
          <w:p>
            <w:pPr>
              <w:ind w:left="140"/>
              <w:spacing w:after="0" w:line="168"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6"/>
                <w:szCs w:val="16"/>
                <w:b w:val="1"/>
                <w:bCs w:val="1"/>
                <w:color w:val="FFFFFF"/>
                <w:vertAlign w:val="superscript"/>
              </w:rPr>
              <w:t>(3)</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320"/>
        </w:trPr>
        <w:tc>
          <w:tcPr>
            <w:tcW w:w="3960" w:type="dxa"/>
            <w:vAlign w:val="bottom"/>
          </w:tcPr>
          <w:p>
            <w:pPr>
              <w:ind w:left="20"/>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Robert S. Harrison</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32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​25,823</w:t>
            </w:r>
          </w:p>
        </w:tc>
        <w:tc>
          <w:tcPr>
            <w:tcW w:w="660" w:type="dxa"/>
            <w:vAlign w:val="bottom"/>
            <w:gridSpan w:val="2"/>
          </w:tcPr>
          <w:p>
            <w:pPr>
              <w:jc w:val="right"/>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​51,646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9"/>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​103,292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320"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$1,379,981</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​34,431</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919,996</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James M. Moses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7,522</w:t>
            </w:r>
          </w:p>
        </w:tc>
        <w:tc>
          <w:tcPr>
            <w:tcW w:w="800" w:type="dxa"/>
            <w:vAlign w:val="bottom"/>
            <w:gridSpan w:val="3"/>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​15,044 </w:t>
            </w:r>
            <w:r>
              <w:rPr>
                <w:rFonts w:ascii="Arial" w:cs="Arial" w:eastAsia="Arial" w:hAnsi="Arial"/>
                <w:sz w:val="28"/>
                <w:szCs w:val="28"/>
                <w:color w:val="auto"/>
                <w:vertAlign w:val="superscript"/>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30,088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401,975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​10,030</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268,002</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Christopher L. Dods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7,859</w:t>
            </w:r>
          </w:p>
        </w:tc>
        <w:tc>
          <w:tcPr>
            <w:tcW w:w="660" w:type="dxa"/>
            <w:vAlign w:val="bottom"/>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​15,718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31,436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419,985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​10,479</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279,999</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Alan H. Arizumi</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3,368</w:t>
            </w:r>
          </w:p>
        </w:tc>
        <w:tc>
          <w:tcPr>
            <w:tcW w:w="660" w:type="dxa"/>
            <w:vAlign w:val="bottom"/>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6,736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13,472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179,985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4,491</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120,000</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Neill A. Char</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3,368</w:t>
            </w:r>
          </w:p>
        </w:tc>
        <w:tc>
          <w:tcPr>
            <w:tcW w:w="660" w:type="dxa"/>
            <w:vAlign w:val="bottom"/>
            <w:gridSpan w:val="2"/>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6,736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13,472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179,985</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4,491</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120,000</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Ralph M. Mesick</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4,772</w:t>
            </w:r>
          </w:p>
        </w:tc>
        <w:tc>
          <w:tcPr>
            <w:tcW w:w="800" w:type="dxa"/>
            <w:vAlign w:val="bottom"/>
            <w:gridSpan w:val="3"/>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9,543 </w:t>
            </w:r>
            <w:r>
              <w:rPr>
                <w:rFonts w:ascii="Arial" w:cs="Arial" w:eastAsia="Arial" w:hAnsi="Arial"/>
                <w:sz w:val="28"/>
                <w:szCs w:val="28"/>
                <w:color w:val="auto"/>
                <w:vertAlign w:val="superscript"/>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19,086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254,989</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spacing w:after="0"/>
              <w:rPr>
                <w:sz w:val="20"/>
                <w:szCs w:val="20"/>
                <w:color w:val="auto"/>
              </w:rPr>
            </w:pPr>
          </w:p>
        </w:tc>
        <w:tc>
          <w:tcPr>
            <w:tcW w:w="12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bottom w:val="single" w:sz="8" w:color="BF5B5A"/>
            </w:tcBorders>
          </w:tcPr>
          <w:p>
            <w:pPr>
              <w:ind w:left="60"/>
              <w:spacing w:after="0" w:line="236" w:lineRule="exact"/>
              <w:rPr>
                <w:sz w:val="20"/>
                <w:szCs w:val="20"/>
                <w:color w:val="auto"/>
              </w:rPr>
            </w:pPr>
            <w:r>
              <w:rPr>
                <w:rFonts w:ascii="Arial" w:cs="Arial" w:eastAsia="Arial" w:hAnsi="Arial"/>
                <w:sz w:val="27"/>
                <w:szCs w:val="27"/>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bottom w:val="single" w:sz="8" w:color="BF5B5A"/>
            </w:tcBorders>
          </w:tcPr>
          <w:p>
            <w:pPr>
              <w:spacing w:after="0"/>
              <w:rPr>
                <w:sz w:val="20"/>
                <w:szCs w:val="20"/>
                <w:color w:val="auto"/>
              </w:rPr>
            </w:pPr>
          </w:p>
        </w:tc>
        <w:tc>
          <w:tcPr>
            <w:tcW w:w="160" w:type="dxa"/>
            <w:vAlign w:val="bottom"/>
            <w:tcBorders>
              <w:top w:val="single" w:sz="8" w:color="7F7F7F"/>
              <w:bottom w:val="single" w:sz="8" w:color="BF5B5A"/>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bottom w:val="single" w:sz="8" w:color="BF5B5A"/>
            </w:tcBorders>
          </w:tcPr>
          <w:p>
            <w:pPr>
              <w:ind w:left="1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460" w:type="dxa"/>
            <w:vAlign w:val="bottom"/>
            <w:tcBorders>
              <w:top w:val="single" w:sz="8" w:color="7F7F7F"/>
              <w:bottom w:val="single" w:sz="8" w:color="BF5B5A"/>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bottom w:val="single" w:sz="8" w:color="BF5B5A"/>
            </w:tcBorders>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38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520" w:type="dxa"/>
            <w:vAlign w:val="bottom"/>
            <w:tcBorders>
              <w:top w:val="single" w:sz="8" w:color="7F7F7F"/>
              <w:bottom w:val="single" w:sz="8" w:color="BF5B5A"/>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bottom w:val="single" w:sz="8" w:color="BF5B5A"/>
            </w:tcBorders>
            <w:gridSpan w:val="2"/>
          </w:tcPr>
          <w:p>
            <w:pPr>
              <w:jc w:val="right"/>
              <w:ind w:right="49"/>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6,362</w:t>
            </w:r>
          </w:p>
        </w:tc>
        <w:tc>
          <w:tcPr>
            <w:tcW w:w="16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BF5B5A"/>
            </w:tcBorders>
          </w:tcPr>
          <w:p>
            <w:pPr>
              <w:jc w:val="right"/>
              <w:spacing w:after="0"/>
              <w:rPr>
                <w:sz w:val="20"/>
                <w:szCs w:val="20"/>
                <w:color w:val="auto"/>
              </w:rPr>
            </w:pPr>
            <w:r>
              <w:rPr>
                <w:rFonts w:ascii="Arial" w:cs="Arial" w:eastAsia="Arial" w:hAnsi="Arial"/>
                <w:sz w:val="14"/>
                <w:szCs w:val="14"/>
                <w:color w:val="auto"/>
              </w:rPr>
              <w:t>169,993</w:t>
            </w:r>
          </w:p>
        </w:tc>
        <w:tc>
          <w:tcPr>
            <w:tcW w:w="220" w:type="dxa"/>
            <w:vAlign w:val="bottom"/>
            <w:tcBorders>
              <w:top w:val="single" w:sz="8" w:color="7F7F7F"/>
              <w:bottom w:val="single" w:sz="8" w:color="BF5B5A"/>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3960" w:type="dxa"/>
            <w:vAlign w:val="bottom"/>
          </w:tcPr>
          <w:p>
            <w:pPr>
              <w:ind w:left="2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Lance A. Mizumoto</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line="290"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3,649</w:t>
            </w:r>
          </w:p>
        </w:tc>
        <w:tc>
          <w:tcPr>
            <w:tcW w:w="800" w:type="dxa"/>
            <w:vAlign w:val="bottom"/>
            <w:gridSpan w:val="3"/>
          </w:tcPr>
          <w:p>
            <w:pPr>
              <w:jc w:val="right"/>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7,298 </w:t>
            </w:r>
            <w:r>
              <w:rPr>
                <w:rFonts w:ascii="Arial" w:cs="Arial" w:eastAsia="Arial" w:hAnsi="Arial"/>
                <w:sz w:val="28"/>
                <w:szCs w:val="28"/>
                <w:color w:val="auto"/>
                <w:vertAlign w:val="superscript"/>
              </w:rPr>
              <w:t>​​</w:t>
            </w:r>
          </w:p>
        </w:tc>
        <w:tc>
          <w:tcPr>
            <w:tcW w:w="720" w:type="dxa"/>
            <w:vAlign w:val="bottom"/>
            <w:gridSpan w:val="2"/>
          </w:tcPr>
          <w:p>
            <w:pPr>
              <w:jc w:val="right"/>
              <w:ind w:right="29"/>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14,596</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40"/>
              <w:spacing w:after="0" w:line="29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195,002</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7F7F7F"/>
            </w:tcBorders>
          </w:tcPr>
          <w:p>
            <w:pPr>
              <w:ind w:left="60"/>
              <w:spacing w:after="0" w:line="292" w:lineRule="exact"/>
              <w:rPr>
                <w:sz w:val="20"/>
                <w:szCs w:val="20"/>
                <w:color w:val="auto"/>
              </w:rPr>
            </w:pPr>
            <w:r>
              <w:rPr>
                <w:rFonts w:ascii="Arial" w:cs="Arial" w:eastAsia="Arial" w:hAnsi="Arial"/>
                <w:sz w:val="28"/>
                <w:szCs w:val="28"/>
                <w:color w:val="auto"/>
                <w:w w:val="98"/>
                <w:vertAlign w:val="superscript"/>
              </w:rPr>
              <w:t>​</w:t>
            </w:r>
            <w:r>
              <w:rPr>
                <w:rFonts w:ascii="Arial" w:cs="Arial" w:eastAsia="Arial" w:hAnsi="Arial"/>
                <w:sz w:val="14"/>
                <w:szCs w:val="14"/>
                <w:color w:val="auto"/>
                <w:w w:val="98"/>
              </w:rPr>
              <w:t>​2/22/23</w:t>
            </w:r>
          </w:p>
        </w:tc>
        <w:tc>
          <w:tcPr>
            <w:tcW w:w="100" w:type="dxa"/>
            <w:vAlign w:val="bottom"/>
            <w:tcBorders>
              <w:top w:val="single" w:sz="8" w:color="7F7F7F"/>
            </w:tcBorders>
          </w:tcPr>
          <w:p>
            <w:pPr>
              <w:spacing w:after="0"/>
              <w:rPr>
                <w:sz w:val="24"/>
                <w:szCs w:val="24"/>
                <w:color w:val="auto"/>
              </w:rPr>
            </w:pPr>
          </w:p>
        </w:tc>
        <w:tc>
          <w:tcPr>
            <w:tcW w:w="160" w:type="dxa"/>
            <w:vAlign w:val="bottom"/>
            <w:tcBorders>
              <w:top w:val="single" w:sz="8" w:color="7F7F7F"/>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7F7F7F"/>
            </w:tcBorders>
          </w:tcPr>
          <w:p>
            <w:pPr>
              <w:ind w:left="120"/>
              <w:spacing w:after="0" w:line="292"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460" w:type="dxa"/>
            <w:vAlign w:val="bottom"/>
            <w:tcBorders>
              <w:top w:val="single" w:sz="8" w:color="7F7F7F"/>
            </w:tcBorders>
          </w:tcPr>
          <w:p>
            <w:pPr>
              <w:jc w:val="right"/>
              <w:ind w:right="49"/>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7F7F7F"/>
            </w:tcBorders>
          </w:tcPr>
          <w:p>
            <w:pPr>
              <w:ind w:left="40"/>
              <w:spacing w:after="0" w:line="292"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3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tcBorders>
          </w:tcPr>
          <w:p>
            <w:pPr>
              <w:ind w:left="80"/>
              <w:spacing w:after="0" w:line="292"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52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7F7F7F"/>
            </w:tcBorders>
            <w:gridSpan w:val="2"/>
          </w:tcPr>
          <w:p>
            <w:pPr>
              <w:jc w:val="right"/>
              <w:ind w:right="49"/>
              <w:spacing w:after="0" w:line="292"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4,865</w:t>
            </w:r>
          </w:p>
        </w:tc>
        <w:tc>
          <w:tcPr>
            <w:tcW w:w="1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7F7F7F"/>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129,993</w:t>
            </w:r>
          </w:p>
        </w:tc>
        <w:tc>
          <w:tcPr>
            <w:tcW w:w="220" w:type="dxa"/>
            <w:vAlign w:val="bottom"/>
            <w:tcBorders>
              <w:top w:val="single" w:sz="8" w:color="7F7F7F"/>
            </w:tcBorders>
          </w:tcPr>
          <w:p>
            <w:pPr>
              <w:ind w:lef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-3094990</wp:posOffset>
            </wp:positionV>
            <wp:extent cx="5795010" cy="5486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95010" cy="54864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-17780</wp:posOffset>
            </wp:positionV>
            <wp:extent cx="58293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1140" w:right="180" w:hanging="360"/>
        <w:spacing w:after="0" w:line="291"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Represents the 2023-2025 LTIP Awards under the LTIP, which cliff vest within 60 days following December 31, 2025, the end of the three-year performance period, subject to achievement of performance and continued employment through the vesting date.</w:t>
      </w:r>
    </w:p>
    <w:p>
      <w:pPr>
        <w:spacing w:after="0" w:line="43" w:lineRule="exact"/>
        <w:rPr>
          <w:rFonts w:ascii="Arial" w:cs="Arial" w:eastAsia="Arial" w:hAnsi="Arial"/>
          <w:sz w:val="16"/>
          <w:szCs w:val="16"/>
          <w:color w:val="auto"/>
        </w:rPr>
      </w:pPr>
    </w:p>
    <w:p>
      <w:pPr>
        <w:ind w:left="1140" w:right="40" w:hanging="360"/>
        <w:spacing w:after="0" w:line="301"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Represents restricted stock units granted under the Omnibus Plan that vest in three equal annual installments on each of February 22, 2024, February 22, 2025 and February 22, 2026 subject to continued employment through the applicable vesting date.</w:t>
      </w:r>
    </w:p>
    <w:p>
      <w:pPr>
        <w:spacing w:after="0" w:line="23" w:lineRule="exact"/>
        <w:rPr>
          <w:rFonts w:ascii="Arial" w:cs="Arial" w:eastAsia="Arial" w:hAnsi="Arial"/>
          <w:sz w:val="16"/>
          <w:szCs w:val="16"/>
          <w:color w:val="auto"/>
        </w:rPr>
      </w:pPr>
    </w:p>
    <w:p>
      <w:pPr>
        <w:ind w:left="1140" w:right="760" w:hanging="360"/>
        <w:spacing w:after="0" w:line="321" w:lineRule="auto"/>
        <w:tabs>
          <w:tab w:leader="none" w:pos="11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amounts in this column represent the grant date fair value, as determined in accordance with FASB ASC Topic 718.</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2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Outstanding Equity Awards at 2023 Fiscal Year End</w:t>
      </w:r>
    </w:p>
    <w:p>
      <w:pPr>
        <w:spacing w:after="0" w:line="177" w:lineRule="exact"/>
        <w:rPr>
          <w:sz w:val="20"/>
          <w:szCs w:val="20"/>
          <w:color w:val="auto"/>
        </w:rPr>
      </w:pPr>
    </w:p>
    <w:p>
      <w:pPr>
        <w:ind w:left="780" w:right="40"/>
        <w:spacing w:after="0" w:line="318" w:lineRule="auto"/>
        <w:rPr>
          <w:sz w:val="20"/>
          <w:szCs w:val="20"/>
          <w:color w:val="auto"/>
        </w:rPr>
      </w:pPr>
      <w:r>
        <w:rPr>
          <w:rFonts w:ascii="Arial" w:cs="Arial" w:eastAsia="Arial" w:hAnsi="Arial"/>
          <w:sz w:val="18"/>
          <w:szCs w:val="18"/>
          <w:color w:val="auto"/>
        </w:rPr>
        <w:t>As of December 31, 2023, our NEOs held outstanding equity-based awards of First Hawaiian common stock as listed in the table below.</w:t>
      </w:r>
    </w:p>
    <w:p>
      <w:pPr>
        <w:spacing w:after="0" w:line="145" w:lineRule="exact"/>
        <w:rPr>
          <w:sz w:val="20"/>
          <w:szCs w:val="20"/>
          <w:color w:val="auto"/>
        </w:rPr>
      </w:pPr>
    </w:p>
    <w:tbl>
      <w:tblPr>
        <w:tblLayout w:type="fixed"/>
        <w:tblInd w:w="780" w:type="dxa"/>
        <w:tblCellMar>
          <w:top w:w="0" w:type="dxa"/>
          <w:left w:w="0" w:type="dxa"/>
          <w:bottom w:w="0" w:type="dxa"/>
          <w:right w:w="0" w:type="dxa"/>
        </w:tblCellMar>
      </w:tblPr>
      <w:tr>
        <w:trPr>
          <w:trHeight w:val="257"/>
        </w:trPr>
        <w:tc>
          <w:tcPr>
            <w:tcW w:w="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2880" w:type="dxa"/>
            <w:vAlign w:val="bottom"/>
            <w:shd w:val="clear" w:color="auto" w:fill="BF5B5A"/>
          </w:tcPr>
          <w:p>
            <w:pPr>
              <w:jc w:val="right"/>
              <w:ind w:right="2739"/>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BF5B5A"/>
          </w:tcPr>
          <w:p>
            <w:pPr>
              <w:ind w:left="20"/>
              <w:spacing w:after="0"/>
              <w:rPr>
                <w:sz w:val="20"/>
                <w:szCs w:val="20"/>
                <w:color w:val="auto"/>
              </w:rPr>
            </w:pPr>
            <w:r>
              <w:rPr>
                <w:rFonts w:ascii="Arial" w:cs="Arial" w:eastAsia="Arial" w:hAnsi="Arial"/>
                <w:sz w:val="16"/>
                <w:szCs w:val="16"/>
                <w:b w:val="1"/>
                <w:bCs w:val="1"/>
                <w:color w:val="FFFFFF"/>
              </w:rPr>
              <w:t>​ ​</w:t>
            </w:r>
          </w:p>
        </w:tc>
        <w:tc>
          <w:tcPr>
            <w:tcW w:w="640" w:type="dxa"/>
            <w:vAlign w:val="bottom"/>
            <w:shd w:val="clear" w:color="auto" w:fill="BF5B5A"/>
          </w:tcPr>
          <w:p>
            <w:pPr>
              <w:spacing w:after="0"/>
              <w:rPr>
                <w:sz w:val="22"/>
                <w:szCs w:val="22"/>
                <w:color w:val="auto"/>
              </w:rPr>
            </w:pPr>
          </w:p>
        </w:tc>
        <w:tc>
          <w:tcPr>
            <w:tcW w:w="800" w:type="dxa"/>
            <w:vAlign w:val="bottom"/>
            <w:shd w:val="clear" w:color="auto" w:fill="BF5B5A"/>
          </w:tcPr>
          <w:p>
            <w:pPr>
              <w:spacing w:after="0"/>
              <w:rPr>
                <w:sz w:val="22"/>
                <w:szCs w:val="22"/>
                <w:color w:val="auto"/>
              </w:rPr>
            </w:pPr>
          </w:p>
        </w:tc>
        <w:tc>
          <w:tcPr>
            <w:tcW w:w="300" w:type="dxa"/>
            <w:vAlign w:val="bottom"/>
            <w:shd w:val="clear" w:color="auto" w:fill="BF5B5A"/>
          </w:tcPr>
          <w:p>
            <w:pPr>
              <w:spacing w:after="0"/>
              <w:rPr>
                <w:sz w:val="22"/>
                <w:szCs w:val="22"/>
                <w:color w:val="auto"/>
              </w:rPr>
            </w:pPr>
          </w:p>
        </w:tc>
        <w:tc>
          <w:tcPr>
            <w:tcW w:w="240" w:type="dxa"/>
            <w:vAlign w:val="bottom"/>
            <w:shd w:val="clear" w:color="auto" w:fill="BF5B5A"/>
          </w:tcPr>
          <w:p>
            <w:pPr>
              <w:spacing w:after="0"/>
              <w:rPr>
                <w:sz w:val="22"/>
                <w:szCs w:val="22"/>
                <w:color w:val="auto"/>
              </w:rPr>
            </w:pPr>
          </w:p>
        </w:tc>
        <w:tc>
          <w:tcPr>
            <w:tcW w:w="1640" w:type="dxa"/>
            <w:vAlign w:val="bottom"/>
            <w:gridSpan w:val="3"/>
            <w:shd w:val="clear" w:color="auto" w:fill="BF5B5A"/>
          </w:tcPr>
          <w:p>
            <w:pPr>
              <w:ind w:left="320"/>
              <w:spacing w:after="0"/>
              <w:rPr>
                <w:sz w:val="20"/>
                <w:szCs w:val="20"/>
                <w:color w:val="auto"/>
              </w:rPr>
            </w:pPr>
            <w:r>
              <w:rPr>
                <w:rFonts w:ascii="Arial" w:cs="Arial" w:eastAsia="Arial" w:hAnsi="Arial"/>
                <w:sz w:val="16"/>
                <w:szCs w:val="16"/>
                <w:b w:val="1"/>
                <w:bCs w:val="1"/>
                <w:color w:val="FFFFFF"/>
              </w:rPr>
              <w:t>Stock Awards</w:t>
            </w:r>
          </w:p>
        </w:tc>
        <w:tc>
          <w:tcPr>
            <w:tcW w:w="640" w:type="dxa"/>
            <w:vAlign w:val="bottom"/>
            <w:shd w:val="clear" w:color="auto" w:fill="BF5B5A"/>
          </w:tcPr>
          <w:p>
            <w:pPr>
              <w:spacing w:after="0"/>
              <w:rPr>
                <w:sz w:val="22"/>
                <w:szCs w:val="22"/>
                <w:color w:val="auto"/>
              </w:rPr>
            </w:pPr>
          </w:p>
        </w:tc>
        <w:tc>
          <w:tcPr>
            <w:tcW w:w="300" w:type="dxa"/>
            <w:vAlign w:val="bottom"/>
            <w:shd w:val="clear" w:color="auto" w:fill="BF5B5A"/>
          </w:tcPr>
          <w:p>
            <w:pPr>
              <w:spacing w:after="0"/>
              <w:rPr>
                <w:sz w:val="22"/>
                <w:szCs w:val="22"/>
                <w:color w:val="auto"/>
              </w:rPr>
            </w:pPr>
          </w:p>
        </w:tc>
        <w:tc>
          <w:tcPr>
            <w:tcW w:w="340" w:type="dxa"/>
            <w:vAlign w:val="bottom"/>
            <w:shd w:val="clear" w:color="auto" w:fill="BF5B5A"/>
          </w:tcPr>
          <w:p>
            <w:pPr>
              <w:spacing w:after="0"/>
              <w:rPr>
                <w:sz w:val="22"/>
                <w:szCs w:val="22"/>
                <w:color w:val="auto"/>
              </w:rPr>
            </w:pPr>
          </w:p>
        </w:tc>
        <w:tc>
          <w:tcPr>
            <w:tcW w:w="940" w:type="dxa"/>
            <w:vAlign w:val="bottom"/>
            <w:shd w:val="clear" w:color="auto" w:fill="BF5B5A"/>
          </w:tcPr>
          <w:p>
            <w:pPr>
              <w:spacing w:after="0"/>
              <w:rPr>
                <w:sz w:val="22"/>
                <w:szCs w:val="22"/>
                <w:color w:val="auto"/>
              </w:rPr>
            </w:pPr>
          </w:p>
        </w:tc>
        <w:tc>
          <w:tcPr>
            <w:tcW w:w="1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168"/>
        </w:trPr>
        <w:tc>
          <w:tcPr>
            <w:tcW w:w="80" w:type="dxa"/>
            <w:vAlign w:val="bottom"/>
            <w:tcBorders>
              <w:top w:val="single" w:sz="8" w:color="BF5B5A"/>
            </w:tcBorders>
            <w:shd w:val="clear" w:color="auto" w:fill="BF5B5A"/>
          </w:tcPr>
          <w:p>
            <w:pPr>
              <w:spacing w:after="0"/>
              <w:rPr>
                <w:sz w:val="14"/>
                <w:szCs w:val="14"/>
                <w:color w:val="auto"/>
              </w:rPr>
            </w:pPr>
          </w:p>
        </w:tc>
        <w:tc>
          <w:tcPr>
            <w:tcW w:w="2880" w:type="dxa"/>
            <w:vAlign w:val="bottom"/>
            <w:tcBorders>
              <w:top w:val="single" w:sz="8" w:color="BF5B5A"/>
            </w:tcBorders>
            <w:shd w:val="clear" w:color="auto" w:fill="BF5B5A"/>
          </w:tcPr>
          <w:p>
            <w:pPr>
              <w:spacing w:after="0"/>
              <w:rPr>
                <w:sz w:val="14"/>
                <w:szCs w:val="14"/>
                <w:color w:val="auto"/>
              </w:rPr>
            </w:pPr>
          </w:p>
        </w:tc>
        <w:tc>
          <w:tcPr>
            <w:tcW w:w="120" w:type="dxa"/>
            <w:vAlign w:val="bottom"/>
            <w:tcBorders>
              <w:top w:val="single" w:sz="8" w:color="BF5B5A"/>
            </w:tcBorders>
            <w:shd w:val="clear" w:color="auto" w:fill="BF5B5A"/>
          </w:tcPr>
          <w:p>
            <w:pPr>
              <w:spacing w:after="0"/>
              <w:rPr>
                <w:sz w:val="14"/>
                <w:szCs w:val="14"/>
                <w:color w:val="auto"/>
              </w:rPr>
            </w:pPr>
          </w:p>
        </w:tc>
        <w:tc>
          <w:tcPr>
            <w:tcW w:w="120" w:type="dxa"/>
            <w:vAlign w:val="bottom"/>
            <w:tcBorders>
              <w:top w:val="single" w:sz="8" w:color="7F7F7F"/>
            </w:tcBorders>
            <w:shd w:val="clear" w:color="auto" w:fill="BF5B5A"/>
          </w:tcPr>
          <w:p>
            <w:pPr>
              <w:spacing w:after="0"/>
              <w:rPr>
                <w:sz w:val="14"/>
                <w:szCs w:val="14"/>
                <w:color w:val="auto"/>
              </w:rPr>
            </w:pPr>
          </w:p>
        </w:tc>
        <w:tc>
          <w:tcPr>
            <w:tcW w:w="640" w:type="dxa"/>
            <w:vAlign w:val="bottom"/>
            <w:tcBorders>
              <w:top w:val="single" w:sz="8" w:color="7F7F7F"/>
            </w:tcBorders>
            <w:shd w:val="clear" w:color="auto" w:fill="BF5B5A"/>
          </w:tcPr>
          <w:p>
            <w:pPr>
              <w:spacing w:after="0"/>
              <w:rPr>
                <w:sz w:val="14"/>
                <w:szCs w:val="14"/>
                <w:color w:val="auto"/>
              </w:rPr>
            </w:pPr>
          </w:p>
        </w:tc>
        <w:tc>
          <w:tcPr>
            <w:tcW w:w="800" w:type="dxa"/>
            <w:vAlign w:val="bottom"/>
            <w:tcBorders>
              <w:top w:val="single" w:sz="8" w:color="7F7F7F"/>
            </w:tcBorders>
            <w:shd w:val="clear" w:color="auto" w:fill="BF5B5A"/>
          </w:tcPr>
          <w:p>
            <w:pPr>
              <w:spacing w:after="0"/>
              <w:rPr>
                <w:sz w:val="14"/>
                <w:szCs w:val="14"/>
                <w:color w:val="auto"/>
              </w:rPr>
            </w:pPr>
          </w:p>
        </w:tc>
        <w:tc>
          <w:tcPr>
            <w:tcW w:w="300" w:type="dxa"/>
            <w:vAlign w:val="bottom"/>
            <w:tcBorders>
              <w:top w:val="single" w:sz="8" w:color="7F7F7F"/>
            </w:tcBorders>
            <w:shd w:val="clear" w:color="auto" w:fill="BF5B5A"/>
          </w:tcPr>
          <w:p>
            <w:pPr>
              <w:spacing w:after="0"/>
              <w:rPr>
                <w:sz w:val="14"/>
                <w:szCs w:val="14"/>
                <w:color w:val="auto"/>
              </w:rPr>
            </w:pPr>
          </w:p>
        </w:tc>
        <w:tc>
          <w:tcPr>
            <w:tcW w:w="240" w:type="dxa"/>
            <w:vAlign w:val="bottom"/>
            <w:tcBorders>
              <w:top w:val="single" w:sz="8" w:color="7F7F7F"/>
            </w:tcBorders>
            <w:shd w:val="clear" w:color="auto" w:fill="BF5B5A"/>
          </w:tcPr>
          <w:p>
            <w:pPr>
              <w:spacing w:after="0"/>
              <w:rPr>
                <w:sz w:val="14"/>
                <w:szCs w:val="14"/>
                <w:color w:val="auto"/>
              </w:rPr>
            </w:pPr>
          </w:p>
        </w:tc>
        <w:tc>
          <w:tcPr>
            <w:tcW w:w="800" w:type="dxa"/>
            <w:vAlign w:val="bottom"/>
            <w:tcBorders>
              <w:top w:val="single" w:sz="8" w:color="7F7F7F"/>
            </w:tcBorders>
            <w:shd w:val="clear" w:color="auto" w:fill="BF5B5A"/>
          </w:tcPr>
          <w:p>
            <w:pPr>
              <w:spacing w:after="0"/>
              <w:rPr>
                <w:sz w:val="14"/>
                <w:szCs w:val="14"/>
                <w:color w:val="auto"/>
              </w:rPr>
            </w:pPr>
          </w:p>
        </w:tc>
        <w:tc>
          <w:tcPr>
            <w:tcW w:w="260" w:type="dxa"/>
            <w:vAlign w:val="bottom"/>
            <w:tcBorders>
              <w:top w:val="single" w:sz="8" w:color="7F7F7F"/>
            </w:tcBorders>
            <w:shd w:val="clear" w:color="auto" w:fill="BF5B5A"/>
          </w:tcPr>
          <w:p>
            <w:pPr>
              <w:spacing w:after="0"/>
              <w:rPr>
                <w:sz w:val="14"/>
                <w:szCs w:val="14"/>
                <w:color w:val="auto"/>
              </w:rPr>
            </w:pPr>
          </w:p>
        </w:tc>
        <w:tc>
          <w:tcPr>
            <w:tcW w:w="1220" w:type="dxa"/>
            <w:vAlign w:val="bottom"/>
            <w:tcBorders>
              <w:top w:val="single" w:sz="8" w:color="7F7F7F"/>
            </w:tcBorders>
            <w:gridSpan w:val="2"/>
            <w:shd w:val="clear" w:color="auto" w:fill="BF5B5A"/>
          </w:tcPr>
          <w:p>
            <w:pPr>
              <w:jc w:val="center"/>
              <w:spacing w:after="0" w:line="168" w:lineRule="exact"/>
              <w:rPr>
                <w:sz w:val="20"/>
                <w:szCs w:val="20"/>
                <w:color w:val="auto"/>
              </w:rPr>
            </w:pPr>
            <w:r>
              <w:rPr>
                <w:rFonts w:ascii="Arial" w:cs="Arial" w:eastAsia="Arial" w:hAnsi="Arial"/>
                <w:sz w:val="16"/>
                <w:szCs w:val="16"/>
                <w:b w:val="1"/>
                <w:bCs w:val="1"/>
                <w:color w:val="FFFFFF"/>
                <w:w w:val="94"/>
              </w:rPr>
              <w:t>Equity Incentive</w:t>
            </w:r>
          </w:p>
        </w:tc>
        <w:tc>
          <w:tcPr>
            <w:tcW w:w="300" w:type="dxa"/>
            <w:vAlign w:val="bottom"/>
            <w:tcBorders>
              <w:top w:val="single" w:sz="8" w:color="7F7F7F"/>
            </w:tcBorders>
            <w:shd w:val="clear" w:color="auto" w:fill="BF5B5A"/>
          </w:tcPr>
          <w:p>
            <w:pPr>
              <w:spacing w:after="0"/>
              <w:rPr>
                <w:sz w:val="14"/>
                <w:szCs w:val="14"/>
                <w:color w:val="auto"/>
              </w:rPr>
            </w:pPr>
          </w:p>
        </w:tc>
        <w:tc>
          <w:tcPr>
            <w:tcW w:w="1280" w:type="dxa"/>
            <w:vAlign w:val="bottom"/>
            <w:tcBorders>
              <w:top w:val="single" w:sz="8" w:color="7F7F7F"/>
            </w:tcBorders>
            <w:gridSpan w:val="2"/>
            <w:shd w:val="clear" w:color="auto" w:fill="BF5B5A"/>
          </w:tcPr>
          <w:p>
            <w:pPr>
              <w:jc w:val="center"/>
              <w:spacing w:after="0" w:line="168" w:lineRule="exact"/>
              <w:rPr>
                <w:sz w:val="20"/>
                <w:szCs w:val="20"/>
                <w:color w:val="auto"/>
              </w:rPr>
            </w:pPr>
            <w:r>
              <w:rPr>
                <w:rFonts w:ascii="Arial" w:cs="Arial" w:eastAsia="Arial" w:hAnsi="Arial"/>
                <w:sz w:val="16"/>
                <w:szCs w:val="16"/>
                <w:b w:val="1"/>
                <w:bCs w:val="1"/>
                <w:color w:val="FFFFFF"/>
                <w:w w:val="99"/>
              </w:rPr>
              <w:t>Equity Incentive</w:t>
            </w:r>
          </w:p>
        </w:tc>
        <w:tc>
          <w:tcPr>
            <w:tcW w:w="140" w:type="dxa"/>
            <w:vAlign w:val="bottom"/>
            <w:tcBorders>
              <w:top w:val="single" w:sz="8" w:color="7F7F7F"/>
            </w:tcBorders>
            <w:shd w:val="clear" w:color="auto" w:fill="BF5B5A"/>
          </w:tcPr>
          <w:p>
            <w:pPr>
              <w:spacing w:after="0"/>
              <w:rPr>
                <w:sz w:val="14"/>
                <w:szCs w:val="14"/>
                <w:color w:val="auto"/>
              </w:rPr>
            </w:pPr>
          </w:p>
        </w:tc>
      </w:tr>
      <w:tr>
        <w:trPr>
          <w:trHeight w:val="189"/>
        </w:trPr>
        <w:tc>
          <w:tcPr>
            <w:tcW w:w="80" w:type="dxa"/>
            <w:vAlign w:val="bottom"/>
            <w:shd w:val="clear" w:color="auto" w:fill="BF5B5A"/>
          </w:tcPr>
          <w:p>
            <w:pPr>
              <w:spacing w:after="0"/>
              <w:rPr>
                <w:sz w:val="16"/>
                <w:szCs w:val="16"/>
                <w:color w:val="auto"/>
              </w:rPr>
            </w:pPr>
          </w:p>
        </w:tc>
        <w:tc>
          <w:tcPr>
            <w:tcW w:w="288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640" w:type="dxa"/>
            <w:vAlign w:val="bottom"/>
            <w:shd w:val="clear" w:color="auto" w:fill="BF5B5A"/>
          </w:tcPr>
          <w:p>
            <w:pPr>
              <w:spacing w:after="0"/>
              <w:rPr>
                <w:sz w:val="16"/>
                <w:szCs w:val="16"/>
                <w:color w:val="auto"/>
              </w:rPr>
            </w:pPr>
          </w:p>
        </w:tc>
        <w:tc>
          <w:tcPr>
            <w:tcW w:w="800" w:type="dxa"/>
            <w:vAlign w:val="bottom"/>
            <w:shd w:val="clear" w:color="auto" w:fill="BF5B5A"/>
          </w:tcPr>
          <w:p>
            <w:pPr>
              <w:spacing w:after="0"/>
              <w:rPr>
                <w:sz w:val="16"/>
                <w:szCs w:val="16"/>
                <w:color w:val="auto"/>
              </w:rPr>
            </w:pPr>
          </w:p>
        </w:tc>
        <w:tc>
          <w:tcPr>
            <w:tcW w:w="30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80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12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2"/>
              </w:rPr>
              <w:t>Plan Awards:</w:t>
            </w:r>
          </w:p>
        </w:tc>
        <w:tc>
          <w:tcPr>
            <w:tcW w:w="300" w:type="dxa"/>
            <w:vAlign w:val="bottom"/>
            <w:shd w:val="clear" w:color="auto" w:fill="BF5B5A"/>
          </w:tcPr>
          <w:p>
            <w:pPr>
              <w:spacing w:after="0"/>
              <w:rPr>
                <w:sz w:val="16"/>
                <w:szCs w:val="16"/>
                <w:color w:val="auto"/>
              </w:rPr>
            </w:pPr>
          </w:p>
        </w:tc>
        <w:tc>
          <w:tcPr>
            <w:tcW w:w="128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6"/>
              </w:rPr>
              <w:t>Plan Awards:</w:t>
            </w:r>
          </w:p>
        </w:tc>
        <w:tc>
          <w:tcPr>
            <w:tcW w:w="140" w:type="dxa"/>
            <w:vAlign w:val="bottom"/>
            <w:shd w:val="clear" w:color="auto" w:fill="BF5B5A"/>
          </w:tcPr>
          <w:p>
            <w:pPr>
              <w:spacing w:after="0"/>
              <w:rPr>
                <w:sz w:val="16"/>
                <w:szCs w:val="16"/>
                <w:color w:val="auto"/>
              </w:rPr>
            </w:pPr>
          </w:p>
        </w:tc>
      </w:tr>
      <w:tr>
        <w:trPr>
          <w:trHeight w:val="175"/>
        </w:trPr>
        <w:tc>
          <w:tcPr>
            <w:tcW w:w="80" w:type="dxa"/>
            <w:vAlign w:val="bottom"/>
            <w:shd w:val="clear" w:color="auto" w:fill="BF5B5A"/>
          </w:tcPr>
          <w:p>
            <w:pPr>
              <w:spacing w:after="0"/>
              <w:rPr>
                <w:sz w:val="15"/>
                <w:szCs w:val="15"/>
                <w:color w:val="auto"/>
              </w:rPr>
            </w:pPr>
          </w:p>
        </w:tc>
        <w:tc>
          <w:tcPr>
            <w:tcW w:w="288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640" w:type="dxa"/>
            <w:vAlign w:val="bottom"/>
            <w:shd w:val="clear" w:color="auto" w:fill="BF5B5A"/>
          </w:tcPr>
          <w:p>
            <w:pPr>
              <w:spacing w:after="0"/>
              <w:rPr>
                <w:sz w:val="15"/>
                <w:szCs w:val="15"/>
                <w:color w:val="auto"/>
              </w:rPr>
            </w:pPr>
          </w:p>
        </w:tc>
        <w:tc>
          <w:tcPr>
            <w:tcW w:w="800" w:type="dxa"/>
            <w:vAlign w:val="bottom"/>
            <w:shd w:val="clear" w:color="auto" w:fill="BF5B5A"/>
          </w:tcPr>
          <w:p>
            <w:pPr>
              <w:spacing w:after="0"/>
              <w:rPr>
                <w:sz w:val="15"/>
                <w:szCs w:val="15"/>
                <w:color w:val="auto"/>
              </w:rPr>
            </w:pPr>
          </w:p>
        </w:tc>
        <w:tc>
          <w:tcPr>
            <w:tcW w:w="300" w:type="dxa"/>
            <w:vAlign w:val="bottom"/>
            <w:shd w:val="clear" w:color="auto" w:fill="BF5B5A"/>
          </w:tcPr>
          <w:p>
            <w:pPr>
              <w:spacing w:after="0"/>
              <w:rPr>
                <w:sz w:val="15"/>
                <w:szCs w:val="15"/>
                <w:color w:val="auto"/>
              </w:rPr>
            </w:pPr>
          </w:p>
        </w:tc>
        <w:tc>
          <w:tcPr>
            <w:tcW w:w="240" w:type="dxa"/>
            <w:vAlign w:val="bottom"/>
            <w:shd w:val="clear" w:color="auto" w:fill="BF5B5A"/>
          </w:tcPr>
          <w:p>
            <w:pPr>
              <w:spacing w:after="0"/>
              <w:rPr>
                <w:sz w:val="15"/>
                <w:szCs w:val="15"/>
                <w:color w:val="auto"/>
              </w:rPr>
            </w:pPr>
          </w:p>
        </w:tc>
        <w:tc>
          <w:tcPr>
            <w:tcW w:w="800" w:type="dxa"/>
            <w:vAlign w:val="bottom"/>
            <w:shd w:val="clear" w:color="auto" w:fill="BF5B5A"/>
          </w:tcPr>
          <w:p>
            <w:pPr>
              <w:jc w:val="center"/>
              <w:ind w:right="179"/>
              <w:spacing w:after="0" w:line="175" w:lineRule="exact"/>
              <w:rPr>
                <w:sz w:val="20"/>
                <w:szCs w:val="20"/>
                <w:color w:val="auto"/>
              </w:rPr>
            </w:pPr>
            <w:r>
              <w:rPr>
                <w:rFonts w:ascii="Arial" w:cs="Arial" w:eastAsia="Arial" w:hAnsi="Arial"/>
                <w:sz w:val="16"/>
                <w:szCs w:val="16"/>
                <w:b w:val="1"/>
                <w:bCs w:val="1"/>
                <w:color w:val="FFFFFF"/>
                <w:w w:val="96"/>
              </w:rPr>
              <w:t>Market</w:t>
            </w:r>
          </w:p>
        </w:tc>
        <w:tc>
          <w:tcPr>
            <w:tcW w:w="260" w:type="dxa"/>
            <w:vAlign w:val="bottom"/>
            <w:shd w:val="clear" w:color="auto" w:fill="BF5B5A"/>
          </w:tcPr>
          <w:p>
            <w:pPr>
              <w:spacing w:after="0"/>
              <w:rPr>
                <w:sz w:val="15"/>
                <w:szCs w:val="15"/>
                <w:color w:val="auto"/>
              </w:rPr>
            </w:pPr>
          </w:p>
        </w:tc>
        <w:tc>
          <w:tcPr>
            <w:tcW w:w="122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4"/>
              </w:rPr>
              <w:t>Number of</w:t>
            </w:r>
          </w:p>
        </w:tc>
        <w:tc>
          <w:tcPr>
            <w:tcW w:w="300" w:type="dxa"/>
            <w:vAlign w:val="bottom"/>
            <w:shd w:val="clear" w:color="auto" w:fill="BF5B5A"/>
          </w:tcPr>
          <w:p>
            <w:pPr>
              <w:spacing w:after="0"/>
              <w:rPr>
                <w:sz w:val="15"/>
                <w:szCs w:val="15"/>
                <w:color w:val="auto"/>
              </w:rPr>
            </w:pPr>
          </w:p>
        </w:tc>
        <w:tc>
          <w:tcPr>
            <w:tcW w:w="128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6"/>
              </w:rPr>
              <w:t>Market Value of</w:t>
            </w:r>
          </w:p>
        </w:tc>
        <w:tc>
          <w:tcPr>
            <w:tcW w:w="140" w:type="dxa"/>
            <w:vAlign w:val="bottom"/>
            <w:shd w:val="clear" w:color="auto" w:fill="BF5B5A"/>
          </w:tcPr>
          <w:p>
            <w:pPr>
              <w:spacing w:after="0"/>
              <w:rPr>
                <w:sz w:val="15"/>
                <w:szCs w:val="15"/>
                <w:color w:val="auto"/>
              </w:rPr>
            </w:pPr>
          </w:p>
        </w:tc>
      </w:tr>
      <w:tr>
        <w:trPr>
          <w:trHeight w:val="189"/>
        </w:trPr>
        <w:tc>
          <w:tcPr>
            <w:tcW w:w="80" w:type="dxa"/>
            <w:vAlign w:val="bottom"/>
            <w:shd w:val="clear" w:color="auto" w:fill="BF5B5A"/>
          </w:tcPr>
          <w:p>
            <w:pPr>
              <w:spacing w:after="0"/>
              <w:rPr>
                <w:sz w:val="16"/>
                <w:szCs w:val="16"/>
                <w:color w:val="auto"/>
              </w:rPr>
            </w:pPr>
          </w:p>
        </w:tc>
        <w:tc>
          <w:tcPr>
            <w:tcW w:w="288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640" w:type="dxa"/>
            <w:vAlign w:val="bottom"/>
            <w:shd w:val="clear" w:color="auto" w:fill="BF5B5A"/>
          </w:tcPr>
          <w:p>
            <w:pPr>
              <w:spacing w:after="0"/>
              <w:rPr>
                <w:sz w:val="16"/>
                <w:szCs w:val="16"/>
                <w:color w:val="auto"/>
              </w:rPr>
            </w:pPr>
          </w:p>
        </w:tc>
        <w:tc>
          <w:tcPr>
            <w:tcW w:w="800" w:type="dxa"/>
            <w:vAlign w:val="bottom"/>
            <w:shd w:val="clear" w:color="auto" w:fill="BF5B5A"/>
          </w:tcPr>
          <w:p>
            <w:pPr>
              <w:spacing w:after="0"/>
              <w:rPr>
                <w:sz w:val="16"/>
                <w:szCs w:val="16"/>
                <w:color w:val="auto"/>
              </w:rPr>
            </w:pPr>
          </w:p>
        </w:tc>
        <w:tc>
          <w:tcPr>
            <w:tcW w:w="300" w:type="dxa"/>
            <w:vAlign w:val="bottom"/>
            <w:shd w:val="clear" w:color="auto" w:fill="BF5B5A"/>
          </w:tcPr>
          <w:p>
            <w:pPr>
              <w:spacing w:after="0"/>
              <w:rPr>
                <w:sz w:val="16"/>
                <w:szCs w:val="16"/>
                <w:color w:val="auto"/>
              </w:rPr>
            </w:pPr>
          </w:p>
        </w:tc>
        <w:tc>
          <w:tcPr>
            <w:tcW w:w="10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260" w:type="dxa"/>
            <w:vAlign w:val="bottom"/>
            <w:shd w:val="clear" w:color="auto" w:fill="BF5B5A"/>
          </w:tcPr>
          <w:p>
            <w:pPr>
              <w:spacing w:after="0"/>
              <w:rPr>
                <w:sz w:val="16"/>
                <w:szCs w:val="16"/>
                <w:color w:val="auto"/>
              </w:rPr>
            </w:pPr>
          </w:p>
        </w:tc>
        <w:tc>
          <w:tcPr>
            <w:tcW w:w="12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Unearned</w:t>
            </w:r>
          </w:p>
        </w:tc>
        <w:tc>
          <w:tcPr>
            <w:tcW w:w="300" w:type="dxa"/>
            <w:vAlign w:val="bottom"/>
            <w:shd w:val="clear" w:color="auto" w:fill="BF5B5A"/>
          </w:tcPr>
          <w:p>
            <w:pPr>
              <w:spacing w:after="0"/>
              <w:rPr>
                <w:sz w:val="16"/>
                <w:szCs w:val="16"/>
                <w:color w:val="auto"/>
              </w:rPr>
            </w:pPr>
          </w:p>
        </w:tc>
        <w:tc>
          <w:tcPr>
            <w:tcW w:w="1280" w:type="dxa"/>
            <w:vAlign w:val="bottom"/>
            <w:gridSpan w:val="2"/>
            <w:shd w:val="clear" w:color="auto" w:fill="BF5B5A"/>
          </w:tcPr>
          <w:p>
            <w:pPr>
              <w:ind w:left="260"/>
              <w:spacing w:after="0"/>
              <w:rPr>
                <w:sz w:val="20"/>
                <w:szCs w:val="20"/>
                <w:color w:val="auto"/>
              </w:rPr>
            </w:pPr>
            <w:r>
              <w:rPr>
                <w:rFonts w:ascii="Arial" w:cs="Arial" w:eastAsia="Arial" w:hAnsi="Arial"/>
                <w:sz w:val="16"/>
                <w:szCs w:val="16"/>
                <w:b w:val="1"/>
                <w:bCs w:val="1"/>
                <w:color w:val="FFFFFF"/>
              </w:rPr>
              <w:t>Unearned</w:t>
            </w:r>
          </w:p>
        </w:tc>
        <w:tc>
          <w:tcPr>
            <w:tcW w:w="140" w:type="dxa"/>
            <w:vAlign w:val="bottom"/>
            <w:shd w:val="clear" w:color="auto" w:fill="BF5B5A"/>
          </w:tcPr>
          <w:p>
            <w:pPr>
              <w:spacing w:after="0"/>
              <w:rPr>
                <w:sz w:val="16"/>
                <w:szCs w:val="16"/>
                <w:color w:val="auto"/>
              </w:rPr>
            </w:pPr>
          </w:p>
        </w:tc>
      </w:tr>
      <w:tr>
        <w:trPr>
          <w:trHeight w:val="176"/>
        </w:trPr>
        <w:tc>
          <w:tcPr>
            <w:tcW w:w="80" w:type="dxa"/>
            <w:vAlign w:val="bottom"/>
            <w:shd w:val="clear" w:color="auto" w:fill="BF5B5A"/>
          </w:tcPr>
          <w:p>
            <w:pPr>
              <w:spacing w:after="0"/>
              <w:rPr>
                <w:sz w:val="15"/>
                <w:szCs w:val="15"/>
                <w:color w:val="auto"/>
              </w:rPr>
            </w:pPr>
          </w:p>
        </w:tc>
        <w:tc>
          <w:tcPr>
            <w:tcW w:w="288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144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4"/>
              </w:rPr>
              <w:t>Number of</w:t>
            </w:r>
          </w:p>
        </w:tc>
        <w:tc>
          <w:tcPr>
            <w:tcW w:w="300" w:type="dxa"/>
            <w:vAlign w:val="bottom"/>
            <w:shd w:val="clear" w:color="auto" w:fill="BF5B5A"/>
          </w:tcPr>
          <w:p>
            <w:pPr>
              <w:spacing w:after="0"/>
              <w:rPr>
                <w:sz w:val="15"/>
                <w:szCs w:val="15"/>
                <w:color w:val="auto"/>
              </w:rPr>
            </w:pPr>
          </w:p>
        </w:tc>
        <w:tc>
          <w:tcPr>
            <w:tcW w:w="1040" w:type="dxa"/>
            <w:vAlign w:val="bottom"/>
            <w:gridSpan w:val="2"/>
            <w:shd w:val="clear" w:color="auto" w:fill="BF5B5A"/>
          </w:tcPr>
          <w:p>
            <w:pPr>
              <w:ind w:left="140"/>
              <w:spacing w:after="0" w:line="175" w:lineRule="exact"/>
              <w:rPr>
                <w:sz w:val="20"/>
                <w:szCs w:val="20"/>
                <w:color w:val="auto"/>
              </w:rPr>
            </w:pPr>
            <w:r>
              <w:rPr>
                <w:rFonts w:ascii="Arial" w:cs="Arial" w:eastAsia="Arial" w:hAnsi="Arial"/>
                <w:sz w:val="16"/>
                <w:szCs w:val="16"/>
                <w:b w:val="1"/>
                <w:bCs w:val="1"/>
                <w:color w:val="FFFFFF"/>
              </w:rPr>
              <w:t>Shares or</w:t>
            </w:r>
          </w:p>
        </w:tc>
        <w:tc>
          <w:tcPr>
            <w:tcW w:w="260" w:type="dxa"/>
            <w:vAlign w:val="bottom"/>
            <w:shd w:val="clear" w:color="auto" w:fill="BF5B5A"/>
          </w:tcPr>
          <w:p>
            <w:pPr>
              <w:spacing w:after="0"/>
              <w:rPr>
                <w:sz w:val="15"/>
                <w:szCs w:val="15"/>
                <w:color w:val="auto"/>
              </w:rPr>
            </w:pPr>
          </w:p>
        </w:tc>
        <w:tc>
          <w:tcPr>
            <w:tcW w:w="122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5"/>
              </w:rPr>
              <w:t>Shares, Units</w:t>
            </w:r>
          </w:p>
        </w:tc>
        <w:tc>
          <w:tcPr>
            <w:tcW w:w="300" w:type="dxa"/>
            <w:vAlign w:val="bottom"/>
            <w:shd w:val="clear" w:color="auto" w:fill="BF5B5A"/>
          </w:tcPr>
          <w:p>
            <w:pPr>
              <w:spacing w:after="0"/>
              <w:rPr>
                <w:sz w:val="15"/>
                <w:szCs w:val="15"/>
                <w:color w:val="auto"/>
              </w:rPr>
            </w:pPr>
          </w:p>
        </w:tc>
        <w:tc>
          <w:tcPr>
            <w:tcW w:w="340" w:type="dxa"/>
            <w:vAlign w:val="bottom"/>
            <w:shd w:val="clear" w:color="auto" w:fill="BF5B5A"/>
          </w:tcPr>
          <w:p>
            <w:pPr>
              <w:spacing w:after="0"/>
              <w:rPr>
                <w:sz w:val="15"/>
                <w:szCs w:val="15"/>
                <w:color w:val="auto"/>
              </w:rPr>
            </w:pPr>
          </w:p>
        </w:tc>
        <w:tc>
          <w:tcPr>
            <w:tcW w:w="940" w:type="dxa"/>
            <w:vAlign w:val="bottom"/>
            <w:shd w:val="clear" w:color="auto" w:fill="BF5B5A"/>
          </w:tcPr>
          <w:p>
            <w:pPr>
              <w:jc w:val="center"/>
              <w:ind w:right="279"/>
              <w:spacing w:after="0" w:line="175" w:lineRule="exact"/>
              <w:rPr>
                <w:sz w:val="20"/>
                <w:szCs w:val="20"/>
                <w:color w:val="auto"/>
              </w:rPr>
            </w:pPr>
            <w:r>
              <w:rPr>
                <w:rFonts w:ascii="Arial" w:cs="Arial" w:eastAsia="Arial" w:hAnsi="Arial"/>
                <w:sz w:val="16"/>
                <w:szCs w:val="16"/>
                <w:b w:val="1"/>
                <w:bCs w:val="1"/>
                <w:color w:val="FFFFFF"/>
              </w:rPr>
              <w:t>Shares,</w:t>
            </w:r>
          </w:p>
        </w:tc>
        <w:tc>
          <w:tcPr>
            <w:tcW w:w="140" w:type="dxa"/>
            <w:vAlign w:val="bottom"/>
            <w:shd w:val="clear" w:color="auto" w:fill="BF5B5A"/>
          </w:tcPr>
          <w:p>
            <w:pPr>
              <w:spacing w:after="0"/>
              <w:rPr>
                <w:sz w:val="15"/>
                <w:szCs w:val="15"/>
                <w:color w:val="auto"/>
              </w:rPr>
            </w:pPr>
          </w:p>
        </w:tc>
      </w:tr>
      <w:tr>
        <w:trPr>
          <w:trHeight w:val="189"/>
        </w:trPr>
        <w:tc>
          <w:tcPr>
            <w:tcW w:w="80" w:type="dxa"/>
            <w:vAlign w:val="bottom"/>
            <w:shd w:val="clear" w:color="auto" w:fill="BF5B5A"/>
          </w:tcPr>
          <w:p>
            <w:pPr>
              <w:spacing w:after="0"/>
              <w:rPr>
                <w:sz w:val="16"/>
                <w:szCs w:val="16"/>
                <w:color w:val="auto"/>
              </w:rPr>
            </w:pPr>
          </w:p>
        </w:tc>
        <w:tc>
          <w:tcPr>
            <w:tcW w:w="288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4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Shares or</w:t>
            </w:r>
          </w:p>
        </w:tc>
        <w:tc>
          <w:tcPr>
            <w:tcW w:w="30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800" w:type="dxa"/>
            <w:vAlign w:val="bottom"/>
            <w:shd w:val="clear" w:color="auto" w:fill="BF5B5A"/>
          </w:tcPr>
          <w:p>
            <w:pPr>
              <w:jc w:val="center"/>
              <w:ind w:right="199"/>
              <w:spacing w:after="0"/>
              <w:rPr>
                <w:sz w:val="20"/>
                <w:szCs w:val="20"/>
                <w:color w:val="auto"/>
              </w:rPr>
            </w:pPr>
            <w:r>
              <w:rPr>
                <w:rFonts w:ascii="Arial" w:cs="Arial" w:eastAsia="Arial" w:hAnsi="Arial"/>
                <w:sz w:val="16"/>
                <w:szCs w:val="16"/>
                <w:b w:val="1"/>
                <w:bCs w:val="1"/>
                <w:color w:val="FFFFFF"/>
                <w:w w:val="99"/>
              </w:rPr>
              <w:t>Units</w:t>
            </w:r>
          </w:p>
        </w:tc>
        <w:tc>
          <w:tcPr>
            <w:tcW w:w="260" w:type="dxa"/>
            <w:vAlign w:val="bottom"/>
            <w:shd w:val="clear" w:color="auto" w:fill="BF5B5A"/>
          </w:tcPr>
          <w:p>
            <w:pPr>
              <w:spacing w:after="0"/>
              <w:rPr>
                <w:sz w:val="16"/>
                <w:szCs w:val="16"/>
                <w:color w:val="auto"/>
              </w:rPr>
            </w:pPr>
          </w:p>
        </w:tc>
        <w:tc>
          <w:tcPr>
            <w:tcW w:w="1220" w:type="dxa"/>
            <w:vAlign w:val="bottom"/>
            <w:gridSpan w:val="2"/>
            <w:shd w:val="clear" w:color="auto" w:fill="BF5B5A"/>
          </w:tcPr>
          <w:p>
            <w:pPr>
              <w:jc w:val="right"/>
              <w:ind w:right="259"/>
              <w:spacing w:after="0"/>
              <w:rPr>
                <w:sz w:val="20"/>
                <w:szCs w:val="20"/>
                <w:color w:val="auto"/>
              </w:rPr>
            </w:pPr>
            <w:r>
              <w:rPr>
                <w:rFonts w:ascii="Arial" w:cs="Arial" w:eastAsia="Arial" w:hAnsi="Arial"/>
                <w:sz w:val="16"/>
                <w:szCs w:val="16"/>
                <w:b w:val="1"/>
                <w:bCs w:val="1"/>
                <w:color w:val="FFFFFF"/>
              </w:rPr>
              <w:t>or Other</w:t>
            </w:r>
          </w:p>
        </w:tc>
        <w:tc>
          <w:tcPr>
            <w:tcW w:w="300" w:type="dxa"/>
            <w:vAlign w:val="bottom"/>
            <w:shd w:val="clear" w:color="auto" w:fill="BF5B5A"/>
          </w:tcPr>
          <w:p>
            <w:pPr>
              <w:spacing w:after="0"/>
              <w:rPr>
                <w:sz w:val="16"/>
                <w:szCs w:val="16"/>
                <w:color w:val="auto"/>
              </w:rPr>
            </w:pPr>
          </w:p>
        </w:tc>
        <w:tc>
          <w:tcPr>
            <w:tcW w:w="128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Units or Other</w:t>
            </w:r>
          </w:p>
        </w:tc>
        <w:tc>
          <w:tcPr>
            <w:tcW w:w="140" w:type="dxa"/>
            <w:vAlign w:val="bottom"/>
            <w:shd w:val="clear" w:color="auto" w:fill="BF5B5A"/>
          </w:tcPr>
          <w:p>
            <w:pPr>
              <w:spacing w:after="0"/>
              <w:rPr>
                <w:sz w:val="16"/>
                <w:szCs w:val="16"/>
                <w:color w:val="auto"/>
              </w:rPr>
            </w:pPr>
          </w:p>
        </w:tc>
      </w:tr>
      <w:tr>
        <w:trPr>
          <w:trHeight w:val="175"/>
        </w:trPr>
        <w:tc>
          <w:tcPr>
            <w:tcW w:w="80" w:type="dxa"/>
            <w:vAlign w:val="bottom"/>
            <w:shd w:val="clear" w:color="auto" w:fill="BF5B5A"/>
          </w:tcPr>
          <w:p>
            <w:pPr>
              <w:spacing w:after="0"/>
              <w:rPr>
                <w:sz w:val="15"/>
                <w:szCs w:val="15"/>
                <w:color w:val="auto"/>
              </w:rPr>
            </w:pPr>
          </w:p>
        </w:tc>
        <w:tc>
          <w:tcPr>
            <w:tcW w:w="288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144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4"/>
              </w:rPr>
              <w:t>Units</w:t>
            </w:r>
          </w:p>
        </w:tc>
        <w:tc>
          <w:tcPr>
            <w:tcW w:w="300" w:type="dxa"/>
            <w:vAlign w:val="bottom"/>
            <w:shd w:val="clear" w:color="auto" w:fill="BF5B5A"/>
          </w:tcPr>
          <w:p>
            <w:pPr>
              <w:spacing w:after="0"/>
              <w:rPr>
                <w:sz w:val="15"/>
                <w:szCs w:val="15"/>
                <w:color w:val="auto"/>
              </w:rPr>
            </w:pPr>
          </w:p>
        </w:tc>
        <w:tc>
          <w:tcPr>
            <w:tcW w:w="104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8"/>
              </w:rPr>
              <w:t>of Stock That</w:t>
            </w:r>
          </w:p>
        </w:tc>
        <w:tc>
          <w:tcPr>
            <w:tcW w:w="260" w:type="dxa"/>
            <w:vAlign w:val="bottom"/>
            <w:shd w:val="clear" w:color="auto" w:fill="BF5B5A"/>
          </w:tcPr>
          <w:p>
            <w:pPr>
              <w:spacing w:after="0"/>
              <w:rPr>
                <w:sz w:val="15"/>
                <w:szCs w:val="15"/>
                <w:color w:val="auto"/>
              </w:rPr>
            </w:pPr>
          </w:p>
        </w:tc>
        <w:tc>
          <w:tcPr>
            <w:tcW w:w="122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3"/>
              </w:rPr>
              <w:t>Rights that</w:t>
            </w:r>
          </w:p>
        </w:tc>
        <w:tc>
          <w:tcPr>
            <w:tcW w:w="300" w:type="dxa"/>
            <w:vAlign w:val="bottom"/>
            <w:shd w:val="clear" w:color="auto" w:fill="BF5B5A"/>
          </w:tcPr>
          <w:p>
            <w:pPr>
              <w:spacing w:after="0"/>
              <w:rPr>
                <w:sz w:val="15"/>
                <w:szCs w:val="15"/>
                <w:color w:val="auto"/>
              </w:rPr>
            </w:pPr>
          </w:p>
        </w:tc>
        <w:tc>
          <w:tcPr>
            <w:tcW w:w="128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7"/>
              </w:rPr>
              <w:t>Rights That</w:t>
            </w:r>
          </w:p>
        </w:tc>
        <w:tc>
          <w:tcPr>
            <w:tcW w:w="140" w:type="dxa"/>
            <w:vAlign w:val="bottom"/>
            <w:shd w:val="clear" w:color="auto" w:fill="BF5B5A"/>
          </w:tcPr>
          <w:p>
            <w:pPr>
              <w:spacing w:after="0"/>
              <w:rPr>
                <w:sz w:val="15"/>
                <w:szCs w:val="15"/>
                <w:color w:val="auto"/>
              </w:rPr>
            </w:pPr>
          </w:p>
        </w:tc>
      </w:tr>
      <w:tr>
        <w:trPr>
          <w:trHeight w:val="185"/>
        </w:trPr>
        <w:tc>
          <w:tcPr>
            <w:tcW w:w="80" w:type="dxa"/>
            <w:vAlign w:val="bottom"/>
            <w:shd w:val="clear" w:color="auto" w:fill="BF5B5A"/>
          </w:tcPr>
          <w:p>
            <w:pPr>
              <w:spacing w:after="0"/>
              <w:rPr>
                <w:sz w:val="16"/>
                <w:szCs w:val="16"/>
                <w:color w:val="auto"/>
              </w:rPr>
            </w:pPr>
          </w:p>
        </w:tc>
        <w:tc>
          <w:tcPr>
            <w:tcW w:w="288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20" w:type="dxa"/>
            <w:vAlign w:val="bottom"/>
            <w:shd w:val="clear" w:color="auto" w:fill="BF5B5A"/>
          </w:tcPr>
          <w:p>
            <w:pPr>
              <w:spacing w:after="0"/>
              <w:rPr>
                <w:sz w:val="16"/>
                <w:szCs w:val="16"/>
                <w:color w:val="auto"/>
              </w:rPr>
            </w:pPr>
          </w:p>
        </w:tc>
        <w:tc>
          <w:tcPr>
            <w:tcW w:w="14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of Stock That Have</w:t>
            </w:r>
          </w:p>
        </w:tc>
        <w:tc>
          <w:tcPr>
            <w:tcW w:w="300" w:type="dxa"/>
            <w:vAlign w:val="bottom"/>
            <w:shd w:val="clear" w:color="auto" w:fill="BF5B5A"/>
          </w:tcPr>
          <w:p>
            <w:pPr>
              <w:spacing w:after="0"/>
              <w:rPr>
                <w:sz w:val="16"/>
                <w:szCs w:val="16"/>
                <w:color w:val="auto"/>
              </w:rPr>
            </w:pPr>
          </w:p>
        </w:tc>
        <w:tc>
          <w:tcPr>
            <w:tcW w:w="1040" w:type="dxa"/>
            <w:vAlign w:val="bottom"/>
            <w:gridSpan w:val="2"/>
            <w:shd w:val="clear" w:color="auto" w:fill="BF5B5A"/>
          </w:tcPr>
          <w:p>
            <w:pPr>
              <w:ind w:left="160"/>
              <w:spacing w:after="0"/>
              <w:rPr>
                <w:sz w:val="20"/>
                <w:szCs w:val="20"/>
                <w:color w:val="auto"/>
              </w:rPr>
            </w:pPr>
            <w:r>
              <w:rPr>
                <w:rFonts w:ascii="Arial" w:cs="Arial" w:eastAsia="Arial" w:hAnsi="Arial"/>
                <w:sz w:val="16"/>
                <w:szCs w:val="16"/>
                <w:b w:val="1"/>
                <w:bCs w:val="1"/>
                <w:color w:val="FFFFFF"/>
              </w:rPr>
              <w:t>Have Not</w:t>
            </w:r>
          </w:p>
        </w:tc>
        <w:tc>
          <w:tcPr>
            <w:tcW w:w="260" w:type="dxa"/>
            <w:vAlign w:val="bottom"/>
            <w:shd w:val="clear" w:color="auto" w:fill="BF5B5A"/>
          </w:tcPr>
          <w:p>
            <w:pPr>
              <w:spacing w:after="0"/>
              <w:rPr>
                <w:sz w:val="16"/>
                <w:szCs w:val="16"/>
                <w:color w:val="auto"/>
              </w:rPr>
            </w:pPr>
          </w:p>
        </w:tc>
        <w:tc>
          <w:tcPr>
            <w:tcW w:w="12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Have</w:t>
            </w:r>
          </w:p>
        </w:tc>
        <w:tc>
          <w:tcPr>
            <w:tcW w:w="300" w:type="dxa"/>
            <w:vAlign w:val="bottom"/>
            <w:shd w:val="clear" w:color="auto" w:fill="BF5B5A"/>
          </w:tcPr>
          <w:p>
            <w:pPr>
              <w:spacing w:after="0"/>
              <w:rPr>
                <w:sz w:val="16"/>
                <w:szCs w:val="16"/>
                <w:color w:val="auto"/>
              </w:rPr>
            </w:pPr>
          </w:p>
        </w:tc>
        <w:tc>
          <w:tcPr>
            <w:tcW w:w="128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rPr>
              <w:t>Have Not</w:t>
            </w:r>
          </w:p>
        </w:tc>
        <w:tc>
          <w:tcPr>
            <w:tcW w:w="140" w:type="dxa"/>
            <w:vAlign w:val="bottom"/>
            <w:shd w:val="clear" w:color="auto" w:fill="BF5B5A"/>
          </w:tcPr>
          <w:p>
            <w:pPr>
              <w:spacing w:after="0"/>
              <w:rPr>
                <w:sz w:val="16"/>
                <w:szCs w:val="16"/>
                <w:color w:val="auto"/>
              </w:rPr>
            </w:pPr>
          </w:p>
        </w:tc>
      </w:tr>
      <w:tr>
        <w:trPr>
          <w:trHeight w:val="221"/>
        </w:trPr>
        <w:tc>
          <w:tcPr>
            <w:tcW w:w="8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c>
          <w:tcPr>
            <w:tcW w:w="2880" w:type="dxa"/>
            <w:vAlign w:val="bottom"/>
            <w:shd w:val="clear" w:color="auto" w:fill="BF5B5A"/>
          </w:tcPr>
          <w:p>
            <w:pPr>
              <w:jc w:val="right"/>
              <w:ind w:right="2379"/>
              <w:spacing w:after="0"/>
              <w:rPr>
                <w:sz w:val="20"/>
                <w:szCs w:val="20"/>
                <w:color w:val="auto"/>
              </w:rPr>
            </w:pPr>
            <w:r>
              <w:rPr>
                <w:rFonts w:ascii="Arial" w:cs="Arial" w:eastAsia="Arial" w:hAnsi="Arial"/>
                <w:sz w:val="16"/>
                <w:szCs w:val="16"/>
                <w:b w:val="1"/>
                <w:bCs w:val="1"/>
                <w:color w:val="FFFFFF"/>
                <w:w w:val="91"/>
              </w:rPr>
              <w:t>Name</w:t>
            </w:r>
          </w:p>
        </w:tc>
        <w:tc>
          <w:tcPr>
            <w:tcW w:w="240" w:type="dxa"/>
            <w:vAlign w:val="bottom"/>
            <w:gridSpan w:val="2"/>
            <w:shd w:val="clear" w:color="auto" w:fill="BF5B5A"/>
          </w:tcPr>
          <w:p>
            <w:pPr>
              <w:ind w:left="60"/>
              <w:spacing w:after="0"/>
              <w:rPr>
                <w:sz w:val="20"/>
                <w:szCs w:val="20"/>
                <w:color w:val="auto"/>
              </w:rPr>
            </w:pPr>
            <w:r>
              <w:rPr>
                <w:rFonts w:ascii="Arial" w:cs="Arial" w:eastAsia="Arial" w:hAnsi="Arial"/>
                <w:sz w:val="16"/>
                <w:szCs w:val="16"/>
                <w:b w:val="1"/>
                <w:bCs w:val="1"/>
                <w:color w:val="FFFFFF"/>
              </w:rPr>
              <w:t>​ ​</w:t>
            </w:r>
          </w:p>
        </w:tc>
        <w:tc>
          <w:tcPr>
            <w:tcW w:w="144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Not Vested (#)</w:t>
            </w:r>
          </w:p>
        </w:tc>
        <w:tc>
          <w:tcPr>
            <w:tcW w:w="30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gridSpan w:val="2"/>
            <w:shd w:val="clear" w:color="auto" w:fill="BF5B5A"/>
          </w:tcPr>
          <w:p>
            <w:pPr>
              <w:ind w:left="100"/>
              <w:spacing w:after="0"/>
              <w:rPr>
                <w:sz w:val="20"/>
                <w:szCs w:val="20"/>
                <w:color w:val="auto"/>
              </w:rPr>
            </w:pPr>
            <w:r>
              <w:rPr>
                <w:rFonts w:ascii="Arial" w:cs="Arial" w:eastAsia="Arial" w:hAnsi="Arial"/>
                <w:sz w:val="16"/>
                <w:szCs w:val="16"/>
                <w:b w:val="1"/>
                <w:bCs w:val="1"/>
                <w:color w:val="FFFFFF"/>
              </w:rPr>
              <w:t>Vested ($)</w:t>
            </w:r>
            <w:r>
              <w:rPr>
                <w:rFonts w:ascii="Arial" w:cs="Arial" w:eastAsia="Arial" w:hAnsi="Arial"/>
                <w:sz w:val="19"/>
                <w:szCs w:val="19"/>
                <w:b w:val="1"/>
                <w:bCs w:val="1"/>
                <w:color w:val="FFFFFF"/>
                <w:vertAlign w:val="superscript"/>
              </w:rPr>
              <w:t>(1)</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2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Not Vested (#)</w:t>
            </w:r>
          </w:p>
        </w:tc>
        <w:tc>
          <w:tcPr>
            <w:tcW w:w="30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280" w:type="dxa"/>
            <w:vAlign w:val="bottom"/>
            <w:gridSpan w:val="2"/>
            <w:shd w:val="clear" w:color="auto" w:fill="BF5B5A"/>
          </w:tcPr>
          <w:p>
            <w:pPr>
              <w:ind w:left="220"/>
              <w:spacing w:after="0"/>
              <w:rPr>
                <w:sz w:val="20"/>
                <w:szCs w:val="20"/>
                <w:color w:val="auto"/>
              </w:rPr>
            </w:pPr>
            <w:r>
              <w:rPr>
                <w:rFonts w:ascii="Arial" w:cs="Arial" w:eastAsia="Arial" w:hAnsi="Arial"/>
                <w:sz w:val="16"/>
                <w:szCs w:val="16"/>
                <w:b w:val="1"/>
                <w:bCs w:val="1"/>
                <w:color w:val="FFFFFF"/>
              </w:rPr>
              <w:t>Vested ($)</w:t>
            </w:r>
            <w:r>
              <w:rPr>
                <w:rFonts w:ascii="Arial" w:cs="Arial" w:eastAsia="Arial" w:hAnsi="Arial"/>
                <w:sz w:val="19"/>
                <w:szCs w:val="19"/>
                <w:b w:val="1"/>
                <w:bCs w:val="1"/>
                <w:color w:val="FFFFFF"/>
                <w:vertAlign w:val="superscript"/>
              </w:rPr>
              <w:t>(1)</w:t>
            </w:r>
          </w:p>
        </w:tc>
        <w:tc>
          <w:tcPr>
            <w:tcW w:w="1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43"/>
        </w:trPr>
        <w:tc>
          <w:tcPr>
            <w:tcW w:w="29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​Robert S. Harrison</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9,095</w:t>
            </w:r>
            <w:r>
              <w:rPr>
                <w:rFonts w:ascii="Arial" w:cs="Arial" w:eastAsia="Arial" w:hAnsi="Arial"/>
                <w:sz w:val="19"/>
                <w:szCs w:val="19"/>
                <w:color w:val="auto"/>
                <w:vertAlign w:val="superscript"/>
              </w:rPr>
              <w:t>(2)</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207,912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​49,644</w:t>
            </w:r>
            <w:r>
              <w:rPr>
                <w:rFonts w:ascii="Arial" w:cs="Arial" w:eastAsia="Arial" w:hAnsi="Arial"/>
                <w:sz w:val="19"/>
                <w:szCs w:val="19"/>
                <w:color w:val="auto"/>
                <w:vertAlign w:val="superscript"/>
              </w:rPr>
              <w:t>(3)</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gridSpan w:val="2"/>
          </w:tcPr>
          <w:p>
            <w:pPr>
              <w:jc w:val="right"/>
              <w:ind w:right="59"/>
              <w:spacing w:after="0"/>
              <w:rPr>
                <w:sz w:val="20"/>
                <w:szCs w:val="20"/>
                <w:color w:val="auto"/>
              </w:rPr>
            </w:pPr>
            <w:r>
              <w:rPr>
                <w:rFonts w:ascii="Arial" w:cs="Arial" w:eastAsia="Arial" w:hAnsi="Arial"/>
                <w:sz w:val="16"/>
                <w:szCs w:val="16"/>
                <w:color w:val="auto"/>
              </w:rPr>
              <w:t>​1,134,862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​18,668</w:t>
            </w:r>
            <w:r>
              <w:rPr>
                <w:rFonts w:ascii="Arial" w:cs="Arial" w:eastAsia="Arial" w:hAnsi="Arial"/>
                <w:sz w:val="19"/>
                <w:szCs w:val="19"/>
                <w:color w:val="auto"/>
                <w:vertAlign w:val="superscript"/>
              </w:rPr>
              <w:t>(4)</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426,750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42,000</w:t>
            </w:r>
            <w:r>
              <w:rPr>
                <w:rFonts w:ascii="Arial" w:cs="Arial" w:eastAsia="Arial" w:hAnsi="Arial"/>
                <w:sz w:val="19"/>
                <w:szCs w:val="19"/>
                <w:color w:val="auto"/>
                <w:vertAlign w:val="superscript"/>
              </w:rPr>
              <w:t>(5)</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960,120</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​34,431</w:t>
            </w:r>
            <w:r>
              <w:rPr>
                <w:rFonts w:ascii="Arial" w:cs="Arial" w:eastAsia="Arial" w:hAnsi="Arial"/>
                <w:sz w:val="19"/>
                <w:szCs w:val="19"/>
                <w:color w:val="auto"/>
                <w:vertAlign w:val="superscript"/>
              </w:rPr>
              <w:t>(6)</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787,093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51,646</w:t>
            </w:r>
            <w:r>
              <w:rPr>
                <w:rFonts w:ascii="Arial" w:cs="Arial" w:eastAsia="Arial" w:hAnsi="Arial"/>
                <w:sz w:val="19"/>
                <w:szCs w:val="19"/>
                <w:color w:val="auto"/>
                <w:vertAlign w:val="superscript"/>
              </w:rPr>
              <w:t>(7)</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7F7F7F"/>
            </w:tcBorders>
            <w:gridSpan w:val="2"/>
          </w:tcPr>
          <w:p>
            <w:pPr>
              <w:jc w:val="right"/>
              <w:ind w:right="179"/>
              <w:spacing w:after="0"/>
              <w:rPr>
                <w:sz w:val="20"/>
                <w:szCs w:val="20"/>
                <w:color w:val="auto"/>
              </w:rPr>
            </w:pPr>
            <w:r>
              <w:rPr>
                <w:rFonts w:ascii="Arial" w:cs="Arial" w:eastAsia="Arial" w:hAnsi="Arial"/>
                <w:sz w:val="16"/>
                <w:szCs w:val="16"/>
                <w:color w:val="auto"/>
              </w:rPr>
              <w:t>​1,180,628</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​James M. Moses</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​10,030</w:t>
            </w:r>
            <w:r>
              <w:rPr>
                <w:rFonts w:ascii="Arial" w:cs="Arial" w:eastAsia="Arial" w:hAnsi="Arial"/>
                <w:sz w:val="19"/>
                <w:szCs w:val="19"/>
                <w:color w:val="auto"/>
                <w:vertAlign w:val="superscript"/>
              </w:rPr>
              <w:t>(6)</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229,286</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15,044</w:t>
            </w:r>
            <w:r>
              <w:rPr>
                <w:rFonts w:ascii="Arial" w:cs="Arial" w:eastAsia="Arial" w:hAnsi="Arial"/>
                <w:sz w:val="19"/>
                <w:szCs w:val="19"/>
                <w:color w:val="auto"/>
                <w:vertAlign w:val="superscript"/>
              </w:rPr>
              <w:t>(7)</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343,906</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7,674</w:t>
            </w:r>
            <w:r>
              <w:rPr>
                <w:rFonts w:ascii="Arial" w:cs="Arial" w:eastAsia="Arial" w:hAnsi="Arial"/>
                <w:sz w:val="19"/>
                <w:szCs w:val="19"/>
                <w:color w:val="auto"/>
                <w:vertAlign w:val="superscript"/>
              </w:rPr>
              <w:t>(8)</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175,428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​Christopher L. Dods</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1,180</w:t>
            </w:r>
            <w:r>
              <w:rPr>
                <w:rFonts w:ascii="Arial" w:cs="Arial" w:eastAsia="Arial" w:hAnsi="Arial"/>
                <w:sz w:val="19"/>
                <w:szCs w:val="19"/>
                <w:color w:val="auto"/>
                <w:vertAlign w:val="superscript"/>
              </w:rPr>
              <w:t>(2)</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26,975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6,431</w:t>
            </w:r>
            <w:r>
              <w:rPr>
                <w:rFonts w:ascii="Arial" w:cs="Arial" w:eastAsia="Arial" w:hAnsi="Arial"/>
                <w:sz w:val="19"/>
                <w:szCs w:val="19"/>
                <w:color w:val="auto"/>
                <w:vertAlign w:val="superscript"/>
              </w:rPr>
              <w:t>(3)</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147,013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6,067</w:t>
            </w:r>
            <w:r>
              <w:rPr>
                <w:rFonts w:ascii="Arial" w:cs="Arial" w:eastAsia="Arial" w:hAnsi="Arial"/>
                <w:sz w:val="19"/>
                <w:szCs w:val="19"/>
                <w:color w:val="auto"/>
                <w:vertAlign w:val="superscript"/>
              </w:rPr>
              <w:t>(4)</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138,692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13,651</w:t>
            </w:r>
            <w:r>
              <w:rPr>
                <w:rFonts w:ascii="Arial" w:cs="Arial" w:eastAsia="Arial" w:hAnsi="Arial"/>
                <w:sz w:val="19"/>
                <w:szCs w:val="19"/>
                <w:color w:val="auto"/>
                <w:vertAlign w:val="superscript"/>
              </w:rPr>
              <w:t>(5)</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312,062</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​10,479</w:t>
            </w:r>
            <w:r>
              <w:rPr>
                <w:rFonts w:ascii="Arial" w:cs="Arial" w:eastAsia="Arial" w:hAnsi="Arial"/>
                <w:sz w:val="19"/>
                <w:szCs w:val="19"/>
                <w:color w:val="auto"/>
                <w:vertAlign w:val="superscript"/>
              </w:rPr>
              <w:t>(6)</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239,550</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15,718</w:t>
            </w:r>
            <w:r>
              <w:rPr>
                <w:rFonts w:ascii="Arial" w:cs="Arial" w:eastAsia="Arial" w:hAnsi="Arial"/>
                <w:sz w:val="19"/>
                <w:szCs w:val="19"/>
                <w:color w:val="auto"/>
                <w:vertAlign w:val="superscript"/>
              </w:rPr>
              <w:t>(7)</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359,313</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1,420</w:t>
            </w:r>
            <w:r>
              <w:rPr>
                <w:rFonts w:ascii="Arial" w:cs="Arial" w:eastAsia="Arial" w:hAnsi="Arial"/>
                <w:sz w:val="19"/>
                <w:szCs w:val="19"/>
                <w:color w:val="auto"/>
                <w:vertAlign w:val="superscript"/>
              </w:rPr>
              <w:t>(9)</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32,461</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​Alan H. Arizumi</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1,392</w:t>
            </w:r>
            <w:r>
              <w:rPr>
                <w:rFonts w:ascii="Arial" w:cs="Arial" w:eastAsia="Arial" w:hAnsi="Arial"/>
                <w:sz w:val="19"/>
                <w:szCs w:val="19"/>
                <w:color w:val="auto"/>
                <w:vertAlign w:val="superscript"/>
              </w:rPr>
              <w:t>(2)</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31,821</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7,588</w:t>
            </w:r>
            <w:r>
              <w:rPr>
                <w:rFonts w:ascii="Arial" w:cs="Arial" w:eastAsia="Arial" w:hAnsi="Arial"/>
                <w:sz w:val="19"/>
                <w:szCs w:val="19"/>
                <w:color w:val="auto"/>
                <w:vertAlign w:val="superscript"/>
              </w:rPr>
              <w:t>(3)</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173,462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2,567</w:t>
            </w:r>
            <w:r>
              <w:rPr>
                <w:rFonts w:ascii="Arial" w:cs="Arial" w:eastAsia="Arial" w:hAnsi="Arial"/>
                <w:sz w:val="19"/>
                <w:szCs w:val="19"/>
                <w:color w:val="auto"/>
                <w:vertAlign w:val="superscript"/>
              </w:rPr>
              <w:t>(4)</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58,682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5,775</w:t>
            </w:r>
            <w:r>
              <w:rPr>
                <w:rFonts w:ascii="Arial" w:cs="Arial" w:eastAsia="Arial" w:hAnsi="Arial"/>
                <w:sz w:val="19"/>
                <w:szCs w:val="19"/>
                <w:color w:val="auto"/>
                <w:vertAlign w:val="superscript"/>
              </w:rPr>
              <w:t>(5)</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132,017</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4,491</w:t>
            </w:r>
            <w:r>
              <w:rPr>
                <w:rFonts w:ascii="Arial" w:cs="Arial" w:eastAsia="Arial" w:hAnsi="Arial"/>
                <w:sz w:val="19"/>
                <w:szCs w:val="19"/>
                <w:color w:val="auto"/>
                <w:vertAlign w:val="superscript"/>
              </w:rPr>
              <w:t>(6)</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102,664</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6,736</w:t>
            </w:r>
            <w:r>
              <w:rPr>
                <w:rFonts w:ascii="Arial" w:cs="Arial" w:eastAsia="Arial" w:hAnsi="Arial"/>
                <w:sz w:val="19"/>
                <w:szCs w:val="19"/>
                <w:color w:val="auto"/>
                <w:vertAlign w:val="superscript"/>
              </w:rPr>
              <w:t>(7)</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153,985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​Neill A. Char</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239"/>
              <w:spacing w:after="0"/>
              <w:rPr>
                <w:sz w:val="20"/>
                <w:szCs w:val="20"/>
                <w:color w:val="auto"/>
              </w:rPr>
            </w:pPr>
            <w:r>
              <w:rPr>
                <w:rFonts w:ascii="Arial" w:cs="Arial" w:eastAsia="Arial" w:hAnsi="Arial"/>
                <w:sz w:val="16"/>
                <w:szCs w:val="16"/>
                <w:color w:val="auto"/>
              </w:rPr>
              <w:t>962</w:t>
            </w:r>
            <w:r>
              <w:rPr>
                <w:rFonts w:ascii="Arial" w:cs="Arial" w:eastAsia="Arial" w:hAnsi="Arial"/>
                <w:sz w:val="19"/>
                <w:szCs w:val="19"/>
                <w:color w:val="auto"/>
                <w:vertAlign w:val="superscript"/>
              </w:rPr>
              <w:t>(2)</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21,991</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5,243</w:t>
            </w:r>
            <w:r>
              <w:rPr>
                <w:rFonts w:ascii="Arial" w:cs="Arial" w:eastAsia="Arial" w:hAnsi="Arial"/>
                <w:sz w:val="19"/>
                <w:szCs w:val="19"/>
                <w:color w:val="auto"/>
                <w:vertAlign w:val="superscript"/>
              </w:rPr>
              <w:t>(3)</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119,855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2,334</w:t>
            </w:r>
            <w:r>
              <w:rPr>
                <w:rFonts w:ascii="Arial" w:cs="Arial" w:eastAsia="Arial" w:hAnsi="Arial"/>
                <w:sz w:val="19"/>
                <w:szCs w:val="19"/>
                <w:color w:val="auto"/>
                <w:vertAlign w:val="superscript"/>
              </w:rPr>
              <w:t>(4)</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53,355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5,250</w:t>
            </w:r>
            <w:r>
              <w:rPr>
                <w:rFonts w:ascii="Arial" w:cs="Arial" w:eastAsia="Arial" w:hAnsi="Arial"/>
                <w:sz w:val="19"/>
                <w:szCs w:val="19"/>
                <w:color w:val="auto"/>
                <w:vertAlign w:val="superscript"/>
              </w:rPr>
              <w:t>(5)</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120,015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4,491</w:t>
            </w:r>
            <w:r>
              <w:rPr>
                <w:rFonts w:ascii="Arial" w:cs="Arial" w:eastAsia="Arial" w:hAnsi="Arial"/>
                <w:sz w:val="19"/>
                <w:szCs w:val="19"/>
                <w:color w:val="auto"/>
                <w:vertAlign w:val="superscript"/>
              </w:rPr>
              <w:t>(6)</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102,664</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6,736</w:t>
            </w:r>
            <w:r>
              <w:rPr>
                <w:rFonts w:ascii="Arial" w:cs="Arial" w:eastAsia="Arial" w:hAnsi="Arial"/>
                <w:sz w:val="19"/>
                <w:szCs w:val="19"/>
                <w:color w:val="auto"/>
                <w:vertAlign w:val="superscript"/>
              </w:rPr>
              <w:t>(7)</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153,985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239"/>
              <w:spacing w:after="0"/>
              <w:rPr>
                <w:sz w:val="20"/>
                <w:szCs w:val="20"/>
                <w:color w:val="auto"/>
              </w:rPr>
            </w:pPr>
            <w:r>
              <w:rPr>
                <w:rFonts w:ascii="Arial" w:cs="Arial" w:eastAsia="Arial" w:hAnsi="Arial"/>
                <w:sz w:val="16"/>
                <w:szCs w:val="16"/>
                <w:color w:val="auto"/>
              </w:rPr>
              <w:t>728</w:t>
            </w:r>
            <w:r>
              <w:rPr>
                <w:rFonts w:ascii="Arial" w:cs="Arial" w:eastAsia="Arial" w:hAnsi="Arial"/>
                <w:sz w:val="19"/>
                <w:szCs w:val="19"/>
                <w:color w:val="auto"/>
                <w:vertAlign w:val="superscript"/>
              </w:rPr>
              <w:t>(9)</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16,642</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296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Ralph M. Mesick</w:t>
            </w:r>
            <w:r>
              <w:rPr>
                <w:rFonts w:ascii="Arial" w:cs="Arial" w:eastAsia="Arial" w:hAnsi="Arial"/>
                <w:sz w:val="18"/>
                <w:szCs w:val="18"/>
                <w:color w:val="auto"/>
                <w:vertAlign w:val="superscript"/>
              </w:rPr>
              <w:t>(10)</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​11,499</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268,867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5,250</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120,015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1,590</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36,347</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296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Lance A. Mizumoto</w:t>
            </w:r>
            <w:r>
              <w:rPr>
                <w:rFonts w:ascii="Arial" w:cs="Arial" w:eastAsia="Arial" w:hAnsi="Arial"/>
                <w:sz w:val="18"/>
                <w:szCs w:val="18"/>
                <w:color w:val="auto"/>
                <w:vertAlign w:val="superscript"/>
              </w:rPr>
              <w:t>(10)</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7F7F7F"/>
            </w:tcBorders>
            <w:gridSpan w:val="2"/>
          </w:tcPr>
          <w:p>
            <w:pPr>
              <w:ind w:left="500"/>
              <w:spacing w:after="0"/>
              <w:rPr>
                <w:sz w:val="20"/>
                <w:szCs w:val="20"/>
                <w:color w:val="auto"/>
              </w:rPr>
            </w:pPr>
            <w:r>
              <w:rPr>
                <w:rFonts w:ascii="Arial" w:cs="Arial" w:eastAsia="Arial" w:hAnsi="Arial"/>
                <w:sz w:val="16"/>
                <w:szCs w:val="16"/>
                <w:color w:val="auto"/>
              </w:rPr>
              <w:t>​ 8,220</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187,909</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580" w:type="dxa"/>
            <w:vAlign w:val="bottom"/>
            <w:tcBorders>
              <w:bottom w:val="single" w:sz="8" w:color="7F7F7F"/>
            </w:tcBorders>
          </w:tcPr>
          <w:p>
            <w:pPr>
              <w:ind w:left="3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7F7F7F"/>
            </w:tcBorders>
          </w:tcPr>
          <w:p>
            <w:pPr>
              <w:jc w:val="right"/>
              <w:ind w:right="2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60" w:type="dxa"/>
            <w:vAlign w:val="bottom"/>
            <w:tcBorders>
              <w:bottom w:val="single" w:sz="8" w:color="7F7F7F"/>
            </w:tcBorders>
            <w:gridSpan w:val="2"/>
          </w:tcPr>
          <w:p>
            <w:pPr>
              <w:jc w:val="right"/>
              <w:ind w:right="27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7F7F7F"/>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7F7F7F"/>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3,981</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7F7F7F"/>
            </w:tcBorders>
          </w:tcPr>
          <w:p>
            <w:pPr>
              <w:jc w:val="right"/>
              <w:ind w:right="179"/>
              <w:spacing w:after="0"/>
              <w:rPr>
                <w:sz w:val="20"/>
                <w:szCs w:val="20"/>
                <w:color w:val="auto"/>
              </w:rPr>
            </w:pPr>
            <w:r>
              <w:rPr>
                <w:rFonts w:ascii="Arial" w:cs="Arial" w:eastAsia="Arial" w:hAnsi="Arial"/>
                <w:sz w:val="16"/>
                <w:szCs w:val="16"/>
                <w:color w:val="auto"/>
              </w:rPr>
              <w:t>91,006</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960" w:type="dxa"/>
            <w:vAlign w:val="bottom"/>
            <w:tcBorders>
              <w:bottom w:val="single" w:sz="8" w:color="BF5B5A"/>
            </w:tcBorders>
            <w:gridSpan w:val="2"/>
          </w:tcPr>
          <w:p>
            <w:pPr>
              <w:jc w:val="right"/>
              <w:ind w:right="2739"/>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240" w:type="dxa"/>
            <w:vAlign w:val="bottom"/>
            <w:tcBorders>
              <w:bottom w:val="single" w:sz="8" w:color="BF5B5A"/>
            </w:tcBorders>
            <w:gridSpan w:val="2"/>
          </w:tcPr>
          <w:p>
            <w:pPr>
              <w:ind w:left="6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BF5B5A"/>
            </w:tcBorders>
          </w:tcPr>
          <w:p>
            <w:pPr>
              <w:ind w:left="5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5B5A"/>
            </w:tcBorders>
          </w:tcPr>
          <w:p>
            <w:pPr>
              <w:jc w:val="right"/>
              <w:ind w:right="3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BF5B5A"/>
            </w:tcBorders>
          </w:tcPr>
          <w:p>
            <w:pPr>
              <w:ind w:left="1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F5B5A"/>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BF5B5A"/>
            </w:tcBorders>
            <w:gridSpan w:val="2"/>
          </w:tcPr>
          <w:p>
            <w:pPr>
              <w:ind w:left="38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1,824</w:t>
            </w:r>
          </w:p>
        </w:tc>
        <w:tc>
          <w:tcPr>
            <w:tcW w:w="30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BF5B5A"/>
            </w:tcBorders>
          </w:tcPr>
          <w:p>
            <w:pPr>
              <w:ind w:left="2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5B5A"/>
            </w:tcBorders>
          </w:tcPr>
          <w:p>
            <w:pPr>
              <w:jc w:val="right"/>
              <w:ind w:right="179"/>
              <w:spacing w:after="0"/>
              <w:rPr>
                <w:sz w:val="20"/>
                <w:szCs w:val="20"/>
                <w:color w:val="auto"/>
              </w:rPr>
            </w:pPr>
            <w:r>
              <w:rPr>
                <w:rFonts w:ascii="Arial" w:cs="Arial" w:eastAsia="Arial" w:hAnsi="Arial"/>
                <w:sz w:val="16"/>
                <w:szCs w:val="16"/>
                <w:color w:val="auto"/>
              </w:rPr>
              <w:t>41,697</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ind w:left="1140" w:right="280" w:hanging="360"/>
        <w:spacing w:after="0" w:line="321" w:lineRule="auto"/>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the closing sale price of First Hawaiian common stock on NASDAQ of $22.86 per share on December 29, 2023.</w:t>
      </w:r>
    </w:p>
    <w:p>
      <w:pPr>
        <w:spacing w:after="0" w:line="210"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67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38" w:lineRule="exact"/>
        <w:rPr>
          <w:sz w:val="20"/>
          <w:szCs w:val="20"/>
          <w:color w:val="auto"/>
        </w:rPr>
      </w:pPr>
    </w:p>
    <w:p>
      <w:pPr>
        <w:ind w:left="1140" w:right="50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restricted stock units that vest on February 12, 2024 (February 24, 2024 for Mr. Harrison), subject to continued employment through the applicable vesting date.</w:t>
      </w:r>
    </w:p>
    <w:p>
      <w:pPr>
        <w:spacing w:after="0" w:line="7" w:lineRule="exact"/>
        <w:rPr>
          <w:rFonts w:ascii="Arial" w:cs="Arial" w:eastAsia="Arial" w:hAnsi="Arial"/>
          <w:sz w:val="16"/>
          <w:szCs w:val="16"/>
          <w:color w:val="auto"/>
        </w:rPr>
      </w:pPr>
    </w:p>
    <w:p>
      <w:pPr>
        <w:ind w:left="1140" w:right="2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the 2021-2023 LTIP Awards at earned performance, which cliff vest within 60 days following December 31, 2023, the end of the three-year performance period, subject to continued employment through the vesting date.</w:t>
      </w:r>
    </w:p>
    <w:p>
      <w:pPr>
        <w:spacing w:after="0" w:line="7" w:lineRule="exact"/>
        <w:rPr>
          <w:rFonts w:ascii="Arial" w:cs="Arial" w:eastAsia="Arial" w:hAnsi="Arial"/>
          <w:sz w:val="16"/>
          <w:szCs w:val="16"/>
          <w:color w:val="auto"/>
        </w:rPr>
      </w:pPr>
    </w:p>
    <w:p>
      <w:pPr>
        <w:ind w:left="1140" w:right="12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restricted stock units that vest on each of February 23, 2024 and February 23, 2025, subject to continued employment through the applicable vesting date.</w:t>
      </w:r>
    </w:p>
    <w:p>
      <w:pPr>
        <w:spacing w:after="0" w:line="7" w:lineRule="exact"/>
        <w:rPr>
          <w:rFonts w:ascii="Arial" w:cs="Arial" w:eastAsia="Arial" w:hAnsi="Arial"/>
          <w:sz w:val="16"/>
          <w:szCs w:val="16"/>
          <w:color w:val="auto"/>
        </w:rPr>
      </w:pPr>
    </w:p>
    <w:p>
      <w:pPr>
        <w:ind w:left="1140" w:right="12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the 2022-2024 LTIP Awards at 100% performance, which cliff vest within 60 days following December 31, 2024, the end of the three-year performance period, subject to continued employment through the vesting date.</w:t>
      </w:r>
    </w:p>
    <w:p>
      <w:pPr>
        <w:spacing w:after="0" w:line="7" w:lineRule="exact"/>
        <w:rPr>
          <w:rFonts w:ascii="Arial" w:cs="Arial" w:eastAsia="Arial" w:hAnsi="Arial"/>
          <w:sz w:val="16"/>
          <w:szCs w:val="16"/>
          <w:color w:val="auto"/>
        </w:rPr>
      </w:pPr>
    </w:p>
    <w:p>
      <w:pPr>
        <w:ind w:left="1140" w:right="48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restricted stock units that vest in three equal annual installments on each of February 22, 2024, February 22, 2025 and February 22, 2026, subject to continued employment through the applicable vesting date.</w:t>
      </w:r>
    </w:p>
    <w:p>
      <w:pPr>
        <w:spacing w:after="0" w:line="7" w:lineRule="exact"/>
        <w:rPr>
          <w:rFonts w:ascii="Arial" w:cs="Arial" w:eastAsia="Arial" w:hAnsi="Arial"/>
          <w:sz w:val="16"/>
          <w:szCs w:val="16"/>
          <w:color w:val="auto"/>
        </w:rPr>
      </w:pPr>
    </w:p>
    <w:p>
      <w:pPr>
        <w:ind w:left="1140" w:right="120" w:hanging="360"/>
        <w:spacing w:after="0" w:line="32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the 2023-2025 LTIP Awards at 100% performance, which cliff vest within 60 days following December 31, 2025, the end of the three-year performance period, subject to continued employment through the vesting date.</w:t>
      </w:r>
    </w:p>
    <w:p>
      <w:pPr>
        <w:spacing w:after="0" w:line="7" w:lineRule="exact"/>
        <w:rPr>
          <w:rFonts w:ascii="Arial" w:cs="Arial" w:eastAsia="Arial" w:hAnsi="Arial"/>
          <w:sz w:val="16"/>
          <w:szCs w:val="16"/>
          <w:color w:val="auto"/>
        </w:rPr>
      </w:pPr>
    </w:p>
    <w:p>
      <w:pPr>
        <w:ind w:left="1140" w:right="200" w:hanging="360"/>
        <w:spacing w:after="0" w:line="30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restricted stock units granted in connection with the commencement of Mr. Moses’s employment as Vice Chairman and Chief Financial Officer that vest in equal annual installments on January 3, 2024 and 2025, subject to continued employment through the vesting date.</w:t>
      </w:r>
    </w:p>
    <w:p>
      <w:pPr>
        <w:spacing w:after="0" w:line="23" w:lineRule="exact"/>
        <w:rPr>
          <w:rFonts w:ascii="Arial" w:cs="Arial" w:eastAsia="Arial" w:hAnsi="Arial"/>
          <w:sz w:val="16"/>
          <w:szCs w:val="16"/>
          <w:color w:val="auto"/>
        </w:rPr>
      </w:pPr>
    </w:p>
    <w:p>
      <w:pPr>
        <w:ind w:left="1140" w:right="100" w:hanging="360"/>
        <w:spacing w:after="0" w:line="301"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restricted stock units granted in connection with the commencement of Mr. Dods’s employment as Vice Chairman and Chief Operating Officer and Mr. Char’s employment as Executive Vice President, Retail Banking Group on May 1, 2021, that vest on May 1, 2024, subject to continued employment through the vesting date.</w:t>
      </w:r>
    </w:p>
    <w:p>
      <w:pPr>
        <w:spacing w:after="0" w:line="23" w:lineRule="exact"/>
        <w:rPr>
          <w:rFonts w:ascii="Arial" w:cs="Arial" w:eastAsia="Arial" w:hAnsi="Arial"/>
          <w:sz w:val="16"/>
          <w:szCs w:val="16"/>
          <w:color w:val="auto"/>
        </w:rPr>
      </w:pPr>
    </w:p>
    <w:p>
      <w:pPr>
        <w:ind w:left="1140" w:right="60" w:hanging="360"/>
        <w:spacing w:after="0" w:line="286"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Messrs. Mesick and Mizumoto forfeited 11,232 and 6,755 shares, respectively, underlying then outstanding restricted stock unit awards, effective upon their termination of employment on July 1, 2023 and October 1, 2023, respectively. Following their termination of employment on July 1, 2023 and October 1, 2023, respectively, which constituted a retirement for each individual under the Omnibus Plan, Messrs. Mesick’s and Mizumoto’s LTIP Awards remained outstanding and will vest in a prorated portion based on actual performance as determined by the Committee on the applicable determination date. Accordingly, for each of Messrs. Mesick and Mizumoto, the amounts shown include a prorated portion of each of the 2021-2023 LTIP Awards, 2022-2024 LTIP Awards and 2023-2025 LTIP Awards, in each case, based on the date of the respective NEO’s termination of employment relative to the length of the applicable performance period. The 2021-2023 LTIP Awards cliff vested within 60 days following December 31, 2023, the end of the three-year performance period, and are shown at earned performance.</w:t>
      </w:r>
    </w:p>
    <w:p>
      <w:pPr>
        <w:spacing w:after="0" w:line="133"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Stock Vested</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Stock Awards</w:t>
      </w:r>
    </w:p>
    <w:p>
      <w:pPr>
        <w:spacing w:after="0" w:line="164" w:lineRule="exact"/>
        <w:rPr>
          <w:sz w:val="20"/>
          <w:szCs w:val="20"/>
          <w:color w:val="auto"/>
        </w:rPr>
      </w:pPr>
    </w:p>
    <w:p>
      <w:pPr>
        <w:ind w:left="780" w:right="360"/>
        <w:spacing w:after="0" w:line="303" w:lineRule="auto"/>
        <w:rPr>
          <w:sz w:val="20"/>
          <w:szCs w:val="20"/>
          <w:color w:val="auto"/>
        </w:rPr>
      </w:pPr>
      <w:r>
        <w:rPr>
          <w:rFonts w:ascii="Arial" w:cs="Arial" w:eastAsia="Arial" w:hAnsi="Arial"/>
          <w:sz w:val="18"/>
          <w:szCs w:val="18"/>
          <w:color w:val="auto"/>
        </w:rPr>
        <w:t>The following table sets forth information with respect to our NEOs regarding the value of stock awards that vested in 2023.</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257"/>
        </w:trPr>
        <w:tc>
          <w:tcPr>
            <w:tcW w:w="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606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240" w:type="dxa"/>
            <w:vAlign w:val="bottom"/>
            <w:gridSpan w:val="2"/>
            <w:shd w:val="clear" w:color="auto" w:fill="BF5B5A"/>
          </w:tcPr>
          <w:p>
            <w:pPr>
              <w:ind w:left="20"/>
              <w:spacing w:after="0"/>
              <w:rPr>
                <w:sz w:val="20"/>
                <w:szCs w:val="20"/>
                <w:color w:val="auto"/>
              </w:rPr>
            </w:pPr>
            <w:r>
              <w:rPr>
                <w:rFonts w:ascii="Arial" w:cs="Arial" w:eastAsia="Arial" w:hAnsi="Arial"/>
                <w:sz w:val="16"/>
                <w:szCs w:val="16"/>
                <w:b w:val="1"/>
                <w:bCs w:val="1"/>
                <w:color w:val="FFFFFF"/>
              </w:rPr>
              <w:t>​ ​</w:t>
            </w:r>
          </w:p>
        </w:tc>
        <w:tc>
          <w:tcPr>
            <w:tcW w:w="660" w:type="dxa"/>
            <w:vAlign w:val="bottom"/>
            <w:shd w:val="clear" w:color="auto" w:fill="BF5B5A"/>
          </w:tcPr>
          <w:p>
            <w:pPr>
              <w:spacing w:after="0"/>
              <w:rPr>
                <w:sz w:val="22"/>
                <w:szCs w:val="22"/>
                <w:color w:val="auto"/>
              </w:rPr>
            </w:pPr>
          </w:p>
        </w:tc>
        <w:tc>
          <w:tcPr>
            <w:tcW w:w="1260" w:type="dxa"/>
            <w:vAlign w:val="bottom"/>
            <w:gridSpan w:val="3"/>
            <w:shd w:val="clear" w:color="auto" w:fill="BF5B5A"/>
          </w:tcPr>
          <w:p>
            <w:pPr>
              <w:ind w:left="160"/>
              <w:spacing w:after="0"/>
              <w:rPr>
                <w:sz w:val="20"/>
                <w:szCs w:val="20"/>
                <w:color w:val="auto"/>
              </w:rPr>
            </w:pPr>
            <w:r>
              <w:rPr>
                <w:rFonts w:ascii="Arial" w:cs="Arial" w:eastAsia="Arial" w:hAnsi="Arial"/>
                <w:sz w:val="16"/>
                <w:szCs w:val="16"/>
                <w:b w:val="1"/>
                <w:bCs w:val="1"/>
                <w:color w:val="FFFFFF"/>
              </w:rPr>
              <w:t>Stock Award</w:t>
            </w:r>
          </w:p>
        </w:tc>
        <w:tc>
          <w:tcPr>
            <w:tcW w:w="740" w:type="dxa"/>
            <w:vAlign w:val="bottom"/>
            <w:shd w:val="clear" w:color="auto" w:fill="BF5B5A"/>
          </w:tcPr>
          <w:p>
            <w:pPr>
              <w:spacing w:after="0"/>
              <w:rPr>
                <w:sz w:val="22"/>
                <w:szCs w:val="22"/>
                <w:color w:val="auto"/>
              </w:rPr>
            </w:pPr>
          </w:p>
        </w:tc>
        <w:tc>
          <w:tcPr>
            <w:tcW w:w="1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95"/>
        </w:trPr>
        <w:tc>
          <w:tcPr>
            <w:tcW w:w="80" w:type="dxa"/>
            <w:vAlign w:val="bottom"/>
            <w:tcBorders>
              <w:top w:val="single" w:sz="8" w:color="BF5B5A"/>
            </w:tcBorders>
            <w:shd w:val="clear" w:color="auto" w:fill="BF5B5A"/>
          </w:tcPr>
          <w:p>
            <w:pPr>
              <w:spacing w:after="0"/>
              <w:rPr>
                <w:sz w:val="16"/>
                <w:szCs w:val="16"/>
                <w:color w:val="auto"/>
              </w:rPr>
            </w:pPr>
          </w:p>
        </w:tc>
        <w:tc>
          <w:tcPr>
            <w:tcW w:w="6060" w:type="dxa"/>
            <w:vAlign w:val="bottom"/>
            <w:tcBorders>
              <w:top w:val="single" w:sz="8" w:color="BF5B5A"/>
            </w:tcBorders>
            <w:shd w:val="clear" w:color="auto" w:fill="BF5B5A"/>
          </w:tcPr>
          <w:p>
            <w:pPr>
              <w:spacing w:after="0"/>
              <w:rPr>
                <w:sz w:val="16"/>
                <w:szCs w:val="16"/>
                <w:color w:val="auto"/>
              </w:rPr>
            </w:pPr>
          </w:p>
        </w:tc>
        <w:tc>
          <w:tcPr>
            <w:tcW w:w="120" w:type="dxa"/>
            <w:vAlign w:val="bottom"/>
            <w:tcBorders>
              <w:top w:val="single" w:sz="8" w:color="BF5B5A"/>
            </w:tcBorders>
            <w:shd w:val="clear" w:color="auto" w:fill="BF5B5A"/>
          </w:tcPr>
          <w:p>
            <w:pPr>
              <w:spacing w:after="0"/>
              <w:rPr>
                <w:sz w:val="16"/>
                <w:szCs w:val="16"/>
                <w:color w:val="auto"/>
              </w:rPr>
            </w:pPr>
          </w:p>
        </w:tc>
        <w:tc>
          <w:tcPr>
            <w:tcW w:w="120" w:type="dxa"/>
            <w:vAlign w:val="bottom"/>
            <w:tcBorders>
              <w:top w:val="single" w:sz="8" w:color="7F7F7F"/>
            </w:tcBorders>
            <w:shd w:val="clear" w:color="auto" w:fill="BF5B5A"/>
          </w:tcPr>
          <w:p>
            <w:pPr>
              <w:spacing w:after="0"/>
              <w:rPr>
                <w:sz w:val="16"/>
                <w:szCs w:val="16"/>
                <w:color w:val="auto"/>
              </w:rPr>
            </w:pPr>
          </w:p>
        </w:tc>
        <w:tc>
          <w:tcPr>
            <w:tcW w:w="1420" w:type="dxa"/>
            <w:vAlign w:val="bottom"/>
            <w:tcBorders>
              <w:top w:val="single" w:sz="8" w:color="7F7F7F"/>
            </w:tcBorders>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Number of Shares</w:t>
            </w:r>
          </w:p>
        </w:tc>
        <w:tc>
          <w:tcPr>
            <w:tcW w:w="280" w:type="dxa"/>
            <w:vAlign w:val="bottom"/>
            <w:tcBorders>
              <w:top w:val="single" w:sz="8" w:color="7F7F7F"/>
            </w:tcBorders>
            <w:shd w:val="clear" w:color="auto" w:fill="BF5B5A"/>
          </w:tcPr>
          <w:p>
            <w:pPr>
              <w:spacing w:after="0"/>
              <w:rPr>
                <w:sz w:val="16"/>
                <w:szCs w:val="16"/>
                <w:color w:val="auto"/>
              </w:rPr>
            </w:pPr>
          </w:p>
        </w:tc>
        <w:tc>
          <w:tcPr>
            <w:tcW w:w="220" w:type="dxa"/>
            <w:vAlign w:val="bottom"/>
            <w:tcBorders>
              <w:top w:val="single" w:sz="8" w:color="7F7F7F"/>
            </w:tcBorders>
            <w:shd w:val="clear" w:color="auto" w:fill="BF5B5A"/>
          </w:tcPr>
          <w:p>
            <w:pPr>
              <w:spacing w:after="0"/>
              <w:rPr>
                <w:sz w:val="16"/>
                <w:szCs w:val="16"/>
                <w:color w:val="auto"/>
              </w:rPr>
            </w:pPr>
          </w:p>
        </w:tc>
        <w:tc>
          <w:tcPr>
            <w:tcW w:w="740" w:type="dxa"/>
            <w:vAlign w:val="bottom"/>
            <w:tcBorders>
              <w:top w:val="single" w:sz="8" w:color="7F7F7F"/>
            </w:tcBorders>
            <w:shd w:val="clear" w:color="auto" w:fill="BF5B5A"/>
          </w:tcPr>
          <w:p>
            <w:pPr>
              <w:jc w:val="right"/>
              <w:ind w:right="199"/>
              <w:spacing w:after="0"/>
              <w:rPr>
                <w:sz w:val="20"/>
                <w:szCs w:val="20"/>
                <w:color w:val="auto"/>
              </w:rPr>
            </w:pPr>
            <w:r>
              <w:rPr>
                <w:rFonts w:ascii="Arial" w:cs="Arial" w:eastAsia="Arial" w:hAnsi="Arial"/>
                <w:sz w:val="16"/>
                <w:szCs w:val="16"/>
                <w:b w:val="1"/>
                <w:bCs w:val="1"/>
                <w:color w:val="FFFFFF"/>
              </w:rPr>
              <w:t>Value</w:t>
            </w:r>
          </w:p>
        </w:tc>
        <w:tc>
          <w:tcPr>
            <w:tcW w:w="140" w:type="dxa"/>
            <w:vAlign w:val="bottom"/>
            <w:tcBorders>
              <w:top w:val="single" w:sz="8" w:color="7F7F7F"/>
            </w:tcBorders>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 w:type="dxa"/>
            <w:vAlign w:val="bottom"/>
            <w:shd w:val="clear" w:color="auto" w:fill="BF5B5A"/>
          </w:tcPr>
          <w:p>
            <w:pPr>
              <w:spacing w:after="0"/>
              <w:rPr>
                <w:sz w:val="14"/>
                <w:szCs w:val="14"/>
                <w:color w:val="auto"/>
              </w:rPr>
            </w:pPr>
          </w:p>
        </w:tc>
        <w:tc>
          <w:tcPr>
            <w:tcW w:w="6060" w:type="dxa"/>
            <w:vAlign w:val="bottom"/>
            <w:vMerge w:val="restart"/>
            <w:shd w:val="clear" w:color="auto" w:fill="BF5B5A"/>
          </w:tcPr>
          <w:p>
            <w:pPr>
              <w:spacing w:after="0"/>
              <w:rPr>
                <w:sz w:val="20"/>
                <w:szCs w:val="20"/>
                <w:color w:val="auto"/>
              </w:rPr>
            </w:pPr>
            <w:r>
              <w:rPr>
                <w:rFonts w:ascii="Arial" w:cs="Arial" w:eastAsia="Arial" w:hAnsi="Arial"/>
                <w:sz w:val="16"/>
                <w:szCs w:val="16"/>
                <w:b w:val="1"/>
                <w:bCs w:val="1"/>
                <w:color w:val="FFFFFF"/>
              </w:rPr>
              <w:t>​Name</w:t>
            </w:r>
          </w:p>
        </w:tc>
        <w:tc>
          <w:tcPr>
            <w:tcW w:w="240" w:type="dxa"/>
            <w:vAlign w:val="bottom"/>
            <w:gridSpan w:val="2"/>
            <w:vMerge w:val="restart"/>
            <w:shd w:val="clear" w:color="auto" w:fill="BF5B5A"/>
          </w:tcPr>
          <w:p>
            <w:pPr>
              <w:ind w:left="80"/>
              <w:spacing w:after="0"/>
              <w:rPr>
                <w:sz w:val="20"/>
                <w:szCs w:val="20"/>
                <w:color w:val="auto"/>
              </w:rPr>
            </w:pPr>
            <w:r>
              <w:rPr>
                <w:rFonts w:ascii="Arial" w:cs="Arial" w:eastAsia="Arial" w:hAnsi="Arial"/>
                <w:sz w:val="16"/>
                <w:szCs w:val="16"/>
                <w:b w:val="1"/>
                <w:bCs w:val="1"/>
                <w:color w:val="FFFFFF"/>
              </w:rPr>
              <w:t>​ ​</w:t>
            </w:r>
          </w:p>
        </w:tc>
        <w:tc>
          <w:tcPr>
            <w:tcW w:w="1420" w:type="dxa"/>
            <w:vAlign w:val="bottom"/>
            <w:gridSpan w:val="2"/>
            <w:shd w:val="clear" w:color="auto" w:fill="BF5B5A"/>
          </w:tcPr>
          <w:p>
            <w:pPr>
              <w:jc w:val="center"/>
              <w:spacing w:after="0" w:line="171" w:lineRule="exact"/>
              <w:rPr>
                <w:sz w:val="20"/>
                <w:szCs w:val="20"/>
                <w:color w:val="auto"/>
              </w:rPr>
            </w:pPr>
            <w:r>
              <w:rPr>
                <w:rFonts w:ascii="Arial" w:cs="Arial" w:eastAsia="Arial" w:hAnsi="Arial"/>
                <w:sz w:val="16"/>
                <w:szCs w:val="16"/>
                <w:b w:val="1"/>
                <w:bCs w:val="1"/>
                <w:color w:val="FFFFFF"/>
                <w:w w:val="98"/>
              </w:rPr>
              <w:t>Acquired on</w:t>
            </w:r>
          </w:p>
        </w:tc>
        <w:tc>
          <w:tcPr>
            <w:tcW w:w="280" w:type="dxa"/>
            <w:vAlign w:val="bottom"/>
            <w:shd w:val="clear" w:color="auto" w:fill="BF5B5A"/>
          </w:tcPr>
          <w:p>
            <w:pPr>
              <w:spacing w:after="0"/>
              <w:rPr>
                <w:sz w:val="14"/>
                <w:szCs w:val="14"/>
                <w:color w:val="auto"/>
              </w:rPr>
            </w:pPr>
          </w:p>
        </w:tc>
        <w:tc>
          <w:tcPr>
            <w:tcW w:w="960" w:type="dxa"/>
            <w:vAlign w:val="bottom"/>
            <w:gridSpan w:val="2"/>
            <w:shd w:val="clear" w:color="auto" w:fill="BF5B5A"/>
          </w:tcPr>
          <w:p>
            <w:pPr>
              <w:jc w:val="right"/>
              <w:spacing w:after="0" w:line="171" w:lineRule="exact"/>
              <w:rPr>
                <w:sz w:val="20"/>
                <w:szCs w:val="20"/>
                <w:color w:val="auto"/>
              </w:rPr>
            </w:pPr>
            <w:r>
              <w:rPr>
                <w:rFonts w:ascii="Arial" w:cs="Arial" w:eastAsia="Arial" w:hAnsi="Arial"/>
                <w:sz w:val="16"/>
                <w:szCs w:val="16"/>
                <w:b w:val="1"/>
                <w:bCs w:val="1"/>
                <w:color w:val="FFFFFF"/>
                <w:w w:val="98"/>
              </w:rPr>
              <w:t>Realized on</w:t>
            </w:r>
          </w:p>
        </w:tc>
        <w:tc>
          <w:tcPr>
            <w:tcW w:w="140" w:type="dxa"/>
            <w:vAlign w:val="bottom"/>
            <w:vMerge w:val="restart"/>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8"/>
        </w:trPr>
        <w:tc>
          <w:tcPr>
            <w:tcW w:w="80" w:type="dxa"/>
            <w:vAlign w:val="bottom"/>
            <w:shd w:val="clear" w:color="auto" w:fill="BF5B5A"/>
          </w:tcPr>
          <w:p>
            <w:pPr>
              <w:spacing w:after="0"/>
              <w:rPr>
                <w:sz w:val="18"/>
                <w:szCs w:val="18"/>
                <w:color w:val="auto"/>
              </w:rPr>
            </w:pPr>
          </w:p>
        </w:tc>
        <w:tc>
          <w:tcPr>
            <w:tcW w:w="6060" w:type="dxa"/>
            <w:vAlign w:val="bottom"/>
            <w:vMerge w:val="continue"/>
            <w:shd w:val="clear" w:color="auto" w:fill="BF5B5A"/>
          </w:tcPr>
          <w:p>
            <w:pPr>
              <w:spacing w:after="0"/>
              <w:rPr>
                <w:sz w:val="18"/>
                <w:szCs w:val="18"/>
                <w:color w:val="auto"/>
              </w:rPr>
            </w:pPr>
          </w:p>
        </w:tc>
        <w:tc>
          <w:tcPr>
            <w:tcW w:w="240" w:type="dxa"/>
            <w:vAlign w:val="bottom"/>
            <w:gridSpan w:val="2"/>
            <w:vMerge w:val="continue"/>
            <w:shd w:val="clear" w:color="auto" w:fill="BF5B5A"/>
          </w:tcPr>
          <w:p>
            <w:pPr>
              <w:spacing w:after="0"/>
              <w:rPr>
                <w:sz w:val="18"/>
                <w:szCs w:val="18"/>
                <w:color w:val="auto"/>
              </w:rPr>
            </w:pPr>
          </w:p>
        </w:tc>
        <w:tc>
          <w:tcPr>
            <w:tcW w:w="1420" w:type="dxa"/>
            <w:vAlign w:val="bottom"/>
            <w:gridSpan w:val="2"/>
            <w:shd w:val="clear" w:color="auto" w:fill="BF5B5A"/>
          </w:tcPr>
          <w:p>
            <w:pPr>
              <w:jc w:val="center"/>
              <w:spacing w:after="0" w:line="207" w:lineRule="exact"/>
              <w:rPr>
                <w:sz w:val="20"/>
                <w:szCs w:val="20"/>
                <w:color w:val="auto"/>
              </w:rPr>
            </w:pPr>
            <w:r>
              <w:rPr>
                <w:rFonts w:ascii="Arial" w:cs="Arial" w:eastAsia="Arial" w:hAnsi="Arial"/>
                <w:sz w:val="16"/>
                <w:szCs w:val="16"/>
                <w:b w:val="1"/>
                <w:bCs w:val="1"/>
                <w:color w:val="FFFFFF"/>
                <w:w w:val="92"/>
              </w:rPr>
              <w:t>Vesting (#)</w:t>
            </w:r>
            <w:r>
              <w:rPr>
                <w:rFonts w:ascii="Arial" w:cs="Arial" w:eastAsia="Arial" w:hAnsi="Arial"/>
                <w:sz w:val="19"/>
                <w:szCs w:val="19"/>
                <w:b w:val="1"/>
                <w:bCs w:val="1"/>
                <w:color w:val="FFFFFF"/>
                <w:w w:val="92"/>
                <w:vertAlign w:val="superscript"/>
              </w:rPr>
              <w:t>(1)</w:t>
            </w:r>
          </w:p>
        </w:tc>
        <w:tc>
          <w:tcPr>
            <w:tcW w:w="1240" w:type="dxa"/>
            <w:vAlign w:val="bottom"/>
            <w:gridSpan w:val="3"/>
            <w:shd w:val="clear" w:color="auto" w:fill="BF5B5A"/>
          </w:tcPr>
          <w:p>
            <w:pPr>
              <w:jc w:val="right"/>
              <w:spacing w:after="0" w:line="207" w:lineRule="exact"/>
              <w:rPr>
                <w:sz w:val="20"/>
                <w:szCs w:val="20"/>
                <w:color w:val="auto"/>
              </w:rPr>
            </w:pPr>
            <w:r>
              <w:rPr>
                <w:rFonts w:ascii="Arial" w:cs="Arial" w:eastAsia="Arial" w:hAnsi="Arial"/>
                <w:sz w:val="16"/>
                <w:szCs w:val="16"/>
                <w:b w:val="1"/>
                <w:bCs w:val="1"/>
                <w:color w:val="FFFFFF"/>
              </w:rPr>
              <w:t>​ ​ Vesting ($)</w:t>
            </w:r>
            <w:r>
              <w:rPr>
                <w:rFonts w:ascii="Arial" w:cs="Arial" w:eastAsia="Arial" w:hAnsi="Arial"/>
                <w:sz w:val="19"/>
                <w:szCs w:val="19"/>
                <w:b w:val="1"/>
                <w:bCs w:val="1"/>
                <w:color w:val="FFFFFF"/>
                <w:vertAlign w:val="superscript"/>
              </w:rPr>
              <w:t>(2)</w:t>
            </w:r>
          </w:p>
        </w:tc>
        <w:tc>
          <w:tcPr>
            <w:tcW w:w="140" w:type="dxa"/>
            <w:vAlign w:val="bottom"/>
            <w:vMerge w:val="continue"/>
            <w:shd w:val="clear" w:color="auto" w:fill="BF5B5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​Robert S. Harrison</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gridSpan w:val="2"/>
          </w:tcPr>
          <w:p>
            <w:pPr>
              <w:jc w:val="right"/>
              <w:ind w:right="359"/>
              <w:spacing w:after="0"/>
              <w:rPr>
                <w:sz w:val="20"/>
                <w:szCs w:val="20"/>
                <w:color w:val="auto"/>
              </w:rPr>
            </w:pPr>
            <w:r>
              <w:rPr>
                <w:rFonts w:ascii="Arial" w:cs="Arial" w:eastAsia="Arial" w:hAnsi="Arial"/>
                <w:sz w:val="16"/>
                <w:szCs w:val="16"/>
                <w:color w:val="auto"/>
              </w:rPr>
              <w:t>​78,841</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7F7F7F"/>
            </w:tcBorders>
            <w:gridSpan w:val="2"/>
          </w:tcPr>
          <w:p>
            <w:pPr>
              <w:jc w:val="right"/>
              <w:ind w:right="39"/>
              <w:spacing w:after="0"/>
              <w:rPr>
                <w:sz w:val="20"/>
                <w:szCs w:val="20"/>
                <w:color w:val="auto"/>
              </w:rPr>
            </w:pPr>
            <w:r>
              <w:rPr>
                <w:rFonts w:ascii="Arial" w:cs="Arial" w:eastAsia="Arial" w:hAnsi="Arial"/>
                <w:sz w:val="16"/>
                <w:szCs w:val="16"/>
                <w:color w:val="auto"/>
              </w:rPr>
              <w:t>​2,116,628</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​James M. Moses</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7F7F7F"/>
            </w:tcBorders>
          </w:tcPr>
          <w:p>
            <w:pPr>
              <w:ind w:left="4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tcPr>
          <w:p>
            <w:pPr>
              <w:jc w:val="right"/>
              <w:ind w:right="3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​Christopher L. Dods</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gridSpan w:val="2"/>
          </w:tcPr>
          <w:p>
            <w:pPr>
              <w:jc w:val="right"/>
              <w:ind w:right="359"/>
              <w:spacing w:after="0"/>
              <w:rPr>
                <w:sz w:val="20"/>
                <w:szCs w:val="20"/>
                <w:color w:val="auto"/>
              </w:rPr>
            </w:pPr>
            <w:r>
              <w:rPr>
                <w:rFonts w:ascii="Arial" w:cs="Arial" w:eastAsia="Arial" w:hAnsi="Arial"/>
                <w:sz w:val="16"/>
                <w:szCs w:val="16"/>
                <w:color w:val="auto"/>
              </w:rPr>
              <w:t>​11,793</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304,285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​Alan H. Arizumi</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gridSpan w:val="2"/>
          </w:tcPr>
          <w:p>
            <w:pPr>
              <w:jc w:val="right"/>
              <w:ind w:right="359"/>
              <w:spacing w:after="0"/>
              <w:rPr>
                <w:sz w:val="20"/>
                <w:szCs w:val="20"/>
                <w:color w:val="auto"/>
              </w:rPr>
            </w:pPr>
            <w:r>
              <w:rPr>
                <w:rFonts w:ascii="Arial" w:cs="Arial" w:eastAsia="Arial" w:hAnsi="Arial"/>
                <w:sz w:val="16"/>
                <w:szCs w:val="16"/>
                <w:color w:val="auto"/>
              </w:rPr>
              <w:t>​10,980</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294,774</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​Neill A. Char</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gridSpan w:val="2"/>
          </w:tcPr>
          <w:p>
            <w:pPr>
              <w:jc w:val="right"/>
              <w:ind w:right="359"/>
              <w:spacing w:after="0"/>
              <w:rPr>
                <w:sz w:val="20"/>
                <w:szCs w:val="20"/>
                <w:color w:val="auto"/>
              </w:rPr>
            </w:pPr>
            <w:r>
              <w:rPr>
                <w:rFonts w:ascii="Arial" w:cs="Arial" w:eastAsia="Arial" w:hAnsi="Arial"/>
                <w:sz w:val="16"/>
                <w:szCs w:val="16"/>
                <w:color w:val="auto"/>
              </w:rPr>
              <w:t>​ 6,096</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157,384</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​Ralph M. Mesick</w:t>
            </w:r>
          </w:p>
        </w:tc>
        <w:tc>
          <w:tcPr>
            <w:tcW w:w="24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7F7F7F"/>
            </w:tcBorders>
            <w:gridSpan w:val="2"/>
          </w:tcPr>
          <w:p>
            <w:pPr>
              <w:jc w:val="right"/>
              <w:ind w:right="359"/>
              <w:spacing w:after="0"/>
              <w:rPr>
                <w:sz w:val="20"/>
                <w:szCs w:val="20"/>
                <w:color w:val="auto"/>
              </w:rPr>
            </w:pPr>
            <w:r>
              <w:rPr>
                <w:rFonts w:ascii="Arial" w:cs="Arial" w:eastAsia="Arial" w:hAnsi="Arial"/>
                <w:sz w:val="16"/>
                <w:szCs w:val="16"/>
                <w:color w:val="auto"/>
              </w:rPr>
              <w:t>​22,289</w:t>
            </w:r>
          </w:p>
        </w:tc>
        <w:tc>
          <w:tcPr>
            <w:tcW w:w="2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577,836</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140" w:type="dxa"/>
            <w:vAlign w:val="bottom"/>
            <w:tcBorders>
              <w:bottom w:val="single" w:sz="8" w:color="BF5B5A"/>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Lance A. Mizumoto</w:t>
            </w:r>
          </w:p>
        </w:tc>
        <w:tc>
          <w:tcPr>
            <w:tcW w:w="240" w:type="dxa"/>
            <w:vAlign w:val="bottom"/>
            <w:tcBorders>
              <w:bottom w:val="single" w:sz="8" w:color="BF5B5A"/>
            </w:tcBorders>
            <w:gridSpan w:val="2"/>
          </w:tcPr>
          <w:p>
            <w:pPr>
              <w:ind w:left="8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BF5B5A"/>
            </w:tcBorders>
            <w:gridSpan w:val="2"/>
          </w:tcPr>
          <w:p>
            <w:pPr>
              <w:jc w:val="right"/>
              <w:ind w:right="35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​15,765</w:t>
            </w:r>
          </w:p>
        </w:tc>
        <w:tc>
          <w:tcPr>
            <w:tcW w:w="280" w:type="dxa"/>
            <w:vAlign w:val="bottom"/>
            <w:tcBorders>
              <w:bottom w:val="single" w:sz="8" w:color="BF5B5A"/>
            </w:tcBorders>
          </w:tcPr>
          <w:p>
            <w:pPr>
              <w:ind w:left="4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BF5B5A"/>
            </w:tcBorders>
          </w:tcPr>
          <w:p>
            <w:pPr>
              <w:ind w:left="1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40" w:type="dxa"/>
            <w:vAlign w:val="bottom"/>
            <w:tcBorders>
              <w:bottom w:val="single" w:sz="8" w:color="BF5B5A"/>
            </w:tcBorders>
          </w:tcPr>
          <w:p>
            <w:pPr>
              <w:jc w:val="right"/>
              <w:ind w:right="39"/>
              <w:spacing w:after="0"/>
              <w:rPr>
                <w:sz w:val="20"/>
                <w:szCs w:val="20"/>
                <w:color w:val="auto"/>
              </w:rPr>
            </w:pPr>
            <w:r>
              <w:rPr>
                <w:rFonts w:ascii="Arial" w:cs="Arial" w:eastAsia="Arial" w:hAnsi="Arial"/>
                <w:sz w:val="16"/>
                <w:szCs w:val="16"/>
                <w:color w:val="auto"/>
              </w:rPr>
              <w:t>398,710</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left="1140" w:right="40" w:hanging="360"/>
        <w:spacing w:after="0" w:line="287"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Amounts include (i) performance share unit awards granted pursuant to the LTIP for the 2020-2022 performance cycle (the “2020-2022 LTIP Awards”) that vested at 123.5% performance on February 23, 2023, (ii) the portion of restricted share awards awarded on February 26, 2020 that vested on February 26, 2023, (iii) the portion of restricted stock units awarded on February 12, 2021 (February 24, 2021 for Mr. Harrison) that vested on February 12, 2023 (February 24, 2023 for Mr. Harrison), and (iv) the portion of restricted stock units awarded on February 23, 2022 that vested on February 22, 2023. For Messrs. Mesick and Mizumoto, the amounts shown include a prorated portion of the restricted stock units awarded on February 12, 2021, February 23, 2022 and February 22, 2023 for which vesting was accelerated in connection with and upon their respective terminations of employment, in accordance with the terms of</w:t>
      </w:r>
    </w:p>
    <w:p>
      <w:pPr>
        <w:spacing w:after="0" w:line="251"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68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4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their RSU award agreements. For information with respect to amounts paid to Messrs. Mizumoto and Mesick, see </w:t>
      </w:r>
      <w:r>
        <w:rPr>
          <w:rFonts w:ascii="Arial" w:cs="Arial" w:eastAsia="Arial" w:hAnsi="Arial"/>
          <w:sz w:val="16"/>
          <w:szCs w:val="16"/>
          <w:i w:val="1"/>
          <w:iCs w:val="1"/>
          <w:color w:val="auto"/>
        </w:rPr>
        <w:t>“—</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Compensation Discussion and Analysis—Payments to Mr. Mizumoto in Connection with Termination of Employment” and</w:t>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“—Compensation Discussion and Analysis—Payments to Mr. Mesick in Connection with Termination of Employment.”</w:t>
      </w:r>
    </w:p>
    <w:p>
      <w:pPr>
        <w:spacing w:after="0" w:line="100" w:lineRule="exact"/>
        <w:rPr>
          <w:sz w:val="20"/>
          <w:szCs w:val="20"/>
          <w:color w:val="auto"/>
        </w:rPr>
      </w:pPr>
    </w:p>
    <w:p>
      <w:pPr>
        <w:ind w:left="1140" w:right="120" w:hanging="360"/>
        <w:spacing w:after="0" w:line="321" w:lineRule="auto"/>
        <w:tabs>
          <w:tab w:leader="none" w:pos="11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in each case, on the closing sale price of First Hawaiian common stock on NASDAQ on the applicable vesting date.</w:t>
      </w:r>
    </w:p>
    <w:p>
      <w:pPr>
        <w:spacing w:after="0" w:line="10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Pension Benefits</w:t>
      </w:r>
    </w:p>
    <w:p>
      <w:pPr>
        <w:spacing w:after="0" w:line="177" w:lineRule="exact"/>
        <w:rPr>
          <w:sz w:val="20"/>
          <w:szCs w:val="20"/>
          <w:color w:val="auto"/>
        </w:rPr>
      </w:pPr>
    </w:p>
    <w:p>
      <w:pPr>
        <w:ind w:left="780" w:right="20"/>
        <w:spacing w:after="0" w:line="275" w:lineRule="auto"/>
        <w:rPr>
          <w:sz w:val="20"/>
          <w:szCs w:val="20"/>
          <w:color w:val="auto"/>
        </w:rPr>
      </w:pPr>
      <w:r>
        <w:rPr>
          <w:rFonts w:ascii="Arial" w:cs="Arial" w:eastAsia="Arial" w:hAnsi="Arial"/>
          <w:sz w:val="18"/>
          <w:szCs w:val="18"/>
          <w:color w:val="auto"/>
        </w:rPr>
        <w:t>The following table provides information as of December 31, 2023 with respect to each defined benefit or other pension plan that provides for pension benefits in which our NEOs participate. For 2023, Mr. Harrison was the only NEO who participated in the SERP. Effective July 1, 2019, the SERP was frozen, and all accruals of benefits, including pay and service accruals, ceased. For more information, see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Analysis—Other Benefits and Retirement Plans</w:t>
      </w:r>
      <w:r>
        <w:rPr>
          <w:rFonts w:ascii="Arial" w:cs="Arial" w:eastAsia="Arial" w:hAnsi="Arial"/>
          <w:sz w:val="18"/>
          <w:szCs w:val="18"/>
          <w:color w:val="auto"/>
        </w:rPr>
        <w:t>.” In 2021 and 2022, the annual change in pension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 for Mr. Harrison. However, SEC regulations do not allow for inclusion of negative pension amounts in the Summary Compensation Table. See “</w:t>
      </w:r>
      <w:r>
        <w:rPr>
          <w:rFonts w:ascii="Arial" w:cs="Arial" w:eastAsia="Arial" w:hAnsi="Arial"/>
          <w:sz w:val="18"/>
          <w:szCs w:val="18"/>
          <w:i w:val="1"/>
          <w:iCs w:val="1"/>
          <w:color w:val="auto"/>
        </w:rPr>
        <w:t>Compensation Discussion and Analysis—Change in CEO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Value in the Summary Compensation Table</w:t>
      </w:r>
      <w:r>
        <w:rPr>
          <w:rFonts w:ascii="Arial" w:cs="Arial" w:eastAsia="Arial" w:hAnsi="Arial"/>
          <w:sz w:val="18"/>
          <w:szCs w:val="18"/>
          <w:color w:val="auto"/>
        </w:rPr>
        <w:t>” for more information.</w:t>
      </w:r>
    </w:p>
    <w:p>
      <w:pPr>
        <w:spacing w:after="0" w:line="174"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2360" w:type="dxa"/>
            <w:vAlign w:val="bottom"/>
            <w:shd w:val="clear" w:color="auto" w:fill="BF5B5A"/>
          </w:tcPr>
          <w:p>
            <w:pPr>
              <w:spacing w:after="0"/>
              <w:rPr>
                <w:sz w:val="16"/>
                <w:szCs w:val="16"/>
                <w:color w:val="auto"/>
              </w:rPr>
            </w:pPr>
          </w:p>
        </w:tc>
        <w:tc>
          <w:tcPr>
            <w:tcW w:w="1080" w:type="dxa"/>
            <w:vAlign w:val="bottom"/>
            <w:shd w:val="clear" w:color="auto" w:fill="BF5B5A"/>
          </w:tcPr>
          <w:p>
            <w:pPr>
              <w:spacing w:after="0"/>
              <w:rPr>
                <w:sz w:val="16"/>
                <w:szCs w:val="16"/>
                <w:color w:val="auto"/>
              </w:rPr>
            </w:pPr>
          </w:p>
        </w:tc>
        <w:tc>
          <w:tcPr>
            <w:tcW w:w="860" w:type="dxa"/>
            <w:vAlign w:val="bottom"/>
            <w:shd w:val="clear" w:color="auto" w:fill="BF5B5A"/>
          </w:tcPr>
          <w:p>
            <w:pPr>
              <w:spacing w:after="0"/>
              <w:rPr>
                <w:sz w:val="16"/>
                <w:szCs w:val="16"/>
                <w:color w:val="auto"/>
              </w:rPr>
            </w:pPr>
          </w:p>
        </w:tc>
        <w:tc>
          <w:tcPr>
            <w:tcW w:w="280" w:type="dxa"/>
            <w:vAlign w:val="bottom"/>
            <w:shd w:val="clear" w:color="auto" w:fill="BF5B5A"/>
          </w:tcPr>
          <w:p>
            <w:pPr>
              <w:spacing w:after="0"/>
              <w:rPr>
                <w:sz w:val="16"/>
                <w:szCs w:val="16"/>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Number of Years</w:t>
            </w:r>
          </w:p>
        </w:tc>
        <w:tc>
          <w:tcPr>
            <w:tcW w:w="300" w:type="dxa"/>
            <w:vAlign w:val="bottom"/>
            <w:shd w:val="clear" w:color="auto" w:fill="BF5B5A"/>
          </w:tcPr>
          <w:p>
            <w:pPr>
              <w:spacing w:after="0"/>
              <w:rPr>
                <w:sz w:val="16"/>
                <w:szCs w:val="16"/>
                <w:color w:val="auto"/>
              </w:rPr>
            </w:pPr>
          </w:p>
        </w:tc>
        <w:tc>
          <w:tcPr>
            <w:tcW w:w="12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Present Value</w:t>
            </w:r>
          </w:p>
        </w:tc>
        <w:tc>
          <w:tcPr>
            <w:tcW w:w="260" w:type="dxa"/>
            <w:vAlign w:val="bottom"/>
            <w:shd w:val="clear" w:color="auto" w:fill="BF5B5A"/>
          </w:tcPr>
          <w:p>
            <w:pPr>
              <w:spacing w:after="0"/>
              <w:rPr>
                <w:sz w:val="16"/>
                <w:szCs w:val="16"/>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Payments During</w:t>
            </w:r>
          </w:p>
        </w:tc>
        <w:tc>
          <w:tcPr>
            <w:tcW w:w="180" w:type="dxa"/>
            <w:vAlign w:val="bottom"/>
            <w:shd w:val="clear" w:color="auto" w:fill="BF5B5A"/>
          </w:tcPr>
          <w:p>
            <w:pPr>
              <w:spacing w:after="0"/>
              <w:rPr>
                <w:sz w:val="16"/>
                <w:szCs w:val="16"/>
                <w:color w:val="auto"/>
              </w:rPr>
            </w:pPr>
          </w:p>
        </w:tc>
      </w:tr>
      <w:tr>
        <w:trPr>
          <w:trHeight w:val="185"/>
        </w:trPr>
        <w:tc>
          <w:tcPr>
            <w:tcW w:w="2360" w:type="dxa"/>
            <w:vAlign w:val="bottom"/>
            <w:shd w:val="clear" w:color="auto" w:fill="BF5B5A"/>
          </w:tcPr>
          <w:p>
            <w:pPr>
              <w:spacing w:after="0"/>
              <w:rPr>
                <w:sz w:val="16"/>
                <w:szCs w:val="16"/>
                <w:color w:val="auto"/>
              </w:rPr>
            </w:pPr>
          </w:p>
        </w:tc>
        <w:tc>
          <w:tcPr>
            <w:tcW w:w="1080" w:type="dxa"/>
            <w:vAlign w:val="bottom"/>
            <w:shd w:val="clear" w:color="auto" w:fill="BF5B5A"/>
          </w:tcPr>
          <w:p>
            <w:pPr>
              <w:spacing w:after="0"/>
              <w:rPr>
                <w:sz w:val="16"/>
                <w:szCs w:val="16"/>
                <w:color w:val="auto"/>
              </w:rPr>
            </w:pPr>
          </w:p>
        </w:tc>
        <w:tc>
          <w:tcPr>
            <w:tcW w:w="860" w:type="dxa"/>
            <w:vAlign w:val="bottom"/>
            <w:shd w:val="clear" w:color="auto" w:fill="BF5B5A"/>
          </w:tcPr>
          <w:p>
            <w:pPr>
              <w:spacing w:after="0"/>
              <w:rPr>
                <w:sz w:val="16"/>
                <w:szCs w:val="16"/>
                <w:color w:val="auto"/>
              </w:rPr>
            </w:pPr>
          </w:p>
        </w:tc>
        <w:tc>
          <w:tcPr>
            <w:tcW w:w="280" w:type="dxa"/>
            <w:vAlign w:val="bottom"/>
            <w:shd w:val="clear" w:color="auto" w:fill="BF5B5A"/>
          </w:tcPr>
          <w:p>
            <w:pPr>
              <w:spacing w:after="0"/>
              <w:rPr>
                <w:sz w:val="16"/>
                <w:szCs w:val="16"/>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5"/>
              </w:rPr>
              <w:t>Credited</w:t>
            </w:r>
          </w:p>
        </w:tc>
        <w:tc>
          <w:tcPr>
            <w:tcW w:w="300" w:type="dxa"/>
            <w:vAlign w:val="bottom"/>
            <w:shd w:val="clear" w:color="auto" w:fill="BF5B5A"/>
          </w:tcPr>
          <w:p>
            <w:pPr>
              <w:spacing w:after="0"/>
              <w:rPr>
                <w:sz w:val="16"/>
                <w:szCs w:val="16"/>
                <w:color w:val="auto"/>
              </w:rPr>
            </w:pPr>
          </w:p>
        </w:tc>
        <w:tc>
          <w:tcPr>
            <w:tcW w:w="12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of Accumulated</w:t>
            </w:r>
          </w:p>
        </w:tc>
        <w:tc>
          <w:tcPr>
            <w:tcW w:w="260" w:type="dxa"/>
            <w:vAlign w:val="bottom"/>
            <w:shd w:val="clear" w:color="auto" w:fill="BF5B5A"/>
          </w:tcPr>
          <w:p>
            <w:pPr>
              <w:spacing w:after="0"/>
              <w:rPr>
                <w:sz w:val="16"/>
                <w:szCs w:val="16"/>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Last Fiscal</w:t>
            </w:r>
          </w:p>
        </w:tc>
        <w:tc>
          <w:tcPr>
            <w:tcW w:w="180" w:type="dxa"/>
            <w:vAlign w:val="bottom"/>
            <w:shd w:val="clear" w:color="auto" w:fill="BF5B5A"/>
          </w:tcPr>
          <w:p>
            <w:pPr>
              <w:spacing w:after="0"/>
              <w:rPr>
                <w:sz w:val="16"/>
                <w:szCs w:val="16"/>
                <w:color w:val="auto"/>
              </w:rPr>
            </w:pPr>
          </w:p>
        </w:tc>
      </w:tr>
      <w:tr>
        <w:trPr>
          <w:trHeight w:val="221"/>
        </w:trPr>
        <w:tc>
          <w:tcPr>
            <w:tcW w:w="236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w:t>
            </w:r>
          </w:p>
        </w:tc>
        <w:tc>
          <w:tcPr>
            <w:tcW w:w="1080" w:type="dxa"/>
            <w:vAlign w:val="bottom"/>
            <w:shd w:val="clear" w:color="auto" w:fill="BF5B5A"/>
          </w:tcPr>
          <w:p>
            <w:pPr>
              <w:ind w:left="880"/>
              <w:spacing w:after="0"/>
              <w:rPr>
                <w:sz w:val="20"/>
                <w:szCs w:val="20"/>
                <w:color w:val="auto"/>
              </w:rPr>
            </w:pPr>
            <w:r>
              <w:rPr>
                <w:rFonts w:ascii="Arial" w:cs="Arial" w:eastAsia="Arial" w:hAnsi="Arial"/>
                <w:sz w:val="16"/>
                <w:szCs w:val="16"/>
                <w:b w:val="1"/>
                <w:bCs w:val="1"/>
                <w:color w:val="FFFFFF"/>
              </w:rPr>
              <w:t>​ ​</w:t>
            </w:r>
          </w:p>
        </w:tc>
        <w:tc>
          <w:tcPr>
            <w:tcW w:w="86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Plan Name</w:t>
            </w:r>
          </w:p>
        </w:tc>
        <w:tc>
          <w:tcPr>
            <w:tcW w:w="28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30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3"/>
              </w:rPr>
              <w:t>Service (#)</w:t>
            </w:r>
          </w:p>
        </w:tc>
        <w:tc>
          <w:tcPr>
            <w:tcW w:w="30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2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3"/>
              </w:rPr>
              <w:t>Benefit ($)</w:t>
            </w:r>
            <w:r>
              <w:rPr>
                <w:rFonts w:ascii="Arial" w:cs="Arial" w:eastAsia="Arial" w:hAnsi="Arial"/>
                <w:sz w:val="19"/>
                <w:szCs w:val="19"/>
                <w:b w:val="1"/>
                <w:bCs w:val="1"/>
                <w:color w:val="FFFFFF"/>
                <w:w w:val="93"/>
                <w:vertAlign w:val="superscript"/>
              </w:rPr>
              <w:t>(1)</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34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1"/>
              </w:rPr>
              <w:t>Year ($)</w:t>
            </w:r>
          </w:p>
        </w:tc>
        <w:tc>
          <w:tcPr>
            <w:tcW w:w="18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83"/>
        </w:trPr>
        <w:tc>
          <w:tcPr>
            <w:tcW w:w="2360" w:type="dxa"/>
            <w:vAlign w:val="bottom"/>
            <w:tcBorders>
              <w:bottom w:val="single" w:sz="8" w:color="BF5B5A"/>
            </w:tcBorders>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Robert S. Harrison</w:t>
            </w:r>
          </w:p>
        </w:tc>
        <w:tc>
          <w:tcPr>
            <w:tcW w:w="1080" w:type="dxa"/>
            <w:vAlign w:val="bottom"/>
            <w:tcBorders>
              <w:bottom w:val="single" w:sz="8" w:color="BF5B5A"/>
            </w:tcBorders>
          </w:tcPr>
          <w:p>
            <w:pPr>
              <w:ind w:left="88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BF5B5A"/>
            </w:tcBorders>
          </w:tcPr>
          <w:p>
            <w:pPr>
              <w:ind w:left="2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​SERP</w:t>
            </w:r>
          </w:p>
        </w:tc>
        <w:tc>
          <w:tcPr>
            <w:tcW w:w="28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BF5B5A"/>
            </w:tcBorders>
          </w:tcPr>
          <w:p>
            <w:pPr>
              <w:ind w:left="5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​27</w:t>
            </w:r>
          </w:p>
        </w:tc>
        <w:tc>
          <w:tcPr>
            <w:tcW w:w="30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220" w:type="dxa"/>
            <w:vAlign w:val="bottom"/>
            <w:tcBorders>
              <w:bottom w:val="single" w:sz="8" w:color="BF5B5A"/>
            </w:tcBorders>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$13,220,843</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340" w:type="dxa"/>
            <w:vAlign w:val="bottom"/>
            <w:tcBorders>
              <w:bottom w:val="single" w:sz="8" w:color="BF5B5A"/>
            </w:tcBorders>
          </w:tcPr>
          <w:p>
            <w:pPr>
              <w:ind w:left="5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8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r>
    </w:tbl>
    <w:p>
      <w:pPr>
        <w:spacing w:after="0" w:line="53" w:lineRule="exact"/>
        <w:rPr>
          <w:sz w:val="20"/>
          <w:szCs w:val="20"/>
          <w:color w:val="auto"/>
        </w:rPr>
      </w:pPr>
    </w:p>
    <w:p>
      <w:pPr>
        <w:ind w:left="1140" w:hanging="360"/>
        <w:spacing w:after="0"/>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As of December 31, 2023</w:t>
      </w:r>
    </w:p>
    <w:p>
      <w:pPr>
        <w:spacing w:after="0" w:line="332"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2023 Nonqualified Deferred Compensation</w:t>
      </w:r>
    </w:p>
    <w:p>
      <w:pPr>
        <w:spacing w:after="0" w:line="191" w:lineRule="exact"/>
        <w:rPr>
          <w:sz w:val="20"/>
          <w:szCs w:val="20"/>
          <w:color w:val="auto"/>
        </w:rPr>
      </w:pPr>
    </w:p>
    <w:p>
      <w:pPr>
        <w:ind w:left="780" w:right="20"/>
        <w:spacing w:after="0" w:line="276" w:lineRule="auto"/>
        <w:rPr>
          <w:sz w:val="20"/>
          <w:szCs w:val="20"/>
          <w:color w:val="auto"/>
        </w:rPr>
      </w:pPr>
      <w:r>
        <w:rPr>
          <w:rFonts w:ascii="Arial" w:cs="Arial" w:eastAsia="Arial" w:hAnsi="Arial"/>
          <w:sz w:val="18"/>
          <w:szCs w:val="18"/>
          <w:color w:val="auto"/>
        </w:rPr>
        <w:t>The following table provides information with respect to each defined contribution or other plan that provides for nonqualified deferred compensation in which our NEOs participate. For 2023, Messrs. Harrison, Moses, Dods, Arizumi, Char and Mizumoto participated in the First Hawaiian, Inc. DCP. Mr. Arizumi received a retirement contribution under the First Hawaiian, Inc. DCP, and Messrs. Harrison, Moses, Dods, Char, Mizumoto and Mesick participated in and received executive retirement contributions under the First Hawaiian Bank DCP. For more information, see “</w:t>
      </w:r>
      <w:r>
        <w:rPr>
          <w:rFonts w:ascii="Arial" w:cs="Arial" w:eastAsia="Arial" w:hAnsi="Arial"/>
          <w:sz w:val="18"/>
          <w:szCs w:val="18"/>
          <w:i w:val="1"/>
          <w:iCs w:val="1"/>
          <w:color w:val="auto"/>
        </w:rPr>
        <w:t>Compensation Discussion and Analysis—Other Benefits and Retirement Plans</w:t>
      </w:r>
      <w:r>
        <w:rPr>
          <w:rFonts w:ascii="Arial" w:cs="Arial" w:eastAsia="Arial" w:hAnsi="Arial"/>
          <w:sz w:val="18"/>
          <w:szCs w:val="18"/>
          <w:color w:val="auto"/>
        </w:rPr>
        <w:t>.”</w:t>
      </w:r>
    </w:p>
    <w:p>
      <w:pPr>
        <w:spacing w:after="0" w:line="170" w:lineRule="exact"/>
        <w:rPr>
          <w:sz w:val="20"/>
          <w:szCs w:val="20"/>
          <w:color w:val="auto"/>
        </w:rPr>
      </w:pPr>
    </w:p>
    <w:tbl>
      <w:tblPr>
        <w:tblLayout w:type="fixed"/>
        <w:tblInd w:w="780" w:type="dxa"/>
        <w:tblCellMar>
          <w:top w:w="0" w:type="dxa"/>
          <w:left w:w="0" w:type="dxa"/>
          <w:bottom w:w="0" w:type="dxa"/>
          <w:right w:w="0" w:type="dxa"/>
        </w:tblCellMar>
      </w:tblPr>
      <w:tr>
        <w:trPr>
          <w:trHeight w:val="202"/>
        </w:trPr>
        <w:tc>
          <w:tcPr>
            <w:tcW w:w="1960" w:type="dxa"/>
            <w:vAlign w:val="bottom"/>
            <w:shd w:val="clear" w:color="auto" w:fill="BF5B5A"/>
          </w:tcPr>
          <w:p>
            <w:pPr>
              <w:spacing w:after="0"/>
              <w:rPr>
                <w:sz w:val="17"/>
                <w:szCs w:val="17"/>
                <w:color w:val="auto"/>
              </w:rPr>
            </w:pPr>
          </w:p>
        </w:tc>
        <w:tc>
          <w:tcPr>
            <w:tcW w:w="540" w:type="dxa"/>
            <w:vAlign w:val="bottom"/>
            <w:shd w:val="clear" w:color="auto" w:fill="BF5B5A"/>
          </w:tcPr>
          <w:p>
            <w:pPr>
              <w:spacing w:after="0"/>
              <w:rPr>
                <w:sz w:val="17"/>
                <w:szCs w:val="17"/>
                <w:color w:val="auto"/>
              </w:rPr>
            </w:pPr>
          </w:p>
        </w:tc>
        <w:tc>
          <w:tcPr>
            <w:tcW w:w="108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Executive</w:t>
            </w:r>
          </w:p>
        </w:tc>
        <w:tc>
          <w:tcPr>
            <w:tcW w:w="240" w:type="dxa"/>
            <w:vAlign w:val="bottom"/>
            <w:shd w:val="clear" w:color="auto" w:fill="BF5B5A"/>
          </w:tcPr>
          <w:p>
            <w:pPr>
              <w:spacing w:after="0"/>
              <w:rPr>
                <w:sz w:val="17"/>
                <w:szCs w:val="17"/>
                <w:color w:val="auto"/>
              </w:rPr>
            </w:pPr>
          </w:p>
        </w:tc>
        <w:tc>
          <w:tcPr>
            <w:tcW w:w="108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Registrant</w:t>
            </w:r>
          </w:p>
        </w:tc>
        <w:tc>
          <w:tcPr>
            <w:tcW w:w="260" w:type="dxa"/>
            <w:vAlign w:val="bottom"/>
            <w:shd w:val="clear" w:color="auto" w:fill="BF5B5A"/>
          </w:tcPr>
          <w:p>
            <w:pPr>
              <w:spacing w:after="0"/>
              <w:rPr>
                <w:sz w:val="17"/>
                <w:szCs w:val="17"/>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Aggregate</w:t>
            </w:r>
          </w:p>
        </w:tc>
        <w:tc>
          <w:tcPr>
            <w:tcW w:w="260" w:type="dxa"/>
            <w:vAlign w:val="bottom"/>
            <w:shd w:val="clear" w:color="auto" w:fill="BF5B5A"/>
          </w:tcPr>
          <w:p>
            <w:pPr>
              <w:spacing w:after="0"/>
              <w:rPr>
                <w:sz w:val="17"/>
                <w:szCs w:val="17"/>
                <w:color w:val="auto"/>
              </w:rPr>
            </w:pPr>
          </w:p>
        </w:tc>
        <w:tc>
          <w:tcPr>
            <w:tcW w:w="1040" w:type="dxa"/>
            <w:vAlign w:val="bottom"/>
            <w:vMerge w:val="restart"/>
            <w:shd w:val="clear" w:color="auto" w:fill="BF5B5A"/>
          </w:tcPr>
          <w:p>
            <w:pPr>
              <w:ind w:left="100"/>
              <w:spacing w:after="0"/>
              <w:rPr>
                <w:sz w:val="20"/>
                <w:szCs w:val="20"/>
                <w:color w:val="auto"/>
              </w:rPr>
            </w:pPr>
            <w:r>
              <w:rPr>
                <w:rFonts w:ascii="Arial" w:cs="Arial" w:eastAsia="Arial" w:hAnsi="Arial"/>
                <w:sz w:val="16"/>
                <w:szCs w:val="16"/>
                <w:b w:val="1"/>
                <w:bCs w:val="1"/>
                <w:color w:val="FFFFFF"/>
              </w:rPr>
              <w:t>Aggregate</w:t>
            </w:r>
          </w:p>
        </w:tc>
        <w:tc>
          <w:tcPr>
            <w:tcW w:w="260" w:type="dxa"/>
            <w:vAlign w:val="bottom"/>
            <w:shd w:val="clear" w:color="auto" w:fill="BF5B5A"/>
          </w:tcPr>
          <w:p>
            <w:pPr>
              <w:spacing w:after="0"/>
              <w:rPr>
                <w:sz w:val="17"/>
                <w:szCs w:val="17"/>
                <w:color w:val="auto"/>
              </w:rPr>
            </w:pPr>
          </w:p>
        </w:tc>
        <w:tc>
          <w:tcPr>
            <w:tcW w:w="1160" w:type="dxa"/>
            <w:vAlign w:val="bottom"/>
            <w:gridSpan w:val="2"/>
            <w:shd w:val="clear" w:color="auto" w:fill="BF5B5A"/>
          </w:tcPr>
          <w:p>
            <w:pPr>
              <w:ind w:left="180"/>
              <w:spacing w:after="0"/>
              <w:rPr>
                <w:sz w:val="20"/>
                <w:szCs w:val="20"/>
                <w:color w:val="auto"/>
              </w:rPr>
            </w:pPr>
            <w:r>
              <w:rPr>
                <w:rFonts w:ascii="Arial" w:cs="Arial" w:eastAsia="Arial" w:hAnsi="Arial"/>
                <w:sz w:val="16"/>
                <w:szCs w:val="16"/>
                <w:b w:val="1"/>
                <w:bCs w:val="1"/>
                <w:color w:val="FFFFFF"/>
              </w:rPr>
              <w:t>Aggregate</w:t>
            </w:r>
          </w:p>
        </w:tc>
        <w:tc>
          <w:tcPr>
            <w:tcW w:w="140" w:type="dxa"/>
            <w:vAlign w:val="bottom"/>
            <w:shd w:val="clear" w:color="auto" w:fill="BF5B5A"/>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BF5B5A"/>
          </w:tcPr>
          <w:p>
            <w:pPr>
              <w:spacing w:after="0"/>
              <w:rPr>
                <w:sz w:val="15"/>
                <w:szCs w:val="15"/>
                <w:color w:val="auto"/>
              </w:rPr>
            </w:pPr>
          </w:p>
        </w:tc>
        <w:tc>
          <w:tcPr>
            <w:tcW w:w="540" w:type="dxa"/>
            <w:vAlign w:val="bottom"/>
            <w:shd w:val="clear" w:color="auto" w:fill="BF5B5A"/>
          </w:tcPr>
          <w:p>
            <w:pPr>
              <w:spacing w:after="0"/>
              <w:rPr>
                <w:sz w:val="15"/>
                <w:szCs w:val="15"/>
                <w:color w:val="auto"/>
              </w:rPr>
            </w:pPr>
          </w:p>
        </w:tc>
        <w:tc>
          <w:tcPr>
            <w:tcW w:w="108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9"/>
              </w:rPr>
              <w:t>Contributions</w:t>
            </w:r>
          </w:p>
        </w:tc>
        <w:tc>
          <w:tcPr>
            <w:tcW w:w="240" w:type="dxa"/>
            <w:vAlign w:val="bottom"/>
            <w:shd w:val="clear" w:color="auto" w:fill="BF5B5A"/>
          </w:tcPr>
          <w:p>
            <w:pPr>
              <w:spacing w:after="0"/>
              <w:rPr>
                <w:sz w:val="15"/>
                <w:szCs w:val="15"/>
                <w:color w:val="auto"/>
              </w:rPr>
            </w:pPr>
          </w:p>
        </w:tc>
        <w:tc>
          <w:tcPr>
            <w:tcW w:w="1080" w:type="dxa"/>
            <w:vAlign w:val="bottom"/>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9"/>
              </w:rPr>
              <w:t>Contributions</w:t>
            </w:r>
          </w:p>
        </w:tc>
        <w:tc>
          <w:tcPr>
            <w:tcW w:w="260" w:type="dxa"/>
            <w:vAlign w:val="bottom"/>
            <w:shd w:val="clear" w:color="auto" w:fill="BF5B5A"/>
          </w:tcPr>
          <w:p>
            <w:pPr>
              <w:spacing w:after="0"/>
              <w:rPr>
                <w:sz w:val="15"/>
                <w:szCs w:val="15"/>
                <w:color w:val="auto"/>
              </w:rPr>
            </w:pPr>
          </w:p>
        </w:tc>
        <w:tc>
          <w:tcPr>
            <w:tcW w:w="1160" w:type="dxa"/>
            <w:vAlign w:val="bottom"/>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8"/>
              </w:rPr>
              <w:t>Earnings (loss)</w:t>
            </w:r>
          </w:p>
        </w:tc>
        <w:tc>
          <w:tcPr>
            <w:tcW w:w="260" w:type="dxa"/>
            <w:vAlign w:val="bottom"/>
            <w:shd w:val="clear" w:color="auto" w:fill="BF5B5A"/>
          </w:tcPr>
          <w:p>
            <w:pPr>
              <w:spacing w:after="0"/>
              <w:rPr>
                <w:sz w:val="15"/>
                <w:szCs w:val="15"/>
                <w:color w:val="auto"/>
              </w:rPr>
            </w:pPr>
          </w:p>
        </w:tc>
        <w:tc>
          <w:tcPr>
            <w:tcW w:w="1040" w:type="dxa"/>
            <w:vAlign w:val="bottom"/>
            <w:vMerge w:val="continue"/>
            <w:shd w:val="clear" w:color="auto" w:fill="BF5B5A"/>
          </w:tcPr>
          <w:p>
            <w:pPr>
              <w:spacing w:after="0"/>
              <w:rPr>
                <w:sz w:val="15"/>
                <w:szCs w:val="15"/>
                <w:color w:val="auto"/>
              </w:rPr>
            </w:pPr>
          </w:p>
        </w:tc>
        <w:tc>
          <w:tcPr>
            <w:tcW w:w="260" w:type="dxa"/>
            <w:vAlign w:val="bottom"/>
            <w:shd w:val="clear" w:color="auto" w:fill="BF5B5A"/>
          </w:tcPr>
          <w:p>
            <w:pPr>
              <w:spacing w:after="0"/>
              <w:rPr>
                <w:sz w:val="15"/>
                <w:szCs w:val="15"/>
                <w:color w:val="auto"/>
              </w:rPr>
            </w:pPr>
          </w:p>
        </w:tc>
        <w:tc>
          <w:tcPr>
            <w:tcW w:w="1160" w:type="dxa"/>
            <w:vAlign w:val="bottom"/>
            <w:gridSpan w:val="2"/>
            <w:shd w:val="clear" w:color="auto" w:fill="BF5B5A"/>
          </w:tcPr>
          <w:p>
            <w:pPr>
              <w:jc w:val="right"/>
              <w:spacing w:after="0" w:line="175" w:lineRule="exact"/>
              <w:rPr>
                <w:sz w:val="20"/>
                <w:szCs w:val="20"/>
                <w:color w:val="auto"/>
              </w:rPr>
            </w:pPr>
            <w:r>
              <w:rPr>
                <w:rFonts w:ascii="Arial" w:cs="Arial" w:eastAsia="Arial" w:hAnsi="Arial"/>
                <w:sz w:val="16"/>
                <w:szCs w:val="16"/>
                <w:b w:val="1"/>
                <w:bCs w:val="1"/>
                <w:color w:val="FFFFFF"/>
                <w:w w:val="97"/>
              </w:rPr>
              <w:t>Balance at End</w:t>
            </w:r>
          </w:p>
        </w:tc>
        <w:tc>
          <w:tcPr>
            <w:tcW w:w="14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BF5B5A"/>
          </w:tcPr>
          <w:p>
            <w:pPr>
              <w:spacing w:after="0"/>
              <w:rPr>
                <w:sz w:val="16"/>
                <w:szCs w:val="16"/>
                <w:color w:val="auto"/>
              </w:rPr>
            </w:pPr>
          </w:p>
        </w:tc>
        <w:tc>
          <w:tcPr>
            <w:tcW w:w="540" w:type="dxa"/>
            <w:vAlign w:val="bottom"/>
            <w:shd w:val="clear" w:color="auto" w:fill="BF5B5A"/>
          </w:tcPr>
          <w:p>
            <w:pPr>
              <w:spacing w:after="0"/>
              <w:rPr>
                <w:sz w:val="16"/>
                <w:szCs w:val="16"/>
                <w:color w:val="auto"/>
              </w:rPr>
            </w:pPr>
          </w:p>
        </w:tc>
        <w:tc>
          <w:tcPr>
            <w:tcW w:w="108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6"/>
              </w:rPr>
              <w:t>in Fiscal Year</w:t>
            </w:r>
          </w:p>
        </w:tc>
        <w:tc>
          <w:tcPr>
            <w:tcW w:w="240" w:type="dxa"/>
            <w:vAlign w:val="bottom"/>
            <w:shd w:val="clear" w:color="auto" w:fill="BF5B5A"/>
          </w:tcPr>
          <w:p>
            <w:pPr>
              <w:spacing w:after="0"/>
              <w:rPr>
                <w:sz w:val="16"/>
                <w:szCs w:val="16"/>
                <w:color w:val="auto"/>
              </w:rPr>
            </w:pPr>
          </w:p>
        </w:tc>
        <w:tc>
          <w:tcPr>
            <w:tcW w:w="108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6"/>
              </w:rPr>
              <w:t>in Fiscal Year</w:t>
            </w:r>
          </w:p>
        </w:tc>
        <w:tc>
          <w:tcPr>
            <w:tcW w:w="260" w:type="dxa"/>
            <w:vAlign w:val="bottom"/>
            <w:shd w:val="clear" w:color="auto" w:fill="BF5B5A"/>
          </w:tcPr>
          <w:p>
            <w:pPr>
              <w:spacing w:after="0"/>
              <w:rPr>
                <w:sz w:val="16"/>
                <w:szCs w:val="16"/>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in Fiscal Year</w:t>
            </w:r>
          </w:p>
        </w:tc>
        <w:tc>
          <w:tcPr>
            <w:tcW w:w="260" w:type="dxa"/>
            <w:vAlign w:val="bottom"/>
            <w:shd w:val="clear" w:color="auto" w:fill="BF5B5A"/>
          </w:tcPr>
          <w:p>
            <w:pPr>
              <w:spacing w:after="0"/>
              <w:rPr>
                <w:sz w:val="16"/>
                <w:szCs w:val="16"/>
                <w:color w:val="auto"/>
              </w:rPr>
            </w:pPr>
          </w:p>
        </w:tc>
        <w:tc>
          <w:tcPr>
            <w:tcW w:w="104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7"/>
              </w:rPr>
              <w:t>Withdrawals/​</w:t>
            </w:r>
          </w:p>
        </w:tc>
        <w:tc>
          <w:tcPr>
            <w:tcW w:w="260" w:type="dxa"/>
            <w:vAlign w:val="bottom"/>
            <w:shd w:val="clear" w:color="auto" w:fill="BF5B5A"/>
          </w:tcPr>
          <w:p>
            <w:pPr>
              <w:spacing w:after="0"/>
              <w:rPr>
                <w:sz w:val="16"/>
                <w:szCs w:val="16"/>
                <w:color w:val="auto"/>
              </w:rPr>
            </w:pPr>
          </w:p>
        </w:tc>
        <w:tc>
          <w:tcPr>
            <w:tcW w:w="116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rPr>
              <w:t>of Fiscal Year</w:t>
            </w:r>
          </w:p>
        </w:tc>
        <w:tc>
          <w:tcPr>
            <w:tcW w:w="14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6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​Name</w:t>
            </w:r>
          </w:p>
        </w:tc>
        <w:tc>
          <w:tcPr>
            <w:tcW w:w="540" w:type="dxa"/>
            <w:vAlign w:val="bottom"/>
            <w:shd w:val="clear" w:color="auto" w:fill="BF5B5A"/>
          </w:tcPr>
          <w:p>
            <w:pPr>
              <w:ind w:left="360"/>
              <w:spacing w:after="0"/>
              <w:rPr>
                <w:sz w:val="20"/>
                <w:szCs w:val="20"/>
                <w:color w:val="auto"/>
              </w:rPr>
            </w:pPr>
            <w:r>
              <w:rPr>
                <w:rFonts w:ascii="Arial" w:cs="Arial" w:eastAsia="Arial" w:hAnsi="Arial"/>
                <w:sz w:val="16"/>
                <w:szCs w:val="16"/>
                <w:b w:val="1"/>
                <w:bCs w:val="1"/>
                <w:color w:val="FFFFFF"/>
              </w:rPr>
              <w:t>​ ​</w:t>
            </w:r>
          </w:p>
        </w:tc>
        <w:tc>
          <w:tcPr>
            <w:tcW w:w="360" w:type="dxa"/>
            <w:vAlign w:val="bottom"/>
            <w:shd w:val="clear" w:color="auto" w:fill="BF5B5A"/>
          </w:tcPr>
          <w:p>
            <w:pPr>
              <w:spacing w:after="0"/>
              <w:rPr>
                <w:sz w:val="19"/>
                <w:szCs w:val="19"/>
                <w:color w:val="auto"/>
              </w:rPr>
            </w:pPr>
          </w:p>
        </w:tc>
        <w:tc>
          <w:tcPr>
            <w:tcW w:w="720" w:type="dxa"/>
            <w:vAlign w:val="bottom"/>
            <w:shd w:val="clear" w:color="auto" w:fill="BF5B5A"/>
          </w:tcPr>
          <w:p>
            <w:pPr>
              <w:jc w:val="right"/>
              <w:ind w:right="279"/>
              <w:spacing w:after="0"/>
              <w:rPr>
                <w:sz w:val="20"/>
                <w:szCs w:val="20"/>
                <w:color w:val="auto"/>
              </w:rPr>
            </w:pPr>
            <w:r>
              <w:rPr>
                <w:rFonts w:ascii="Arial" w:cs="Arial" w:eastAsia="Arial" w:hAnsi="Arial"/>
                <w:sz w:val="16"/>
                <w:szCs w:val="16"/>
                <w:b w:val="1"/>
                <w:bCs w:val="1"/>
                <w:color w:val="FFFFFF"/>
                <w:w w:val="95"/>
              </w:rPr>
              <w:t>2023</w:t>
            </w:r>
          </w:p>
        </w:tc>
        <w:tc>
          <w:tcPr>
            <w:tcW w:w="2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080" w:type="dxa"/>
            <w:vAlign w:val="bottom"/>
            <w:shd w:val="clear" w:color="auto" w:fill="BF5B5A"/>
          </w:tcPr>
          <w:p>
            <w:pPr>
              <w:jc w:val="right"/>
              <w:ind w:right="223"/>
              <w:spacing w:after="0"/>
              <w:rPr>
                <w:sz w:val="20"/>
                <w:szCs w:val="20"/>
                <w:color w:val="auto"/>
              </w:rPr>
            </w:pPr>
            <w:r>
              <w:rPr>
                <w:rFonts w:ascii="Arial" w:cs="Arial" w:eastAsia="Arial" w:hAnsi="Arial"/>
                <w:sz w:val="16"/>
                <w:szCs w:val="16"/>
                <w:b w:val="1"/>
                <w:bCs w:val="1"/>
                <w:color w:val="FFFFFF"/>
              </w:rPr>
              <w:t>2023</w:t>
            </w:r>
            <w:r>
              <w:rPr>
                <w:rFonts w:ascii="Arial" w:cs="Arial" w:eastAsia="Arial" w:hAnsi="Arial"/>
                <w:sz w:val="19"/>
                <w:szCs w:val="19"/>
                <w:b w:val="1"/>
                <w:bCs w:val="1"/>
                <w:color w:val="FFFFFF"/>
                <w:vertAlign w:val="superscript"/>
              </w:rPr>
              <w:t>(1)</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BF5B5A"/>
          </w:tcPr>
          <w:p>
            <w:pPr>
              <w:jc w:val="right"/>
              <w:ind w:right="323"/>
              <w:spacing w:after="0"/>
              <w:rPr>
                <w:sz w:val="20"/>
                <w:szCs w:val="20"/>
                <w:color w:val="auto"/>
              </w:rPr>
            </w:pPr>
            <w:r>
              <w:rPr>
                <w:rFonts w:ascii="Arial" w:cs="Arial" w:eastAsia="Arial" w:hAnsi="Arial"/>
                <w:sz w:val="16"/>
                <w:szCs w:val="16"/>
                <w:b w:val="1"/>
                <w:bCs w:val="1"/>
                <w:color w:val="FFFFFF"/>
              </w:rPr>
              <w:t>2023</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3"/>
              </w:rPr>
              <w:t>Distributions</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340" w:type="dxa"/>
            <w:vAlign w:val="bottom"/>
            <w:shd w:val="clear" w:color="auto" w:fill="BF5B5A"/>
          </w:tcPr>
          <w:p>
            <w:pPr>
              <w:spacing w:after="0"/>
              <w:rPr>
                <w:sz w:val="19"/>
                <w:szCs w:val="19"/>
                <w:color w:val="auto"/>
              </w:rPr>
            </w:pPr>
          </w:p>
        </w:tc>
        <w:tc>
          <w:tcPr>
            <w:tcW w:w="820" w:type="dxa"/>
            <w:vAlign w:val="bottom"/>
            <w:shd w:val="clear" w:color="auto" w:fill="BF5B5A"/>
          </w:tcPr>
          <w:p>
            <w:pPr>
              <w:jc w:val="right"/>
              <w:ind w:right="259"/>
              <w:spacing w:after="0"/>
              <w:rPr>
                <w:sz w:val="20"/>
                <w:szCs w:val="20"/>
                <w:color w:val="auto"/>
              </w:rPr>
            </w:pPr>
            <w:r>
              <w:rPr>
                <w:rFonts w:ascii="Arial" w:cs="Arial" w:eastAsia="Arial" w:hAnsi="Arial"/>
                <w:sz w:val="16"/>
                <w:szCs w:val="16"/>
                <w:b w:val="1"/>
                <w:bCs w:val="1"/>
                <w:color w:val="FFFFFF"/>
                <w:w w:val="89"/>
              </w:rPr>
              <w:t>2023</w:t>
            </w:r>
            <w:r>
              <w:rPr>
                <w:rFonts w:ascii="Arial" w:cs="Arial" w:eastAsia="Arial" w:hAnsi="Arial"/>
                <w:sz w:val="19"/>
                <w:szCs w:val="19"/>
                <w:b w:val="1"/>
                <w:bCs w:val="1"/>
                <w:color w:val="FFFFFF"/>
                <w:w w:val="89"/>
                <w:vertAlign w:val="superscript"/>
              </w:rPr>
              <w:t>(2)</w:t>
            </w:r>
          </w:p>
        </w:tc>
        <w:tc>
          <w:tcPr>
            <w:tcW w:w="1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196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Robert S. Harrison</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7F7F7F"/>
            </w:tcBorders>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t>
            </w:r>
          </w:p>
        </w:tc>
        <w:tc>
          <w:tcPr>
            <w:tcW w:w="72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$171,599</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$176,826</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gridSpan w:val="2"/>
          </w:tcPr>
          <w:p>
            <w:pPr>
              <w:jc w:val="right"/>
              <w:ind w:right="7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$2,518,061</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James M. Moses</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7F7F7F"/>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72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35,648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3,161</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2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38,809</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L. Dods</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7F7F7F"/>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72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82,469</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​113,685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1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2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583,145</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Alan H. Arizumi</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7F7F7F"/>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72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73,384</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​160,674</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gridSpan w:val="2"/>
          </w:tcPr>
          <w:p>
            <w:pPr>
              <w:jc w:val="right"/>
              <w:ind w:right="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​3,170,348</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Neill A. Char</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gridSpan w:val="2"/>
          </w:tcPr>
          <w:p>
            <w:pPr>
              <w:jc w:val="right"/>
              <w:ind w:right="11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​245,953</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58,805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​198,618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gridSpan w:val="2"/>
          </w:tcPr>
          <w:p>
            <w:pPr>
              <w:jc w:val="right"/>
              <w:ind w:right="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​1,541,636</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Ralph M. Mesick</w:t>
            </w:r>
          </w:p>
        </w:tc>
        <w:tc>
          <w:tcPr>
            <w:tcW w:w="540" w:type="dxa"/>
            <w:vAlign w:val="bottom"/>
            <w:tcBorders>
              <w:bottom w:val="single" w:sz="8" w:color="7F7F7F"/>
            </w:tcBorders>
          </w:tcPr>
          <w:p>
            <w:pPr>
              <w:ind w:left="360"/>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7F7F7F"/>
            </w:tcBorders>
          </w:tcPr>
          <w:p>
            <w:pPr>
              <w:ind w:left="20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72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54,549</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55,017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7F7F7F"/>
            </w:tcBorders>
          </w:tcPr>
          <w:p>
            <w:pPr>
              <w:ind w:left="18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82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443,880</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Lance A. Mizumoto</w:t>
            </w:r>
          </w:p>
        </w:tc>
        <w:tc>
          <w:tcPr>
            <w:tcW w:w="540" w:type="dxa"/>
            <w:vAlign w:val="bottom"/>
            <w:tcBorders>
              <w:bottom w:val="single" w:sz="8" w:color="BF5B5A"/>
            </w:tcBorders>
          </w:tcPr>
          <w:p>
            <w:pPr>
              <w:ind w:left="3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BF5B5A"/>
            </w:tcBorders>
            <w:gridSpan w:val="2"/>
          </w:tcPr>
          <w:p>
            <w:pPr>
              <w:jc w:val="right"/>
              <w:ind w:right="11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​143,351</w:t>
            </w:r>
          </w:p>
        </w:tc>
        <w:tc>
          <w:tcPr>
            <w:tcW w:w="2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52,493</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78,894</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BF5B5A"/>
            </w:tcBorders>
            <w:gridSpan w:val="2"/>
          </w:tcPr>
          <w:p>
            <w:pPr>
              <w:jc w:val="right"/>
              <w:ind w:right="7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​1,093,702</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left="1140" w:right="660" w:hanging="360"/>
        <w:spacing w:after="0" w:line="320" w:lineRule="auto"/>
        <w:tabs>
          <w:tab w:leader="none" w:pos="11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Amounts reported as contributions for the registrant are reported as “All Other Compensation” in the Summary Compensation Table for 2023.</w:t>
      </w:r>
    </w:p>
    <w:p>
      <w:pPr>
        <w:spacing w:after="0" w:line="8" w:lineRule="exact"/>
        <w:rPr>
          <w:rFonts w:ascii="Arial" w:cs="Arial" w:eastAsia="Arial" w:hAnsi="Arial"/>
          <w:sz w:val="16"/>
          <w:szCs w:val="16"/>
          <w:color w:val="auto"/>
        </w:rPr>
      </w:pPr>
    </w:p>
    <w:p>
      <w:pPr>
        <w:ind w:left="1140" w:hanging="360"/>
        <w:spacing w:after="0"/>
        <w:tabs>
          <w:tab w:leader="none" w:pos="11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Amounts reported here were not previously reported in the Summary Compensation Table.</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69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jc w:val="right"/>
        <w:ind w:right="2380"/>
        <w:spacing w:after="0"/>
        <w:rPr>
          <w:sz w:val="20"/>
          <w:szCs w:val="20"/>
          <w:color w:val="auto"/>
        </w:rPr>
      </w:pPr>
      <w:r>
        <w:rPr>
          <w:rFonts w:ascii="Arial" w:cs="Arial" w:eastAsia="Arial" w:hAnsi="Arial"/>
          <w:sz w:val="25"/>
          <w:szCs w:val="25"/>
          <w:b w:val="1"/>
          <w:bCs w:val="1"/>
          <w:color w:val="BF5B5A"/>
        </w:rPr>
        <w:t>Potential Payments upon Termination or Change in Control</w:t>
      </w:r>
    </w:p>
    <w:p>
      <w:pPr>
        <w:sectPr>
          <w:pgSz w:w="11900" w:h="16838" w:orient="portrait"/>
          <w:cols w:equalWidth="0" w:num="1">
            <w:col w:w="9940"/>
          </w:cols>
          <w:pgMar w:left="580" w:top="97" w:right="1379" w:bottom="1440" w:gutter="0" w:footer="0" w:header="0"/>
        </w:sectPr>
      </w:pPr>
    </w:p>
    <w:p>
      <w:pPr>
        <w:spacing w:after="0" w:line="22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Executive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77" w:lineRule="exact"/>
        <w:rPr>
          <w:sz w:val="20"/>
          <w:szCs w:val="20"/>
          <w:color w:val="auto"/>
        </w:rPr>
      </w:pPr>
    </w:p>
    <w:p>
      <w:pPr>
        <w:ind w:left="780" w:right="40"/>
        <w:spacing w:after="0" w:line="264" w:lineRule="auto"/>
        <w:rPr>
          <w:sz w:val="20"/>
          <w:szCs w:val="20"/>
          <w:color w:val="auto"/>
        </w:rPr>
      </w:pPr>
      <w:r>
        <w:rPr>
          <w:rFonts w:ascii="Arial" w:cs="Arial" w:eastAsia="Arial" w:hAnsi="Arial"/>
          <w:sz w:val="18"/>
          <w:szCs w:val="18"/>
          <w:color w:val="auto"/>
        </w:rPr>
        <w:t>The First Hawaiian Bank board of directors has adopted the Executive Severance Plan (the “Executive Severance Plan”) to advance the interests of First Hawaiian Bank by ensuring the continued employment, dedication and focused attention of its executive officers, notwithstanding the possibility, threat or occurrence of a change in control. Executive officers of First Hawaiian, Inc. become eligible to participate in the Executive Severance Plan upon designation by the Compensation Committee of the First Hawaiian, Inc. board of directors. Each of our NEOs participate in the Executive Severance Plan.</w:t>
      </w:r>
    </w:p>
    <w:p>
      <w:pPr>
        <w:spacing w:after="0" w:line="332" w:lineRule="exact"/>
        <w:rPr>
          <w:sz w:val="20"/>
          <w:szCs w:val="20"/>
          <w:color w:val="auto"/>
        </w:rPr>
      </w:pPr>
    </w:p>
    <w:p>
      <w:pPr>
        <w:ind w:left="780" w:right="60"/>
        <w:spacing w:after="0" w:line="267" w:lineRule="auto"/>
        <w:rPr>
          <w:sz w:val="20"/>
          <w:szCs w:val="20"/>
          <w:color w:val="auto"/>
        </w:rPr>
      </w:pPr>
      <w:r>
        <w:rPr>
          <w:rFonts w:ascii="Arial" w:cs="Arial" w:eastAsia="Arial" w:hAnsi="Arial"/>
          <w:sz w:val="18"/>
          <w:szCs w:val="18"/>
          <w:color w:val="auto"/>
        </w:rPr>
        <w:t>Mr. Harrison’s participation in the Severance Plan replaces the severance benefits he would otherwise be entitled to pursuant to his employment agreement. The following description and level of severance benefits applies to our NEOs as of December 31, 2023.</w:t>
      </w:r>
    </w:p>
    <w:p>
      <w:pPr>
        <w:spacing w:after="0" w:line="117" w:lineRule="exact"/>
        <w:rPr>
          <w:sz w:val="20"/>
          <w:szCs w:val="20"/>
          <w:color w:val="auto"/>
        </w:rPr>
      </w:pPr>
    </w:p>
    <w:p>
      <w:pPr>
        <w:ind w:left="780"/>
        <w:spacing w:after="0" w:line="261" w:lineRule="auto"/>
        <w:rPr>
          <w:sz w:val="20"/>
          <w:szCs w:val="20"/>
          <w:color w:val="auto"/>
        </w:rPr>
      </w:pPr>
      <w:r>
        <w:rPr>
          <w:rFonts w:ascii="Arial" w:cs="Arial" w:eastAsia="Arial" w:hAnsi="Arial"/>
          <w:sz w:val="18"/>
          <w:szCs w:val="18"/>
          <w:color w:val="auto"/>
        </w:rPr>
        <w:t>Under the Severance Plan, if within two years after a “change in control” (x)​ an executive’s employment is involuntarily terminated without “cause” or (y) an executive terminates employment for “good reason,” subject to the effectiveness of a release of claims, such executive is entitled to (i) cash severance of an amount equal to two times the executive’s highest annual base salary earned at any time during the three complete fiscal years immediately preceding the executive’s date of termination or, if shorter, during the executive’s entire period of employment with First Hawaiian, Inc. and its subsidiaries; (ii) an amount equal to two times the average of the executive’s actual payment amounts under the applicable bonus plan for each of the two completed fiscal years immediately preceding the fiscal year in which the executive’s date of termination occurs;</w:t>
      </w:r>
    </w:p>
    <w:p>
      <w:pPr>
        <w:spacing w:after="0" w:line="3" w:lineRule="exact"/>
        <w:rPr>
          <w:sz w:val="20"/>
          <w:szCs w:val="20"/>
          <w:color w:val="auto"/>
        </w:rPr>
      </w:pPr>
    </w:p>
    <w:p>
      <w:pPr>
        <w:ind w:left="1080" w:hanging="300"/>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continuing health benefits for one year; and</w:t>
      </w:r>
    </w:p>
    <w:p>
      <w:pPr>
        <w:spacing w:after="0" w:line="22" w:lineRule="exact"/>
        <w:rPr>
          <w:rFonts w:ascii="Arial" w:cs="Arial" w:eastAsia="Arial" w:hAnsi="Arial"/>
          <w:sz w:val="18"/>
          <w:szCs w:val="18"/>
          <w:color w:val="auto"/>
        </w:rPr>
      </w:pPr>
    </w:p>
    <w:p>
      <w:pPr>
        <w:ind w:left="1100" w:hanging="320"/>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outplacement benefits.</w:t>
      </w:r>
    </w:p>
    <w:p>
      <w:pPr>
        <w:spacing w:after="0" w:line="148" w:lineRule="exact"/>
        <w:rPr>
          <w:sz w:val="20"/>
          <w:szCs w:val="20"/>
          <w:color w:val="auto"/>
        </w:rPr>
      </w:pPr>
    </w:p>
    <w:p>
      <w:pPr>
        <w:ind w:left="780" w:right="360"/>
        <w:spacing w:after="0" w:line="264" w:lineRule="auto"/>
        <w:rPr>
          <w:sz w:val="20"/>
          <w:szCs w:val="20"/>
          <w:color w:val="auto"/>
        </w:rPr>
      </w:pPr>
      <w:r>
        <w:rPr>
          <w:rFonts w:ascii="Arial" w:cs="Arial" w:eastAsia="Arial" w:hAnsi="Arial"/>
          <w:sz w:val="18"/>
          <w:szCs w:val="18"/>
          <w:color w:val="auto"/>
        </w:rPr>
        <w:t>Under the Severance Plan, if outside of the two years after a “change in control,” including during any period prior to a “change in control,” ​</w:t>
      </w:r>
    </w:p>
    <w:p>
      <w:pPr>
        <w:spacing w:after="0" w:line="1" w:lineRule="exact"/>
        <w:rPr>
          <w:sz w:val="20"/>
          <w:szCs w:val="20"/>
          <w:color w:val="auto"/>
        </w:rPr>
      </w:pPr>
    </w:p>
    <w:p>
      <w:pPr>
        <w:ind w:left="780" w:right="120"/>
        <w:spacing w:after="0" w:line="259" w:lineRule="auto"/>
        <w:tabs>
          <w:tab w:leader="none" w:pos="105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executive is involuntarily terminated by First Hawaiian, Inc. without “cause” or (y) an executive terminates employment with First Hawaiian, Inc. for “good reason,” subject to the effectiveness of a release of claims, such executive will be entitled to</w:t>
      </w:r>
    </w:p>
    <w:p>
      <w:pPr>
        <w:spacing w:after="0" w:line="3" w:lineRule="exact"/>
        <w:rPr>
          <w:rFonts w:ascii="Arial" w:cs="Arial" w:eastAsia="Arial" w:hAnsi="Arial"/>
          <w:sz w:val="18"/>
          <w:szCs w:val="18"/>
          <w:color w:val="auto"/>
        </w:rPr>
      </w:pPr>
    </w:p>
    <w:p>
      <w:pPr>
        <w:ind w:left="780" w:right="100"/>
        <w:spacing w:after="0" w:line="292" w:lineRule="auto"/>
        <w:tabs>
          <w:tab w:leader="none" w:pos="10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cash severance of an amount equal to one times the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7"/>
        <w:spacing w:after="0" w:line="265" w:lineRule="auto"/>
        <w:rPr>
          <w:sz w:val="20"/>
          <w:szCs w:val="20"/>
          <w:color w:val="auto"/>
        </w:rPr>
      </w:pPr>
      <w:r>
        <w:rPr>
          <w:rFonts w:ascii="Arial" w:cs="Arial" w:eastAsia="Arial" w:hAnsi="Arial"/>
          <w:sz w:val="18"/>
          <w:szCs w:val="18"/>
          <w:color w:val="auto"/>
        </w:rPr>
        <w:t>executive’s highest annual base salary earned at any time during the three complete fiscal years immediately preceding the executive’s separation from service or, if shorter, during the executive’s entire period of employment with First Hawaiian, Inc. and its subsidiaries; and (ii) an amount equal to one times the average of the executive’s actual payment amounts under the applicable bonus plan for each of the two completed fiscal years immediately preceding the fiscal year in which the executive’s separation from service occurs.</w:t>
      </w:r>
    </w:p>
    <w:p>
      <w:pPr>
        <w:spacing w:after="0" w:line="105" w:lineRule="exact"/>
        <w:rPr>
          <w:sz w:val="20"/>
          <w:szCs w:val="20"/>
          <w:color w:val="auto"/>
        </w:rPr>
      </w:pPr>
    </w:p>
    <w:p>
      <w:pPr>
        <w:ind w:left="7" w:right="80"/>
        <w:spacing w:after="0" w:line="264" w:lineRule="auto"/>
        <w:rPr>
          <w:sz w:val="20"/>
          <w:szCs w:val="20"/>
          <w:color w:val="auto"/>
        </w:rPr>
      </w:pPr>
      <w:r>
        <w:rPr>
          <w:rFonts w:ascii="Arial" w:cs="Arial" w:eastAsia="Arial" w:hAnsi="Arial"/>
          <w:sz w:val="18"/>
          <w:szCs w:val="18"/>
          <w:color w:val="auto"/>
        </w:rPr>
        <w:t>For purposes of the Severance Plan, “cause” generally means the executive’s (i) willful failure to perform his or her duties, which is not remedied within fifteen business days following written notice;</w:t>
      </w:r>
    </w:p>
    <w:p>
      <w:pPr>
        <w:spacing w:after="0" w:line="3" w:lineRule="exact"/>
        <w:rPr>
          <w:sz w:val="20"/>
          <w:szCs w:val="20"/>
          <w:color w:val="auto"/>
        </w:rPr>
      </w:pPr>
    </w:p>
    <w:p>
      <w:pPr>
        <w:ind w:left="267" w:hanging="267"/>
        <w:spacing w:after="0"/>
        <w:tabs>
          <w:tab w:leader="none" w:pos="26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gross negligence in the performance of duties;</w:t>
      </w:r>
    </w:p>
    <w:p>
      <w:pPr>
        <w:spacing w:after="0" w:line="17" w:lineRule="exact"/>
        <w:rPr>
          <w:rFonts w:ascii="Arial" w:cs="Arial" w:eastAsia="Arial" w:hAnsi="Arial"/>
          <w:sz w:val="18"/>
          <w:szCs w:val="18"/>
          <w:color w:val="auto"/>
        </w:rPr>
      </w:pPr>
    </w:p>
    <w:p>
      <w:pPr>
        <w:ind w:left="307" w:hanging="307"/>
        <w:spacing w:after="0"/>
        <w:tabs>
          <w:tab w:leader="none" w:pos="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conviction of, or plea of guilty or no contest to,</w:t>
      </w:r>
    </w:p>
    <w:p>
      <w:pPr>
        <w:spacing w:after="0" w:line="14" w:lineRule="exact"/>
        <w:rPr>
          <w:sz w:val="20"/>
          <w:szCs w:val="20"/>
          <w:color w:val="auto"/>
        </w:rPr>
      </w:pPr>
    </w:p>
    <w:p>
      <w:pPr>
        <w:ind w:left="7" w:right="20"/>
        <w:spacing w:after="0" w:line="263" w:lineRule="auto"/>
        <w:rPr>
          <w:sz w:val="20"/>
          <w:szCs w:val="20"/>
          <w:color w:val="auto"/>
        </w:rPr>
      </w:pPr>
      <w:r>
        <w:rPr>
          <w:rFonts w:ascii="Arial" w:cs="Arial" w:eastAsia="Arial" w:hAnsi="Arial"/>
          <w:sz w:val="18"/>
          <w:szCs w:val="18"/>
          <w:color w:val="auto"/>
        </w:rPr>
        <w:t>any felony or any other crime involving the personal enrichment of the executive at First Hawaiian, Inc.’s expense; (iv) willful engagement in conduct that is demonstrably and materially injurious to First Hawaiian, Inc.; (v) material violation of any federal or state banking law or regulation; (vi) material violation of any provision of First Hawaiian, Inc.’s code of conduct and ethics (including any successor thereto) or other established code of conduct to which the executive is subject; and (vii) willful violation of confidentiality, non- disparagement, noncompetition, and employee and customer non-solicitation covenants.</w:t>
      </w:r>
    </w:p>
    <w:p>
      <w:pPr>
        <w:spacing w:after="0" w:line="106" w:lineRule="exact"/>
        <w:rPr>
          <w:sz w:val="20"/>
          <w:szCs w:val="20"/>
          <w:color w:val="auto"/>
        </w:rPr>
      </w:pPr>
    </w:p>
    <w:p>
      <w:pPr>
        <w:ind w:left="7" w:right="40"/>
        <w:spacing w:after="0" w:line="267" w:lineRule="auto"/>
        <w:rPr>
          <w:sz w:val="20"/>
          <w:szCs w:val="20"/>
          <w:color w:val="auto"/>
        </w:rPr>
      </w:pPr>
      <w:r>
        <w:rPr>
          <w:rFonts w:ascii="Arial" w:cs="Arial" w:eastAsia="Arial" w:hAnsi="Arial"/>
          <w:sz w:val="18"/>
          <w:szCs w:val="18"/>
          <w:color w:val="auto"/>
        </w:rPr>
        <w:t>“Good reason” generally means an executive (i) has incurred a material reduction in base salary, authority, duties or responsibilities; or (ii) has been provided notice that his principal place of work will be relocated to a different Hawaiian Island or to a place more than 50 miles from the executive’s base of employment.</w:t>
      </w:r>
    </w:p>
    <w:p>
      <w:pPr>
        <w:spacing w:after="0" w:line="116" w:lineRule="exact"/>
        <w:rPr>
          <w:sz w:val="20"/>
          <w:szCs w:val="20"/>
          <w:color w:val="auto"/>
        </w:rPr>
      </w:pPr>
    </w:p>
    <w:p>
      <w:pPr>
        <w:ind w:left="7" w:right="40"/>
        <w:spacing w:after="0" w:line="287" w:lineRule="auto"/>
        <w:rPr>
          <w:sz w:val="20"/>
          <w:szCs w:val="20"/>
          <w:color w:val="auto"/>
        </w:rPr>
      </w:pPr>
      <w:r>
        <w:rPr>
          <w:rFonts w:ascii="Arial" w:cs="Arial" w:eastAsia="Arial" w:hAnsi="Arial"/>
          <w:sz w:val="18"/>
          <w:szCs w:val="18"/>
          <w:color w:val="auto"/>
        </w:rPr>
        <w:t>“Change in control” generally means the occurrence of any of the following events:</w:t>
      </w:r>
    </w:p>
    <w:p>
      <w:pPr>
        <w:spacing w:after="0" w:line="99" w:lineRule="exact"/>
        <w:rPr>
          <w:sz w:val="20"/>
          <w:szCs w:val="20"/>
          <w:color w:val="auto"/>
        </w:rPr>
      </w:pPr>
    </w:p>
    <w:p>
      <w:pPr>
        <w:ind w:left="727" w:right="60" w:hanging="367"/>
        <w:spacing w:after="0" w:line="277" w:lineRule="auto"/>
        <w:tabs>
          <w:tab w:leader="none" w:pos="72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incumbent directors cease to constitute at least a majority of the board, provided that any person becoming a director whose election or nomination was approved by a vote of at least two-thirds of the incumbent directors will be deemed an incumbent director;</w:t>
      </w:r>
    </w:p>
    <w:p>
      <w:pPr>
        <w:spacing w:after="0" w:line="110" w:lineRule="exact"/>
        <w:rPr>
          <w:sz w:val="20"/>
          <w:szCs w:val="20"/>
          <w:color w:val="auto"/>
        </w:rPr>
      </w:pPr>
    </w:p>
    <w:p>
      <w:pPr>
        <w:ind w:left="727" w:right="40" w:hanging="367"/>
        <w:spacing w:after="0" w:line="289" w:lineRule="auto"/>
        <w:tabs>
          <w:tab w:leader="none" w:pos="72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person (other than First Hawaiian, Inc., any employee benefit plan sponsored or maintained by First Hawaiian, Inc. or certain</w:t>
      </w:r>
    </w:p>
    <w:p>
      <w:pPr>
        <w:spacing w:after="0" w:line="200" w:lineRule="exact"/>
        <w:rPr>
          <w:sz w:val="20"/>
          <w:szCs w:val="20"/>
          <w:color w:val="auto"/>
        </w:rPr>
      </w:pPr>
    </w:p>
    <w:p>
      <w:pPr>
        <w:sectPr>
          <w:pgSz w:w="11900" w:h="16838" w:orient="portrait"/>
          <w:cols w:equalWidth="0" w:num="2">
            <w:col w:w="5120" w:space="493"/>
            <w:col w:w="4327"/>
          </w:cols>
          <w:pgMar w:left="580" w:top="97" w:right="1379" w:bottom="1440" w:gutter="0" w:footer="0" w:header="0"/>
          <w:type w:val="continuous"/>
        </w:sectPr>
      </w:pPr>
    </w:p>
    <w:p>
      <w:pPr>
        <w:spacing w:after="0" w:line="21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70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00" w:right="100"/>
        <w:spacing w:after="0" w:line="265" w:lineRule="auto"/>
        <w:rPr>
          <w:sz w:val="20"/>
          <w:szCs w:val="20"/>
          <w:color w:val="auto"/>
        </w:rPr>
      </w:pPr>
      <w:r>
        <w:rPr>
          <w:rFonts w:ascii="Arial" w:cs="Arial" w:eastAsia="Arial" w:hAnsi="Arial"/>
          <w:sz w:val="18"/>
          <w:szCs w:val="18"/>
          <w:color w:val="auto"/>
        </w:rPr>
        <w:t>underwriters) is or becomes a beneficial owner of securities representing 50% or more of the combined voting power of First Hawaiian’s then outstanding securities eligible to vote for the election of the board (“Company Voting Securities”); provided, however, that there will not be deemed to be a change in control by virtue of the ownership, or acquisition, of Company Voting Securities pursuant to a Non-Qualifying Transaction (as defined below);</w:t>
      </w:r>
    </w:p>
    <w:p>
      <w:pPr>
        <w:spacing w:after="0" w:line="119" w:lineRule="exact"/>
        <w:rPr>
          <w:sz w:val="20"/>
          <w:szCs w:val="20"/>
          <w:color w:val="auto"/>
        </w:rPr>
      </w:pPr>
    </w:p>
    <w:p>
      <w:pPr>
        <w:ind w:left="1500" w:hanging="360"/>
        <w:spacing w:after="0" w:line="272" w:lineRule="auto"/>
        <w:tabs>
          <w:tab w:leader="none" w:pos="1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merger, consolidation, statutory share exchange or similar form of corporate transaction involving First Hawaiian (a “Business Combination”), unless immediately following such Business Combination: (A) more than 50% of the total voting power of  the surviving entity or ultimate parent corporation is represented by Company Voting Securities that were outstanding immediately prior to such Business Combination, and such voting power remains in substantially the same proportion, (B) no person is or becomes the beneficial owner, directly or indirectly, of 50% or more of the total voting power of the outstanding voting securities eligible to elect directors of the parent or surviving entity and (C) at least 50% of the directors of the parent or surviving entity following the Business Combination were incumbent directors at the time of the board’s approval of the Business Combination (any Business Combination which satisfies all of the criteria specified in (A), (B) and (C) will be deemed to be a “Non-Qualifying Transaction”);</w:t>
      </w:r>
    </w:p>
    <w:p>
      <w:pPr>
        <w:spacing w:after="0" w:line="358" w:lineRule="exact"/>
        <w:rPr>
          <w:rFonts w:ascii="Arial" w:cs="Arial" w:eastAsia="Arial" w:hAnsi="Arial"/>
          <w:sz w:val="18"/>
          <w:szCs w:val="18"/>
          <w:color w:val="auto"/>
        </w:rPr>
      </w:pPr>
    </w:p>
    <w:p>
      <w:pPr>
        <w:ind w:left="1500" w:right="500" w:hanging="360"/>
        <w:spacing w:after="0" w:line="284" w:lineRule="auto"/>
        <w:tabs>
          <w:tab w:leader="none" w:pos="1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sale of all or substantially all of First Hawaiian’s assets (other than to an affiliate); or</w:t>
      </w:r>
    </w:p>
    <w:p>
      <w:pPr>
        <w:spacing w:after="0" w:line="102" w:lineRule="exact"/>
        <w:rPr>
          <w:rFonts w:ascii="Arial" w:cs="Arial" w:eastAsia="Arial" w:hAnsi="Arial"/>
          <w:sz w:val="18"/>
          <w:szCs w:val="18"/>
          <w:color w:val="auto"/>
        </w:rPr>
      </w:pPr>
    </w:p>
    <w:p>
      <w:pPr>
        <w:ind w:left="1500" w:hanging="360"/>
        <w:spacing w:after="0" w:line="292" w:lineRule="auto"/>
        <w:tabs>
          <w:tab w:leader="none" w:pos="1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First Hawaiian’s stockholders approve a plan of complete liquidation or dissolution of First Hawaiian.</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17"/>
          <w:szCs w:val="17"/>
          <w:b w:val="1"/>
          <w:bCs w:val="1"/>
          <w:color w:val="7F7F7F"/>
        </w:rPr>
        <w:t>EXECUTIVE COMPENSATION</w:t>
      </w:r>
    </w:p>
    <w:p>
      <w:pPr>
        <w:spacing w:after="0" w:line="29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Notwithstanding the foregoing, a change in control will not be deemed to occur solely because any person acquires beneficial ownership of more than 50% of the Company Voting Securities as a result of the acquisition of Company Voting Securities by First Hawaiian, Inc. which reduces the number of Company Voting Securities outstanding; provided that if after such acquisition by First Hawaiian, Inc. such person becomes the beneficial owner of additional Company Voting Securities that increases the percentage of outstanding Company Voting Securities beneficially owned by such person, a change in control will then occur.</w:t>
      </w:r>
    </w:p>
    <w:p>
      <w:pPr>
        <w:spacing w:after="0" w:line="1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Participants in the Severance Plan are subject to restrictive covenants, including (i) noncompetition and non-solicitation requirements, (ii) a confidentiality provision and (iii) a non-disparagement provision, each of which applies during employment and for one year following any termination of employment.</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Outstanding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27603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04"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the event of termination without cause or for good reason within two years following a change in control, outstanding performance share units granted under the LTIP will be earned based on the greater of target and actual performance, and outstanding restricted stock units granted under the Omnibus Plan will vest in full. For outstanding performance share units granted under the LTIP, in the event of death or disability, a pro rated portion of such performance share units will vest at target performance, and in the event of retirement, such performance share units will vest on the planned vesting date at actual performance in a prorated amount based on the period of employment prior to retirement relative to the three-year performance period. For outstanding restricted stock units under the Omnibus Plan, in the event of retirement, death or disability, such restricted stock units will immediately vest in full, except that in the event of retirement, such awards will vest on a pro rated basis based on the portion of the vesting period served.</w:t>
      </w:r>
    </w:p>
    <w:p>
      <w:pPr>
        <w:spacing w:after="0" w:line="200" w:lineRule="exact"/>
        <w:rPr>
          <w:sz w:val="20"/>
          <w:szCs w:val="20"/>
          <w:color w:val="auto"/>
        </w:rPr>
      </w:pPr>
    </w:p>
    <w:p>
      <w:pPr>
        <w:sectPr>
          <w:pgSz w:w="11900" w:h="16838" w:orient="portrait"/>
          <w:cols w:equalWidth="0" w:num="2">
            <w:col w:w="5120" w:space="500"/>
            <w:col w:w="430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71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Potential Payments upon Termination or Change in Control</w:t>
      </w:r>
    </w:p>
    <w:p>
      <w:pPr>
        <w:spacing w:after="0" w:line="177" w:lineRule="exact"/>
        <w:rPr>
          <w:sz w:val="20"/>
          <w:szCs w:val="20"/>
          <w:color w:val="auto"/>
        </w:rPr>
      </w:pPr>
    </w:p>
    <w:p>
      <w:pPr>
        <w:ind w:left="780" w:right="80"/>
        <w:spacing w:after="0" w:line="279" w:lineRule="auto"/>
        <w:rPr>
          <w:sz w:val="20"/>
          <w:szCs w:val="20"/>
          <w:color w:val="auto"/>
        </w:rPr>
      </w:pPr>
      <w:r>
        <w:rPr>
          <w:rFonts w:ascii="Arial" w:cs="Arial" w:eastAsia="Arial" w:hAnsi="Arial"/>
          <w:sz w:val="18"/>
          <w:szCs w:val="18"/>
          <w:color w:val="auto"/>
        </w:rPr>
        <w:t>The following table and footnotes describe certain potential payments that each NEO would receive upon certain terminations of employment, assuming that the termination event was effective as of December 29, 2023 and the value of our common stock of  $22.86, the closing price of our common stock on December 29, 2023, the last trading day in 2023. For information regarding benefits that would be payable with respect to the SERP, First Hawaiian, Inc. DCP and First Hawaiian Bank DCP, see the “</w:t>
      </w:r>
      <w:r>
        <w:rPr>
          <w:rFonts w:ascii="Arial" w:cs="Arial" w:eastAsia="Arial" w:hAnsi="Arial"/>
          <w:sz w:val="18"/>
          <w:szCs w:val="18"/>
          <w:i w:val="1"/>
          <w:iCs w:val="1"/>
          <w:color w:val="auto"/>
        </w:rPr>
        <w:t>2023 Pension Benefits</w:t>
      </w:r>
      <w:r>
        <w:rPr>
          <w:rFonts w:ascii="Arial" w:cs="Arial" w:eastAsia="Arial" w:hAnsi="Arial"/>
          <w:sz w:val="18"/>
          <w:szCs w:val="18"/>
          <w:color w:val="auto"/>
        </w:rPr>
        <w:t>” and “</w:t>
      </w:r>
      <w:r>
        <w:rPr>
          <w:rFonts w:ascii="Arial" w:cs="Arial" w:eastAsia="Arial" w:hAnsi="Arial"/>
          <w:sz w:val="18"/>
          <w:szCs w:val="18"/>
          <w:i w:val="1"/>
          <w:iCs w:val="1"/>
          <w:color w:val="auto"/>
        </w:rPr>
        <w:t>2023</w:t>
      </w:r>
      <w:r>
        <w:rPr>
          <w:rFonts w:ascii="Arial" w:cs="Arial" w:eastAsia="Arial" w:hAnsi="Arial"/>
          <w:sz w:val="18"/>
          <w:szCs w:val="18"/>
          <w:color w:val="auto"/>
        </w:rPr>
        <w:t xml:space="preserve"> </w:t>
      </w: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tables on page 69.</w:t>
      </w:r>
    </w:p>
    <w:p>
      <w:pPr>
        <w:spacing w:after="0" w:line="168"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60" w:type="dxa"/>
            <w:vAlign w:val="bottom"/>
            <w:shd w:val="clear" w:color="auto" w:fill="BF5B5A"/>
          </w:tcPr>
          <w:p>
            <w:pPr>
              <w:spacing w:after="0"/>
              <w:rPr>
                <w:sz w:val="16"/>
                <w:szCs w:val="16"/>
                <w:color w:val="auto"/>
              </w:rPr>
            </w:pPr>
          </w:p>
        </w:tc>
        <w:tc>
          <w:tcPr>
            <w:tcW w:w="1440" w:type="dxa"/>
            <w:vAlign w:val="bottom"/>
            <w:shd w:val="clear" w:color="auto" w:fill="BF5B5A"/>
          </w:tcPr>
          <w:p>
            <w:pPr>
              <w:spacing w:after="0"/>
              <w:rPr>
                <w:sz w:val="16"/>
                <w:szCs w:val="16"/>
                <w:color w:val="auto"/>
              </w:rPr>
            </w:pPr>
          </w:p>
        </w:tc>
        <w:tc>
          <w:tcPr>
            <w:tcW w:w="1140" w:type="dxa"/>
            <w:vAlign w:val="bottom"/>
            <w:shd w:val="clear" w:color="auto" w:fill="BF5B5A"/>
          </w:tcPr>
          <w:p>
            <w:pPr>
              <w:spacing w:after="0"/>
              <w:rPr>
                <w:sz w:val="16"/>
                <w:szCs w:val="16"/>
                <w:color w:val="auto"/>
              </w:rPr>
            </w:pPr>
          </w:p>
        </w:tc>
        <w:tc>
          <w:tcPr>
            <w:tcW w:w="240" w:type="dxa"/>
            <w:vAlign w:val="bottom"/>
            <w:shd w:val="clear" w:color="auto" w:fill="BF5B5A"/>
          </w:tcPr>
          <w:p>
            <w:pPr>
              <w:spacing w:after="0"/>
              <w:rPr>
                <w:sz w:val="16"/>
                <w:szCs w:val="16"/>
                <w:color w:val="auto"/>
              </w:rPr>
            </w:pPr>
          </w:p>
        </w:tc>
        <w:tc>
          <w:tcPr>
            <w:tcW w:w="220" w:type="dxa"/>
            <w:vAlign w:val="bottom"/>
            <w:shd w:val="clear" w:color="auto" w:fill="BF5B5A"/>
          </w:tcPr>
          <w:p>
            <w:pPr>
              <w:spacing w:after="0"/>
              <w:rPr>
                <w:sz w:val="16"/>
                <w:szCs w:val="16"/>
                <w:color w:val="auto"/>
              </w:rPr>
            </w:pPr>
          </w:p>
        </w:tc>
        <w:tc>
          <w:tcPr>
            <w:tcW w:w="640" w:type="dxa"/>
            <w:vAlign w:val="bottom"/>
            <w:shd w:val="clear" w:color="auto" w:fill="BF5B5A"/>
          </w:tcPr>
          <w:p>
            <w:pPr>
              <w:jc w:val="right"/>
              <w:ind w:right="139"/>
              <w:spacing w:after="0"/>
              <w:rPr>
                <w:sz w:val="20"/>
                <w:szCs w:val="20"/>
                <w:color w:val="auto"/>
              </w:rPr>
            </w:pPr>
            <w:r>
              <w:rPr>
                <w:rFonts w:ascii="Arial" w:cs="Arial" w:eastAsia="Arial" w:hAnsi="Arial"/>
                <w:sz w:val="16"/>
                <w:szCs w:val="16"/>
                <w:b w:val="1"/>
                <w:bCs w:val="1"/>
                <w:color w:val="FFFFFF"/>
              </w:rPr>
              <w:t>Cash</w:t>
            </w:r>
          </w:p>
        </w:tc>
        <w:tc>
          <w:tcPr>
            <w:tcW w:w="400" w:type="dxa"/>
            <w:vAlign w:val="bottom"/>
            <w:shd w:val="clear" w:color="auto" w:fill="BF5B5A"/>
          </w:tcPr>
          <w:p>
            <w:pPr>
              <w:spacing w:after="0"/>
              <w:rPr>
                <w:sz w:val="16"/>
                <w:szCs w:val="16"/>
                <w:color w:val="auto"/>
              </w:rPr>
            </w:pPr>
          </w:p>
        </w:tc>
        <w:tc>
          <w:tcPr>
            <w:tcW w:w="1160" w:type="dxa"/>
            <w:vAlign w:val="bottom"/>
            <w:gridSpan w:val="2"/>
            <w:shd w:val="clear" w:color="auto" w:fill="BF5B5A"/>
          </w:tcPr>
          <w:p>
            <w:pPr>
              <w:jc w:val="right"/>
              <w:ind w:right="199"/>
              <w:spacing w:after="0"/>
              <w:rPr>
                <w:sz w:val="20"/>
                <w:szCs w:val="20"/>
                <w:color w:val="auto"/>
              </w:rPr>
            </w:pPr>
            <w:r>
              <w:rPr>
                <w:rFonts w:ascii="Arial" w:cs="Arial" w:eastAsia="Arial" w:hAnsi="Arial"/>
                <w:sz w:val="16"/>
                <w:szCs w:val="16"/>
                <w:b w:val="1"/>
                <w:bCs w:val="1"/>
                <w:color w:val="FFFFFF"/>
              </w:rPr>
              <w:t>Health and</w:t>
            </w:r>
          </w:p>
        </w:tc>
        <w:tc>
          <w:tcPr>
            <w:tcW w:w="460" w:type="dxa"/>
            <w:vAlign w:val="bottom"/>
            <w:shd w:val="clear" w:color="auto" w:fill="BF5B5A"/>
          </w:tcPr>
          <w:p>
            <w:pPr>
              <w:spacing w:after="0"/>
              <w:rPr>
                <w:sz w:val="16"/>
                <w:szCs w:val="16"/>
                <w:color w:val="auto"/>
              </w:rPr>
            </w:pPr>
          </w:p>
        </w:tc>
        <w:tc>
          <w:tcPr>
            <w:tcW w:w="900" w:type="dxa"/>
            <w:vAlign w:val="bottom"/>
            <w:shd w:val="clear" w:color="auto" w:fill="BF5B5A"/>
          </w:tcPr>
          <w:p>
            <w:pPr>
              <w:jc w:val="right"/>
              <w:ind w:right="385"/>
              <w:spacing w:after="0"/>
              <w:rPr>
                <w:sz w:val="20"/>
                <w:szCs w:val="20"/>
                <w:color w:val="auto"/>
              </w:rPr>
            </w:pPr>
            <w:r>
              <w:rPr>
                <w:rFonts w:ascii="Arial" w:cs="Arial" w:eastAsia="Arial" w:hAnsi="Arial"/>
                <w:sz w:val="16"/>
                <w:szCs w:val="16"/>
                <w:b w:val="1"/>
                <w:bCs w:val="1"/>
                <w:color w:val="FFFFFF"/>
                <w:w w:val="96"/>
              </w:rPr>
              <w:t>Stock</w:t>
            </w:r>
          </w:p>
        </w:tc>
        <w:tc>
          <w:tcPr>
            <w:tcW w:w="1100" w:type="dxa"/>
            <w:vAlign w:val="bottom"/>
            <w:gridSpan w:val="2"/>
            <w:shd w:val="clear" w:color="auto" w:fill="BF5B5A"/>
          </w:tcPr>
          <w:p>
            <w:pPr>
              <w:ind w:left="20"/>
              <w:spacing w:after="0"/>
              <w:rPr>
                <w:sz w:val="20"/>
                <w:szCs w:val="20"/>
                <w:color w:val="auto"/>
              </w:rPr>
            </w:pPr>
            <w:r>
              <w:rPr>
                <w:rFonts w:ascii="Arial" w:cs="Arial" w:eastAsia="Arial" w:hAnsi="Arial"/>
                <w:sz w:val="16"/>
                <w:szCs w:val="16"/>
                <w:b w:val="1"/>
                <w:bCs w:val="1"/>
                <w:color w:val="FFFFFF"/>
                <w:w w:val="99"/>
              </w:rPr>
              <w:t>Outplacement</w:t>
            </w:r>
          </w:p>
        </w:tc>
        <w:tc>
          <w:tcPr>
            <w:tcW w:w="500" w:type="dxa"/>
            <w:vAlign w:val="bottom"/>
            <w:shd w:val="clear" w:color="auto" w:fill="BF5B5A"/>
          </w:tcPr>
          <w:p>
            <w:pPr>
              <w:spacing w:after="0"/>
              <w:rPr>
                <w:sz w:val="16"/>
                <w:szCs w:val="16"/>
                <w:color w:val="auto"/>
              </w:rPr>
            </w:pPr>
          </w:p>
        </w:tc>
        <w:tc>
          <w:tcPr>
            <w:tcW w:w="560" w:type="dxa"/>
            <w:vAlign w:val="bottom"/>
            <w:shd w:val="clear" w:color="auto" w:fill="BF5B5A"/>
          </w:tcPr>
          <w:p>
            <w:pPr>
              <w:spacing w:after="0"/>
              <w:rPr>
                <w:sz w:val="16"/>
                <w:szCs w:val="16"/>
                <w:color w:val="auto"/>
              </w:rPr>
            </w:pPr>
          </w:p>
        </w:tc>
        <w:tc>
          <w:tcPr>
            <w:tcW w:w="26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40" w:type="dxa"/>
            <w:vAlign w:val="bottom"/>
            <w:gridSpan w:val="3"/>
            <w:shd w:val="clear" w:color="auto" w:fill="BF5B5A"/>
          </w:tcPr>
          <w:p>
            <w:pPr>
              <w:ind w:left="40"/>
              <w:spacing w:after="0"/>
              <w:rPr>
                <w:sz w:val="20"/>
                <w:szCs w:val="20"/>
                <w:color w:val="auto"/>
              </w:rPr>
            </w:pPr>
            <w:r>
              <w:rPr>
                <w:rFonts w:ascii="Arial" w:cs="Arial" w:eastAsia="Arial" w:hAnsi="Arial"/>
                <w:sz w:val="16"/>
                <w:szCs w:val="16"/>
                <w:b w:val="1"/>
                <w:bCs w:val="1"/>
                <w:color w:val="FFFFFF"/>
              </w:rPr>
              <w:t>​Named Executive Officer</w:t>
            </w:r>
          </w:p>
        </w:tc>
        <w:tc>
          <w:tcPr>
            <w:tcW w:w="2660" w:type="dxa"/>
            <w:vAlign w:val="bottom"/>
            <w:gridSpan w:val="6"/>
            <w:shd w:val="clear" w:color="auto" w:fill="BF5B5A"/>
          </w:tcPr>
          <w:p>
            <w:pPr>
              <w:ind w:left="60"/>
              <w:spacing w:after="0"/>
              <w:rPr>
                <w:sz w:val="20"/>
                <w:szCs w:val="20"/>
                <w:color w:val="auto"/>
              </w:rPr>
            </w:pPr>
            <w:r>
              <w:rPr>
                <w:rFonts w:ascii="Arial" w:cs="Arial" w:eastAsia="Arial" w:hAnsi="Arial"/>
                <w:sz w:val="16"/>
                <w:szCs w:val="16"/>
                <w:b w:val="1"/>
                <w:bCs w:val="1"/>
                <w:color w:val="FFFFFF"/>
              </w:rPr>
              <w:t>​ ​ Severance</w:t>
            </w:r>
            <w:r>
              <w:rPr>
                <w:rFonts w:ascii="Arial" w:cs="Arial" w:eastAsia="Arial" w:hAnsi="Arial"/>
                <w:sz w:val="19"/>
                <w:szCs w:val="19"/>
                <w:b w:val="1"/>
                <w:bCs w:val="1"/>
                <w:color w:val="FFFFFF"/>
                <w:vertAlign w:val="superscript"/>
              </w:rPr>
              <w:t>(2)</w:t>
            </w:r>
            <w:r>
              <w:rPr>
                <w:rFonts w:ascii="Arial" w:cs="Arial" w:eastAsia="Arial" w:hAnsi="Arial"/>
                <w:sz w:val="16"/>
                <w:szCs w:val="16"/>
                <w:b w:val="1"/>
                <w:bCs w:val="1"/>
                <w:color w:val="FFFFFF"/>
              </w:rPr>
              <w:t xml:space="preserve">  ​ ​ Welfare Benefits</w:t>
            </w:r>
          </w:p>
        </w:tc>
        <w:tc>
          <w:tcPr>
            <w:tcW w:w="136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rPr>
              <w:t>​ ​ Awards</w:t>
            </w:r>
            <w:r>
              <w:rPr>
                <w:rFonts w:ascii="Arial" w:cs="Arial" w:eastAsia="Arial" w:hAnsi="Arial"/>
                <w:sz w:val="19"/>
                <w:szCs w:val="19"/>
                <w:b w:val="1"/>
                <w:bCs w:val="1"/>
                <w:color w:val="FFFFFF"/>
                <w:vertAlign w:val="superscript"/>
              </w:rPr>
              <w:t>(3)</w:t>
            </w:r>
            <w:r>
              <w:rPr>
                <w:rFonts w:ascii="Arial" w:cs="Arial" w:eastAsia="Arial" w:hAnsi="Arial"/>
                <w:sz w:val="16"/>
                <w:szCs w:val="16"/>
                <w:b w:val="1"/>
                <w:bCs w:val="1"/>
                <w:color w:val="FFFFFF"/>
              </w:rPr>
              <w:t xml:space="preserve">   ​ ​</w:t>
            </w:r>
          </w:p>
        </w:tc>
        <w:tc>
          <w:tcPr>
            <w:tcW w:w="1100" w:type="dxa"/>
            <w:vAlign w:val="bottom"/>
            <w:gridSpan w:val="2"/>
            <w:shd w:val="clear" w:color="auto" w:fill="BF5B5A"/>
          </w:tcPr>
          <w:p>
            <w:pPr>
              <w:ind w:left="240"/>
              <w:spacing w:after="0"/>
              <w:rPr>
                <w:sz w:val="20"/>
                <w:szCs w:val="20"/>
                <w:color w:val="auto"/>
              </w:rPr>
            </w:pPr>
            <w:r>
              <w:rPr>
                <w:rFonts w:ascii="Arial" w:cs="Arial" w:eastAsia="Arial" w:hAnsi="Arial"/>
                <w:sz w:val="16"/>
                <w:szCs w:val="16"/>
                <w:b w:val="1"/>
                <w:bCs w:val="1"/>
                <w:color w:val="FFFFFF"/>
              </w:rPr>
              <w:t>Benefits</w:t>
            </w:r>
          </w:p>
        </w:tc>
        <w:tc>
          <w:tcPr>
            <w:tcW w:w="50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 ​</w:t>
            </w:r>
          </w:p>
        </w:tc>
        <w:tc>
          <w:tcPr>
            <w:tcW w:w="56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Total</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9"/>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​Robert S. Harrison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in Connection with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6"/>
                <w:szCs w:val="16"/>
                <w:color w:val="auto"/>
              </w:rPr>
              <w:t>Change in Control</w:t>
            </w:r>
          </w:p>
        </w:tc>
        <w:tc>
          <w:tcPr>
            <w:tcW w:w="1140" w:type="dxa"/>
            <w:vAlign w:val="bottom"/>
          </w:tcPr>
          <w:p>
            <w:pPr>
              <w:spacing w:after="0"/>
              <w:rPr>
                <w:sz w:val="20"/>
                <w:szCs w:val="20"/>
                <w:color w:val="auto"/>
              </w:rPr>
            </w:pPr>
            <w:r>
              <w:rPr>
                <w:rFonts w:ascii="Arial" w:cs="Arial" w:eastAsia="Arial" w:hAnsi="Arial"/>
                <w:sz w:val="10"/>
                <w:szCs w:val="10"/>
                <w:color w:val="auto"/>
              </w:rPr>
              <w:t>(1)</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126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rPr>
              <w:t>​$4,014,362 ​​ ​</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color w:val="auto"/>
              </w:rPr>
              <w:t>​$27,116</w:t>
            </w:r>
          </w:p>
        </w:tc>
        <w:tc>
          <w:tcPr>
            <w:tcW w:w="460" w:type="dxa"/>
            <w:vAlign w:val="bottom"/>
          </w:tcPr>
          <w:p>
            <w:pPr>
              <w:spacing w:after="0"/>
              <w:rPr>
                <w:sz w:val="10"/>
                <w:szCs w:val="10"/>
                <w:color w:val="auto"/>
              </w:rPr>
            </w:pPr>
          </w:p>
        </w:tc>
        <w:tc>
          <w:tcPr>
            <w:tcW w:w="90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1100" w:type="dxa"/>
            <w:vAlign w:val="bottom"/>
            <w:gridSpan w:val="2"/>
            <w:vMerge w:val="restart"/>
          </w:tcPr>
          <w:p>
            <w:pPr>
              <w:ind w:left="260"/>
              <w:spacing w:after="0"/>
              <w:rPr>
                <w:sz w:val="20"/>
                <w:szCs w:val="20"/>
                <w:color w:val="auto"/>
              </w:rPr>
            </w:pPr>
            <w:r>
              <w:rPr>
                <w:rFonts w:ascii="Arial" w:cs="Arial" w:eastAsia="Arial" w:hAnsi="Arial"/>
                <w:sz w:val="16"/>
                <w:szCs w:val="16"/>
                <w:color w:val="auto"/>
              </w:rPr>
              <w:t>​$20,000</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 ​​$10,899,666​​</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60" w:type="dxa"/>
            <w:vAlign w:val="bottom"/>
            <w:gridSpan w:val="2"/>
          </w:tcPr>
          <w:p>
            <w:pPr>
              <w:jc w:val="right"/>
              <w:spacing w:after="0" w:line="134" w:lineRule="exact"/>
              <w:rPr>
                <w:sz w:val="20"/>
                <w:szCs w:val="20"/>
                <w:color w:val="auto"/>
              </w:rPr>
            </w:pPr>
            <w:r>
              <w:rPr>
                <w:rFonts w:ascii="Arial" w:cs="Arial" w:eastAsia="Arial" w:hAnsi="Arial"/>
                <w:sz w:val="15"/>
                <w:szCs w:val="15"/>
                <w:color w:val="auto"/>
              </w:rPr>
              <w:t>​​ ​​$6,838,188​​ ​</w:t>
            </w:r>
          </w:p>
        </w:tc>
        <w:tc>
          <w:tcPr>
            <w:tcW w:w="11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 or for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Good Reason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1260" w:type="dxa"/>
            <w:vAlign w:val="bottom"/>
            <w:gridSpan w:val="3"/>
          </w:tcPr>
          <w:p>
            <w:pPr>
              <w:jc w:val="right"/>
              <w:ind w:right="39"/>
              <w:spacing w:after="0"/>
              <w:rPr>
                <w:sz w:val="20"/>
                <w:szCs w:val="20"/>
                <w:color w:val="auto"/>
              </w:rPr>
            </w:pPr>
            <w:r>
              <w:rPr>
                <w:rFonts w:ascii="Arial" w:cs="Arial" w:eastAsia="Arial" w:hAnsi="Arial"/>
                <w:sz w:val="16"/>
                <w:szCs w:val="16"/>
                <w:color w:val="auto"/>
              </w:rPr>
              <w:t>​ ​2,007,181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 ​​ ​ 2,007,181​​</w:t>
            </w:r>
          </w:p>
        </w:tc>
        <w:tc>
          <w:tcPr>
            <w:tcW w:w="0" w:type="dxa"/>
            <w:vAlign w:val="bottom"/>
          </w:tcPr>
          <w:p>
            <w:pPr>
              <w:spacing w:after="0"/>
              <w:rPr>
                <w:sz w:val="1"/>
                <w:szCs w:val="1"/>
                <w:color w:val="auto"/>
              </w:rPr>
            </w:pPr>
          </w:p>
        </w:tc>
      </w:tr>
      <w:tr>
        <w:trPr>
          <w:trHeight w:val="244"/>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Retirement</w:t>
            </w:r>
          </w:p>
        </w:tc>
        <w:tc>
          <w:tcPr>
            <w:tcW w:w="114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 ​4,409,722​​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 ​​ ​ 4,409,722​​</w:t>
            </w:r>
          </w:p>
        </w:tc>
        <w:tc>
          <w:tcPr>
            <w:tcW w:w="0" w:type="dxa"/>
            <w:vAlign w:val="bottom"/>
          </w:tcPr>
          <w:p>
            <w:pPr>
              <w:spacing w:after="0"/>
              <w:rPr>
                <w:sz w:val="1"/>
                <w:szCs w:val="1"/>
                <w:color w:val="auto"/>
              </w:rPr>
            </w:pPr>
          </w:p>
        </w:tc>
      </w:tr>
      <w:tr>
        <w:trPr>
          <w:trHeight w:val="217"/>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Death or Disability</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 ​​ ​3,590,254​​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color w:val="auto"/>
              </w:rPr>
              <w:t>​​ ​​ ​ 3,590,254​​</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​James M. Moses</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in Connection with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6"/>
                <w:szCs w:val="16"/>
                <w:color w:val="auto"/>
              </w:rPr>
              <w:t>Change in Control</w:t>
            </w:r>
          </w:p>
        </w:tc>
        <w:tc>
          <w:tcPr>
            <w:tcW w:w="1140" w:type="dxa"/>
            <w:vAlign w:val="bottom"/>
          </w:tcPr>
          <w:p>
            <w:pPr>
              <w:spacing w:after="0"/>
              <w:rPr>
                <w:sz w:val="20"/>
                <w:szCs w:val="20"/>
                <w:color w:val="auto"/>
              </w:rPr>
            </w:pPr>
            <w:r>
              <w:rPr>
                <w:rFonts w:ascii="Arial" w:cs="Arial" w:eastAsia="Arial" w:hAnsi="Arial"/>
                <w:sz w:val="10"/>
                <w:szCs w:val="10"/>
                <w:color w:val="auto"/>
              </w:rPr>
              <w:t>(1)</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60" w:type="dxa"/>
            <w:vAlign w:val="bottom"/>
            <w:gridSpan w:val="2"/>
            <w:vMerge w:val="restart"/>
          </w:tcPr>
          <w:p>
            <w:pPr>
              <w:ind w:left="40"/>
              <w:spacing w:after="0"/>
              <w:rPr>
                <w:sz w:val="20"/>
                <w:szCs w:val="20"/>
                <w:color w:val="auto"/>
              </w:rPr>
            </w:pPr>
            <w:r>
              <w:rPr>
                <w:rFonts w:ascii="Arial" w:cs="Arial" w:eastAsia="Arial" w:hAnsi="Arial"/>
                <w:sz w:val="16"/>
                <w:szCs w:val="16"/>
                <w:color w:val="auto"/>
              </w:rPr>
              <w:t>​ ​1,146,546</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color w:val="auto"/>
              </w:rPr>
              <w:t>​​ ​</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color w:val="auto"/>
              </w:rPr>
              <w:t>​ ​27,116</w:t>
            </w:r>
          </w:p>
        </w:tc>
        <w:tc>
          <w:tcPr>
            <w:tcW w:w="460" w:type="dxa"/>
            <w:vAlign w:val="bottom"/>
            <w:vMerge w:val="restart"/>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1100" w:type="dxa"/>
            <w:vAlign w:val="bottom"/>
            <w:gridSpan w:val="2"/>
            <w:vMerge w:val="restart"/>
          </w:tcPr>
          <w:p>
            <w:pPr>
              <w:ind w:left="260"/>
              <w:spacing w:after="0"/>
              <w:rPr>
                <w:sz w:val="20"/>
                <w:szCs w:val="20"/>
                <w:color w:val="auto"/>
              </w:rPr>
            </w:pPr>
            <w:r>
              <w:rPr>
                <w:rFonts w:ascii="Arial" w:cs="Arial" w:eastAsia="Arial" w:hAnsi="Arial"/>
                <w:sz w:val="16"/>
                <w:szCs w:val="16"/>
                <w:color w:val="auto"/>
              </w:rPr>
              <w:t>​ ​20,000</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 ​​ ​ 2,110,759​​</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5"/>
                <w:szCs w:val="15"/>
                <w:color w:val="auto"/>
              </w:rPr>
              <w:t>917,097​​ ​</w:t>
            </w:r>
          </w:p>
        </w:tc>
        <w:tc>
          <w:tcPr>
            <w:tcW w:w="11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 or for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Good Reason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573,273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573,273​​</w:t>
            </w:r>
          </w:p>
        </w:tc>
        <w:tc>
          <w:tcPr>
            <w:tcW w:w="0" w:type="dxa"/>
            <w:vAlign w:val="bottom"/>
          </w:tcPr>
          <w:p>
            <w:pPr>
              <w:spacing w:after="0"/>
              <w:rPr>
                <w:sz w:val="1"/>
                <w:szCs w:val="1"/>
                <w:color w:val="auto"/>
              </w:rPr>
            </w:pPr>
          </w:p>
        </w:tc>
      </w:tr>
      <w:tr>
        <w:trPr>
          <w:trHeight w:val="244"/>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Retirement</w:t>
            </w:r>
          </w:p>
        </w:tc>
        <w:tc>
          <w:tcPr>
            <w:tcW w:w="114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294,113​​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294,113​​</w:t>
            </w:r>
          </w:p>
        </w:tc>
        <w:tc>
          <w:tcPr>
            <w:tcW w:w="0" w:type="dxa"/>
            <w:vAlign w:val="bottom"/>
          </w:tcPr>
          <w:p>
            <w:pPr>
              <w:spacing w:after="0"/>
              <w:rPr>
                <w:sz w:val="1"/>
                <w:szCs w:val="1"/>
                <w:color w:val="auto"/>
              </w:rPr>
            </w:pPr>
          </w:p>
        </w:tc>
      </w:tr>
      <w:tr>
        <w:trPr>
          <w:trHeight w:val="217"/>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Death or Disability</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343,921​​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343,921​​</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​Christopher L. Dods</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in Connection with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6"/>
                <w:szCs w:val="16"/>
                <w:color w:val="auto"/>
              </w:rPr>
              <w:t>Change in Control</w:t>
            </w:r>
          </w:p>
        </w:tc>
        <w:tc>
          <w:tcPr>
            <w:tcW w:w="1140" w:type="dxa"/>
            <w:vAlign w:val="bottom"/>
          </w:tcPr>
          <w:p>
            <w:pPr>
              <w:spacing w:after="0"/>
              <w:rPr>
                <w:sz w:val="20"/>
                <w:szCs w:val="20"/>
                <w:color w:val="auto"/>
              </w:rPr>
            </w:pPr>
            <w:r>
              <w:rPr>
                <w:rFonts w:ascii="Arial" w:cs="Arial" w:eastAsia="Arial" w:hAnsi="Arial"/>
                <w:sz w:val="10"/>
                <w:szCs w:val="10"/>
                <w:color w:val="auto"/>
              </w:rPr>
              <w:t>(1)</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60" w:type="dxa"/>
            <w:vAlign w:val="bottom"/>
            <w:gridSpan w:val="2"/>
            <w:vMerge w:val="restart"/>
          </w:tcPr>
          <w:p>
            <w:pPr>
              <w:ind w:left="40"/>
              <w:spacing w:after="0"/>
              <w:rPr>
                <w:sz w:val="20"/>
                <w:szCs w:val="20"/>
                <w:color w:val="auto"/>
              </w:rPr>
            </w:pPr>
            <w:r>
              <w:rPr>
                <w:rFonts w:ascii="Arial" w:cs="Arial" w:eastAsia="Arial" w:hAnsi="Arial"/>
                <w:sz w:val="16"/>
                <w:szCs w:val="16"/>
                <w:color w:val="auto"/>
              </w:rPr>
              <w:t>​ ​1,997,090</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color w:val="auto"/>
              </w:rPr>
              <w:t>​​ ​</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color w:val="auto"/>
              </w:rPr>
              <w:t>​ ​27,023</w:t>
            </w:r>
          </w:p>
        </w:tc>
        <w:tc>
          <w:tcPr>
            <w:tcW w:w="460" w:type="dxa"/>
            <w:vAlign w:val="bottom"/>
          </w:tcPr>
          <w:p>
            <w:pPr>
              <w:spacing w:after="0"/>
              <w:rPr>
                <w:sz w:val="10"/>
                <w:szCs w:val="10"/>
                <w:color w:val="auto"/>
              </w:rPr>
            </w:pPr>
          </w:p>
        </w:tc>
        <w:tc>
          <w:tcPr>
            <w:tcW w:w="90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1100" w:type="dxa"/>
            <w:vAlign w:val="bottom"/>
            <w:gridSpan w:val="2"/>
            <w:vMerge w:val="restart"/>
          </w:tcPr>
          <w:p>
            <w:pPr>
              <w:ind w:left="260"/>
              <w:spacing w:after="0"/>
              <w:rPr>
                <w:sz w:val="20"/>
                <w:szCs w:val="20"/>
                <w:color w:val="auto"/>
              </w:rPr>
            </w:pPr>
            <w:r>
              <w:rPr>
                <w:rFonts w:ascii="Arial" w:cs="Arial" w:eastAsia="Arial" w:hAnsi="Arial"/>
                <w:sz w:val="16"/>
                <w:szCs w:val="16"/>
                <w:color w:val="auto"/>
              </w:rPr>
              <w:t>​ ​20,000</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 ​​ ​ 3,939,055​​</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60" w:type="dxa"/>
            <w:vAlign w:val="bottom"/>
            <w:gridSpan w:val="2"/>
          </w:tcPr>
          <w:p>
            <w:pPr>
              <w:jc w:val="right"/>
              <w:spacing w:after="0" w:line="134" w:lineRule="exact"/>
              <w:rPr>
                <w:sz w:val="20"/>
                <w:szCs w:val="20"/>
                <w:color w:val="auto"/>
              </w:rPr>
            </w:pPr>
            <w:r>
              <w:rPr>
                <w:rFonts w:ascii="Arial" w:cs="Arial" w:eastAsia="Arial" w:hAnsi="Arial"/>
                <w:sz w:val="15"/>
                <w:szCs w:val="15"/>
                <w:color w:val="auto"/>
              </w:rPr>
              <w:t>​​ ​​ ​1,894,942​​ ​</w:t>
            </w:r>
          </w:p>
        </w:tc>
        <w:tc>
          <w:tcPr>
            <w:tcW w:w="11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 or for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Good Reason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998,545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998,545​​</w:t>
            </w:r>
          </w:p>
        </w:tc>
        <w:tc>
          <w:tcPr>
            <w:tcW w:w="0" w:type="dxa"/>
            <w:vAlign w:val="bottom"/>
          </w:tcPr>
          <w:p>
            <w:pPr>
              <w:spacing w:after="0"/>
              <w:rPr>
                <w:sz w:val="1"/>
                <w:szCs w:val="1"/>
                <w:color w:val="auto"/>
              </w:rPr>
            </w:pPr>
          </w:p>
        </w:tc>
      </w:tr>
      <w:tr>
        <w:trPr>
          <w:trHeight w:val="244"/>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Retirement</w:t>
            </w:r>
          </w:p>
        </w:tc>
        <w:tc>
          <w:tcPr>
            <w:tcW w:w="114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 ​​ ​1,075,829​​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 ​​ ​ 1,075,829​​</w:t>
            </w:r>
          </w:p>
        </w:tc>
        <w:tc>
          <w:tcPr>
            <w:tcW w:w="0" w:type="dxa"/>
            <w:vAlign w:val="bottom"/>
          </w:tcPr>
          <w:p>
            <w:pPr>
              <w:spacing w:after="0"/>
              <w:rPr>
                <w:sz w:val="1"/>
                <w:szCs w:val="1"/>
                <w:color w:val="auto"/>
              </w:rPr>
            </w:pPr>
          </w:p>
        </w:tc>
      </w:tr>
      <w:tr>
        <w:trPr>
          <w:trHeight w:val="217"/>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Death or Disability</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880,003​​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880,003​​</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​Alan H. Arizumi</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in Connection with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6"/>
                <w:szCs w:val="16"/>
                <w:color w:val="auto"/>
              </w:rPr>
              <w:t>Change in Control</w:t>
            </w:r>
          </w:p>
        </w:tc>
        <w:tc>
          <w:tcPr>
            <w:tcW w:w="1140" w:type="dxa"/>
            <w:vAlign w:val="bottom"/>
          </w:tcPr>
          <w:p>
            <w:pPr>
              <w:spacing w:after="0"/>
              <w:rPr>
                <w:sz w:val="20"/>
                <w:szCs w:val="20"/>
                <w:color w:val="auto"/>
              </w:rPr>
            </w:pPr>
            <w:r>
              <w:rPr>
                <w:rFonts w:ascii="Arial" w:cs="Arial" w:eastAsia="Arial" w:hAnsi="Arial"/>
                <w:sz w:val="10"/>
                <w:szCs w:val="10"/>
                <w:color w:val="auto"/>
              </w:rPr>
              <w:t>(1)</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60" w:type="dxa"/>
            <w:vAlign w:val="bottom"/>
            <w:gridSpan w:val="2"/>
            <w:vMerge w:val="restart"/>
          </w:tcPr>
          <w:p>
            <w:pPr>
              <w:ind w:left="40"/>
              <w:spacing w:after="0"/>
              <w:rPr>
                <w:sz w:val="20"/>
                <w:szCs w:val="20"/>
                <w:color w:val="auto"/>
              </w:rPr>
            </w:pPr>
            <w:r>
              <w:rPr>
                <w:rFonts w:ascii="Arial" w:cs="Arial" w:eastAsia="Arial" w:hAnsi="Arial"/>
                <w:sz w:val="16"/>
                <w:szCs w:val="16"/>
                <w:color w:val="auto"/>
              </w:rPr>
              <w:t>​ ​1,782,018</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color w:val="auto"/>
              </w:rPr>
              <w:t>​​ ​</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color w:val="auto"/>
              </w:rPr>
              <w:t>​ ​ 8,953</w:t>
            </w:r>
          </w:p>
        </w:tc>
        <w:tc>
          <w:tcPr>
            <w:tcW w:w="460" w:type="dxa"/>
            <w:vAlign w:val="bottom"/>
            <w:vMerge w:val="restart"/>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1100" w:type="dxa"/>
            <w:vAlign w:val="bottom"/>
            <w:gridSpan w:val="2"/>
            <w:vMerge w:val="restart"/>
          </w:tcPr>
          <w:p>
            <w:pPr>
              <w:ind w:left="260"/>
              <w:spacing w:after="0"/>
              <w:rPr>
                <w:sz w:val="20"/>
                <w:szCs w:val="20"/>
                <w:color w:val="auto"/>
              </w:rPr>
            </w:pPr>
            <w:r>
              <w:rPr>
                <w:rFonts w:ascii="Arial" w:cs="Arial" w:eastAsia="Arial" w:hAnsi="Arial"/>
                <w:sz w:val="16"/>
                <w:szCs w:val="16"/>
                <w:color w:val="auto"/>
              </w:rPr>
              <w:t>​ ​20,000</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 ​​ ​ 2,749,565​​</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5"/>
                <w:szCs w:val="15"/>
                <w:color w:val="auto"/>
              </w:rPr>
              <w:t>938,594​​ ​</w:t>
            </w:r>
          </w:p>
        </w:tc>
        <w:tc>
          <w:tcPr>
            <w:tcW w:w="11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 or for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Good Reason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891,009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891,009​​</w:t>
            </w:r>
          </w:p>
        </w:tc>
        <w:tc>
          <w:tcPr>
            <w:tcW w:w="0" w:type="dxa"/>
            <w:vAlign w:val="bottom"/>
          </w:tcPr>
          <w:p>
            <w:pPr>
              <w:spacing w:after="0"/>
              <w:rPr>
                <w:sz w:val="1"/>
                <w:szCs w:val="1"/>
                <w:color w:val="auto"/>
              </w:rPr>
            </w:pPr>
          </w:p>
        </w:tc>
      </w:tr>
      <w:tr>
        <w:trPr>
          <w:trHeight w:val="244"/>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Retirement</w:t>
            </w:r>
          </w:p>
        </w:tc>
        <w:tc>
          <w:tcPr>
            <w:tcW w:w="114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626,753​​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626,753​​</w:t>
            </w:r>
          </w:p>
        </w:tc>
        <w:tc>
          <w:tcPr>
            <w:tcW w:w="0" w:type="dxa"/>
            <w:vAlign w:val="bottom"/>
          </w:tcPr>
          <w:p>
            <w:pPr>
              <w:spacing w:after="0"/>
              <w:rPr>
                <w:sz w:val="1"/>
                <w:szCs w:val="1"/>
                <w:color w:val="auto"/>
              </w:rPr>
            </w:pPr>
          </w:p>
        </w:tc>
      </w:tr>
      <w:tr>
        <w:trPr>
          <w:trHeight w:val="217"/>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Death or Disability</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505,930​​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505,930​​</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​Neill A. Char</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in Connection with 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ind w:left="80"/>
              <w:spacing w:after="0"/>
              <w:rPr>
                <w:sz w:val="20"/>
                <w:szCs w:val="20"/>
                <w:color w:val="auto"/>
              </w:rPr>
            </w:pPr>
            <w:r>
              <w:rPr>
                <w:rFonts w:ascii="Arial" w:cs="Arial" w:eastAsia="Arial" w:hAnsi="Arial"/>
                <w:sz w:val="16"/>
                <w:szCs w:val="16"/>
                <w:color w:val="auto"/>
              </w:rPr>
              <w:t>Change in Control</w:t>
            </w:r>
          </w:p>
        </w:tc>
        <w:tc>
          <w:tcPr>
            <w:tcW w:w="1140" w:type="dxa"/>
            <w:vAlign w:val="bottom"/>
          </w:tcPr>
          <w:p>
            <w:pPr>
              <w:spacing w:after="0"/>
              <w:rPr>
                <w:sz w:val="20"/>
                <w:szCs w:val="20"/>
                <w:color w:val="auto"/>
              </w:rPr>
            </w:pPr>
            <w:r>
              <w:rPr>
                <w:rFonts w:ascii="Arial" w:cs="Arial" w:eastAsia="Arial" w:hAnsi="Arial"/>
                <w:sz w:val="10"/>
                <w:szCs w:val="10"/>
                <w:color w:val="auto"/>
              </w:rPr>
              <w:t>(1)</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860" w:type="dxa"/>
            <w:vAlign w:val="bottom"/>
            <w:gridSpan w:val="2"/>
            <w:vMerge w:val="restart"/>
          </w:tcPr>
          <w:p>
            <w:pPr>
              <w:ind w:left="40"/>
              <w:spacing w:after="0"/>
              <w:rPr>
                <w:sz w:val="20"/>
                <w:szCs w:val="20"/>
                <w:color w:val="auto"/>
              </w:rPr>
            </w:pPr>
            <w:r>
              <w:rPr>
                <w:rFonts w:ascii="Arial" w:cs="Arial" w:eastAsia="Arial" w:hAnsi="Arial"/>
                <w:sz w:val="16"/>
                <w:szCs w:val="16"/>
                <w:color w:val="auto"/>
              </w:rPr>
              <w:t>​ ​1,463,188</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color w:val="auto"/>
              </w:rPr>
              <w:t>​​ ​</w:t>
            </w:r>
          </w:p>
        </w:tc>
        <w:tc>
          <w:tcPr>
            <w:tcW w:w="1160" w:type="dxa"/>
            <w:vAlign w:val="bottom"/>
            <w:gridSpan w:val="2"/>
            <w:vMerge w:val="restart"/>
          </w:tcPr>
          <w:p>
            <w:pPr>
              <w:ind w:left="260"/>
              <w:spacing w:after="0"/>
              <w:rPr>
                <w:sz w:val="20"/>
                <w:szCs w:val="20"/>
                <w:color w:val="auto"/>
              </w:rPr>
            </w:pPr>
            <w:r>
              <w:rPr>
                <w:rFonts w:ascii="Arial" w:cs="Arial" w:eastAsia="Arial" w:hAnsi="Arial"/>
                <w:sz w:val="16"/>
                <w:szCs w:val="16"/>
                <w:color w:val="auto"/>
              </w:rPr>
              <w:t>​ ​19,744</w:t>
            </w:r>
          </w:p>
        </w:tc>
        <w:tc>
          <w:tcPr>
            <w:tcW w:w="460" w:type="dxa"/>
            <w:vAlign w:val="bottom"/>
            <w:vMerge w:val="restart"/>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ind w:right="45"/>
              <w:spacing w:after="0"/>
              <w:rPr>
                <w:sz w:val="20"/>
                <w:szCs w:val="20"/>
                <w:color w:val="auto"/>
              </w:rPr>
            </w:pPr>
            <w:r>
              <w:rPr>
                <w:rFonts w:ascii="Arial" w:cs="Arial" w:eastAsia="Arial" w:hAnsi="Arial"/>
                <w:sz w:val="10"/>
                <w:szCs w:val="10"/>
                <w:color w:val="auto"/>
              </w:rPr>
              <w:t>(4)</w:t>
            </w:r>
          </w:p>
        </w:tc>
        <w:tc>
          <w:tcPr>
            <w:tcW w:w="1100" w:type="dxa"/>
            <w:vAlign w:val="bottom"/>
            <w:gridSpan w:val="2"/>
            <w:vMerge w:val="restart"/>
          </w:tcPr>
          <w:p>
            <w:pPr>
              <w:ind w:left="260"/>
              <w:spacing w:after="0"/>
              <w:rPr>
                <w:sz w:val="20"/>
                <w:szCs w:val="20"/>
                <w:color w:val="auto"/>
              </w:rPr>
            </w:pPr>
            <w:r>
              <w:rPr>
                <w:rFonts w:ascii="Arial" w:cs="Arial" w:eastAsia="Arial" w:hAnsi="Arial"/>
                <w:sz w:val="16"/>
                <w:szCs w:val="16"/>
                <w:color w:val="auto"/>
              </w:rPr>
              <w:t>​ ​20,000</w:t>
            </w: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color w:val="auto"/>
              </w:rPr>
              <w:t>​​ ​​ ​ 2,330,952​​</w:t>
            </w:r>
          </w:p>
        </w:tc>
        <w:tc>
          <w:tcPr>
            <w:tcW w:w="0" w:type="dxa"/>
            <w:vAlign w:val="bottom"/>
          </w:tcPr>
          <w:p>
            <w:pPr>
              <w:spacing w:after="0"/>
              <w:rPr>
                <w:sz w:val="1"/>
                <w:szCs w:val="1"/>
                <w:color w:val="auto"/>
              </w:rPr>
            </w:pPr>
          </w:p>
        </w:tc>
      </w:tr>
      <w:tr>
        <w:trPr>
          <w:trHeight w:val="134"/>
        </w:trPr>
        <w:tc>
          <w:tcPr>
            <w:tcW w:w="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00" w:type="dxa"/>
            <w:vAlign w:val="bottom"/>
          </w:tcPr>
          <w:p>
            <w:pPr>
              <w:jc w:val="right"/>
              <w:spacing w:after="0" w:line="134" w:lineRule="exact"/>
              <w:rPr>
                <w:sz w:val="20"/>
                <w:szCs w:val="20"/>
                <w:color w:val="auto"/>
              </w:rPr>
            </w:pPr>
            <w:r>
              <w:rPr>
                <w:rFonts w:ascii="Arial" w:cs="Arial" w:eastAsia="Arial" w:hAnsi="Arial"/>
                <w:sz w:val="15"/>
                <w:szCs w:val="15"/>
                <w:color w:val="auto"/>
              </w:rPr>
              <w:t>828,020​​ ​</w:t>
            </w:r>
          </w:p>
        </w:tc>
        <w:tc>
          <w:tcPr>
            <w:tcW w:w="11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 or for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Good Reason</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731,594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731,594​​</w:t>
            </w:r>
          </w:p>
        </w:tc>
        <w:tc>
          <w:tcPr>
            <w:tcW w:w="0" w:type="dxa"/>
            <w:vAlign w:val="bottom"/>
          </w:tcPr>
          <w:p>
            <w:pPr>
              <w:spacing w:after="0"/>
              <w:rPr>
                <w:sz w:val="1"/>
                <w:szCs w:val="1"/>
                <w:color w:val="auto"/>
              </w:rPr>
            </w:pPr>
          </w:p>
        </w:tc>
      </w:tr>
      <w:tr>
        <w:trPr>
          <w:trHeight w:val="244"/>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440" w:type="dxa"/>
            <w:vAlign w:val="bottom"/>
          </w:tcPr>
          <w:p>
            <w:pPr>
              <w:ind w:left="80"/>
              <w:spacing w:after="0"/>
              <w:rPr>
                <w:sz w:val="20"/>
                <w:szCs w:val="20"/>
                <w:color w:val="auto"/>
              </w:rPr>
            </w:pPr>
            <w:r>
              <w:rPr>
                <w:rFonts w:ascii="Arial" w:cs="Arial" w:eastAsia="Arial" w:hAnsi="Arial"/>
                <w:sz w:val="16"/>
                <w:szCs w:val="16"/>
                <w:color w:val="auto"/>
              </w:rPr>
              <w:t>Retirement</w:t>
            </w:r>
          </w:p>
        </w:tc>
        <w:tc>
          <w:tcPr>
            <w:tcW w:w="114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507,525​​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507,525​​</w:t>
            </w:r>
          </w:p>
        </w:tc>
        <w:tc>
          <w:tcPr>
            <w:tcW w:w="0" w:type="dxa"/>
            <w:vAlign w:val="bottom"/>
          </w:tcPr>
          <w:p>
            <w:pPr>
              <w:spacing w:after="0"/>
              <w:rPr>
                <w:sz w:val="1"/>
                <w:szCs w:val="1"/>
                <w:color w:val="auto"/>
              </w:rPr>
            </w:pPr>
          </w:p>
        </w:tc>
      </w:tr>
      <w:tr>
        <w:trPr>
          <w:trHeight w:val="217"/>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Death or Disability</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2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411,358​​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 ​</w:t>
            </w:r>
          </w:p>
        </w:tc>
        <w:tc>
          <w:tcPr>
            <w:tcW w:w="8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411,358​​</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​Ralph M. Mesick</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1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7F7F7F"/>
            </w:tcBorders>
            <w:gridSpan w:val="2"/>
          </w:tcPr>
          <w:p>
            <w:pPr>
              <w:ind w:left="80"/>
              <w:spacing w:after="0"/>
              <w:rPr>
                <w:sz w:val="20"/>
                <w:szCs w:val="20"/>
                <w:color w:val="auto"/>
              </w:rPr>
            </w:pPr>
            <w:r>
              <w:rPr>
                <w:rFonts w:ascii="Arial" w:cs="Arial" w:eastAsia="Arial" w:hAnsi="Arial"/>
                <w:sz w:val="16"/>
                <w:szCs w:val="16"/>
                <w:color w:val="auto"/>
              </w:rPr>
              <w:t>(Retirement Eligible)</w:t>
            </w:r>
            <w:r>
              <w:rPr>
                <w:rFonts w:ascii="Arial" w:cs="Arial" w:eastAsia="Arial" w:hAnsi="Arial"/>
                <w:sz w:val="19"/>
                <w:szCs w:val="19"/>
                <w:color w:val="auto"/>
                <w:vertAlign w:val="superscript"/>
              </w:rPr>
              <w:t>(5)</w:t>
            </w:r>
          </w:p>
        </w:tc>
        <w:tc>
          <w:tcPr>
            <w:tcW w:w="2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7F7F7F"/>
            </w:tcBorders>
            <w:gridSpan w:val="2"/>
          </w:tcPr>
          <w:p>
            <w:pPr>
              <w:ind w:left="40"/>
              <w:spacing w:after="0"/>
              <w:rPr>
                <w:sz w:val="20"/>
                <w:szCs w:val="20"/>
                <w:color w:val="auto"/>
              </w:rPr>
            </w:pPr>
            <w:r>
              <w:rPr>
                <w:rFonts w:ascii="Arial" w:cs="Arial" w:eastAsia="Arial" w:hAnsi="Arial"/>
                <w:sz w:val="16"/>
                <w:szCs w:val="16"/>
                <w:color w:val="auto"/>
              </w:rPr>
              <w:t>​ ​1,127,527</w:t>
            </w:r>
          </w:p>
        </w:tc>
        <w:tc>
          <w:tcPr>
            <w:tcW w:w="400" w:type="dxa"/>
            <w:vAlign w:val="bottom"/>
            <w:tcBorders>
              <w:bottom w:val="single" w:sz="8" w:color="7F7F7F"/>
            </w:tcBorders>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color w:val="auto"/>
              </w:rPr>
              <w:t>​​ ​​ ​1,034,129​​ ​</w:t>
            </w:r>
          </w:p>
        </w:tc>
        <w:tc>
          <w:tcPr>
            <w:tcW w:w="5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7F7F7F"/>
            </w:tcBorders>
            <w:gridSpan w:val="3"/>
          </w:tcPr>
          <w:p>
            <w:pPr>
              <w:jc w:val="right"/>
              <w:spacing w:after="0"/>
              <w:rPr>
                <w:sz w:val="20"/>
                <w:szCs w:val="20"/>
                <w:color w:val="auto"/>
              </w:rPr>
            </w:pPr>
            <w:r>
              <w:rPr>
                <w:rFonts w:ascii="Arial" w:cs="Arial" w:eastAsia="Arial" w:hAnsi="Arial"/>
                <w:sz w:val="16"/>
                <w:szCs w:val="16"/>
                <w:color w:val="auto"/>
              </w:rPr>
              <w:t>​​ ​​ ​ 2,161,656​​</w:t>
            </w:r>
          </w:p>
        </w:tc>
        <w:tc>
          <w:tcPr>
            <w:tcW w:w="0" w:type="dxa"/>
            <w:vAlign w:val="bottom"/>
          </w:tcPr>
          <w:p>
            <w:pPr>
              <w:spacing w:after="0"/>
              <w:rPr>
                <w:sz w:val="1"/>
                <w:szCs w:val="1"/>
                <w:color w:val="auto"/>
              </w:rPr>
            </w:pPr>
          </w:p>
        </w:tc>
      </w:tr>
      <w:tr>
        <w:trPr>
          <w:trHeight w:val="222"/>
        </w:trPr>
        <w:tc>
          <w:tcPr>
            <w:tcW w:w="1600" w:type="dxa"/>
            <w:vAlign w:val="bottom"/>
            <w:gridSpan w:val="2"/>
          </w:tcPr>
          <w:p>
            <w:pPr>
              <w:ind w:left="40"/>
              <w:spacing w:after="0"/>
              <w:rPr>
                <w:sz w:val="20"/>
                <w:szCs w:val="20"/>
                <w:color w:val="auto"/>
              </w:rPr>
            </w:pPr>
            <w:r>
              <w:rPr>
                <w:rFonts w:ascii="Arial" w:cs="Arial" w:eastAsia="Arial" w:hAnsi="Arial"/>
                <w:sz w:val="16"/>
                <w:szCs w:val="16"/>
                <w:color w:val="auto"/>
              </w:rPr>
              <w:t>​Lance A. Mizumoto</w:t>
            </w:r>
          </w:p>
        </w:tc>
        <w:tc>
          <w:tcPr>
            <w:tcW w:w="11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rPr>
                <w:sz w:val="20"/>
                <w:szCs w:val="20"/>
                <w:color w:val="auto"/>
              </w:rPr>
            </w:pPr>
            <w:r>
              <w:rPr>
                <w:rFonts w:ascii="Arial" w:cs="Arial" w:eastAsia="Arial" w:hAnsi="Arial"/>
                <w:sz w:val="16"/>
                <w:szCs w:val="16"/>
                <w:color w:val="auto"/>
              </w:rPr>
              <w:t>​ ​</w:t>
            </w:r>
          </w:p>
        </w:tc>
        <w:tc>
          <w:tcPr>
            <w:tcW w:w="640" w:type="dxa"/>
            <w:vAlign w:val="bottom"/>
          </w:tcPr>
          <w:p>
            <w:pPr>
              <w:spacing w:after="0"/>
              <w:rPr>
                <w:sz w:val="19"/>
                <w:szCs w:val="19"/>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 ​</w:t>
            </w:r>
          </w:p>
        </w:tc>
        <w:tc>
          <w:tcPr>
            <w:tcW w:w="540" w:type="dxa"/>
            <w:vAlign w:val="bottom"/>
          </w:tcPr>
          <w:p>
            <w:pPr>
              <w:ind w:left="26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rPr>
                <w:sz w:val="20"/>
                <w:szCs w:val="20"/>
                <w:color w:val="auto"/>
              </w:rPr>
            </w:pPr>
            <w:r>
              <w:rPr>
                <w:rFonts w:ascii="Arial" w:cs="Arial" w:eastAsia="Arial" w:hAnsi="Arial"/>
                <w:sz w:val="16"/>
                <w:szCs w:val="16"/>
                <w:color w:val="auto"/>
              </w:rPr>
              <w:t>​​ ​​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560" w:type="dxa"/>
            <w:vAlign w:val="bottom"/>
          </w:tcPr>
          <w:p>
            <w:pPr>
              <w:ind w:left="260"/>
              <w:spacing w:after="0"/>
              <w:rPr>
                <w:sz w:val="20"/>
                <w:szCs w:val="20"/>
                <w:color w:val="auto"/>
              </w:rPr>
            </w:pPr>
            <w:r>
              <w:rPr>
                <w:rFonts w:ascii="Arial" w:cs="Arial" w:eastAsia="Arial" w:hAnsi="Arial"/>
                <w:sz w:val="16"/>
                <w:szCs w:val="16"/>
                <w:color w:val="auto"/>
              </w:rPr>
              <w:t>​ ​</w:t>
            </w:r>
          </w:p>
        </w:tc>
        <w:tc>
          <w:tcPr>
            <w:tcW w:w="540" w:type="dxa"/>
            <w:vAlign w:val="bottom"/>
          </w:tcPr>
          <w:p>
            <w:pPr>
              <w:ind w:left="300"/>
              <w:spacing w:after="0"/>
              <w:rPr>
                <w:sz w:val="20"/>
                <w:szCs w:val="20"/>
                <w:color w:val="auto"/>
              </w:rPr>
            </w:pPr>
            <w:r>
              <w:rPr>
                <w:rFonts w:ascii="Arial" w:cs="Arial" w:eastAsia="Arial" w:hAnsi="Arial"/>
                <w:sz w:val="16"/>
                <w:szCs w:val="16"/>
                <w:color w:val="auto"/>
              </w:rPr>
              <w:t>​</w:t>
            </w:r>
          </w:p>
        </w:tc>
        <w:tc>
          <w:tcPr>
            <w:tcW w:w="500" w:type="dxa"/>
            <w:vAlign w:val="bottom"/>
          </w:tcPr>
          <w:p>
            <w:pPr>
              <w:ind w:left="60"/>
              <w:spacing w:after="0"/>
              <w:rPr>
                <w:sz w:val="20"/>
                <w:szCs w:val="20"/>
                <w:color w:val="auto"/>
              </w:rPr>
            </w:pPr>
            <w:r>
              <w:rPr>
                <w:rFonts w:ascii="Arial" w:cs="Arial" w:eastAsia="Arial" w:hAnsi="Arial"/>
                <w:sz w:val="16"/>
                <w:szCs w:val="16"/>
                <w:color w:val="auto"/>
              </w:rPr>
              <w:t>​​ ​​ ​</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Termination without Cause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2580" w:type="dxa"/>
            <w:vAlign w:val="bottom"/>
            <w:gridSpan w:val="2"/>
          </w:tcPr>
          <w:p>
            <w:pPr>
              <w:ind w:left="80"/>
              <w:spacing w:after="0"/>
              <w:rPr>
                <w:sz w:val="20"/>
                <w:szCs w:val="20"/>
                <w:color w:val="auto"/>
              </w:rPr>
            </w:pPr>
            <w:r>
              <w:rPr>
                <w:rFonts w:ascii="Arial" w:cs="Arial" w:eastAsia="Arial" w:hAnsi="Arial"/>
                <w:sz w:val="16"/>
                <w:szCs w:val="16"/>
                <w:color w:val="auto"/>
              </w:rPr>
              <w:t>(Retirement Eligible)</w:t>
            </w:r>
            <w:r>
              <w:rPr>
                <w:rFonts w:ascii="Arial" w:cs="Arial" w:eastAsia="Arial" w:hAnsi="Arial"/>
                <w:sz w:val="19"/>
                <w:szCs w:val="19"/>
                <w:color w:val="auto"/>
                <w:vertAlign w:val="superscript"/>
              </w:rPr>
              <w:t>(5)</w:t>
            </w:r>
          </w:p>
        </w:tc>
        <w:tc>
          <w:tcPr>
            <w:tcW w:w="240" w:type="dxa"/>
            <w:vAlign w:val="bottom"/>
          </w:tcPr>
          <w:p>
            <w:pPr>
              <w:ind w:left="60"/>
              <w:spacing w:after="0"/>
              <w:rPr>
                <w:sz w:val="20"/>
                <w:szCs w:val="20"/>
                <w:color w:val="auto"/>
              </w:rPr>
            </w:pPr>
            <w:r>
              <w:rPr>
                <w:rFonts w:ascii="Arial" w:cs="Arial" w:eastAsia="Arial" w:hAnsi="Arial"/>
                <w:sz w:val="16"/>
                <w:szCs w:val="16"/>
                <w:color w:val="auto"/>
              </w:rPr>
              <w:t>​ ​</w:t>
            </w:r>
          </w:p>
        </w:tc>
        <w:tc>
          <w:tcPr>
            <w:tcW w:w="220" w:type="dxa"/>
            <w:vAlign w:val="bottom"/>
          </w:tcPr>
          <w:p>
            <w:pPr>
              <w:ind w:left="40"/>
              <w:spacing w:after="0" w:line="3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842,299</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540" w:type="dxa"/>
            <w:vAlign w:val="bottom"/>
          </w:tcPr>
          <w:p>
            <w:pPr>
              <w:ind w:left="260"/>
              <w:spacing w:after="0" w:line="3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620" w:type="dxa"/>
            <w:vAlign w:val="bottom"/>
          </w:tcPr>
          <w:p>
            <w:pPr>
              <w:ind w:left="140"/>
              <w:spacing w:after="0"/>
              <w:rPr>
                <w:sz w:val="20"/>
                <w:szCs w:val="20"/>
                <w:color w:val="auto"/>
              </w:rPr>
            </w:pPr>
            <w:r>
              <w:rPr>
                <w:rFonts w:ascii="Arial" w:cs="Arial" w:eastAsia="Arial" w:hAnsi="Arial"/>
                <w:sz w:val="16"/>
                <w:szCs w:val="16"/>
                <w:color w:val="auto"/>
              </w:rPr>
              <w:t>—</w:t>
            </w:r>
          </w:p>
        </w:tc>
        <w:tc>
          <w:tcPr>
            <w:tcW w:w="460" w:type="dxa"/>
            <w:vAlign w:val="bottom"/>
          </w:tcPr>
          <w:p>
            <w:pPr>
              <w:ind w:left="60"/>
              <w:spacing w:after="0" w:line="35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900" w:type="dxa"/>
            <w:vAlign w:val="bottom"/>
          </w:tcPr>
          <w:p>
            <w:pPr>
              <w:jc w:val="right"/>
              <w:spacing w:after="0" w:line="356" w:lineRule="exact"/>
              <w:rPr>
                <w:sz w:val="20"/>
                <w:szCs w:val="20"/>
                <w:color w:val="auto"/>
              </w:rPr>
            </w:pPr>
            <w:r>
              <w:rPr>
                <w:rFonts w:ascii="Arial" w:cs="Arial" w:eastAsia="Arial" w:hAnsi="Arial"/>
                <w:sz w:val="16"/>
                <w:szCs w:val="16"/>
                <w:color w:val="auto"/>
              </w:rPr>
              <w:t>710,644</w:t>
            </w:r>
            <w:r>
              <w:rPr>
                <w:rFonts w:ascii="Arial" w:cs="Arial" w:eastAsia="Arial" w:hAnsi="Arial"/>
                <w:sz w:val="32"/>
                <w:szCs w:val="32"/>
                <w:color w:val="auto"/>
                <w:vertAlign w:val="subscript"/>
              </w:rPr>
              <w:t>​​ ​</w:t>
            </w:r>
          </w:p>
        </w:tc>
        <w:tc>
          <w:tcPr>
            <w:tcW w:w="560" w:type="dxa"/>
            <w:vAlign w:val="bottom"/>
          </w:tcPr>
          <w:p>
            <w:pPr>
              <w:ind w:left="260"/>
              <w:spacing w:after="0" w:line="3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540" w:type="dxa"/>
            <w:vAlign w:val="bottom"/>
          </w:tcPr>
          <w:p>
            <w:pPr>
              <w:ind w:left="14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spacing w:after="0" w:line="35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 xml:space="preserve"> ​ 1,552,943</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-26035</wp:posOffset>
            </wp:positionV>
            <wp:extent cx="58293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1140" w:right="100" w:hanging="360"/>
        <w:spacing w:after="0" w:line="300" w:lineRule="auto"/>
        <w:tabs>
          <w:tab w:leader="none" w:pos="11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severance amount included here assumes that there has been a “Change in Control” of the Company (as defined in the Executive Severance Plan) on December 29, 2023, the NEO has experienced a “CIC Qualifying Termination”</w:t>
      </w:r>
    </w:p>
    <w:p>
      <w:pPr>
        <w:spacing w:after="0" w:line="226"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72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7F7F7F"/>
        </w:rPr>
        <w:t>EXECUTIVE COMPENSATION</w:t>
      </w:r>
    </w:p>
    <w:p>
      <w:pPr>
        <w:spacing w:after="0" w:line="338" w:lineRule="exact"/>
        <w:rPr>
          <w:sz w:val="20"/>
          <w:szCs w:val="20"/>
          <w:color w:val="auto"/>
        </w:rPr>
      </w:pPr>
    </w:p>
    <w:p>
      <w:pPr>
        <w:ind w:left="1140" w:right="140"/>
        <w:spacing w:after="0" w:line="321" w:lineRule="auto"/>
        <w:rPr>
          <w:sz w:val="20"/>
          <w:szCs w:val="20"/>
          <w:color w:val="auto"/>
        </w:rPr>
      </w:pPr>
      <w:r>
        <w:rPr>
          <w:rFonts w:ascii="Arial" w:cs="Arial" w:eastAsia="Arial" w:hAnsi="Arial"/>
          <w:sz w:val="16"/>
          <w:szCs w:val="16"/>
          <w:color w:val="auto"/>
        </w:rPr>
        <w:t>(as defined in the Executive Severance Plan), and the NEO agrees to be bound by, and complies with, the applicable restrictive covenants for twelve (12) months following termination.</w:t>
      </w:r>
    </w:p>
    <w:p>
      <w:pPr>
        <w:spacing w:after="0" w:line="7" w:lineRule="exact"/>
        <w:rPr>
          <w:sz w:val="20"/>
          <w:szCs w:val="20"/>
          <w:color w:val="auto"/>
        </w:rPr>
      </w:pPr>
    </w:p>
    <w:p>
      <w:pPr>
        <w:jc w:val="both"/>
        <w:ind w:left="1140" w:right="180" w:hanging="360"/>
        <w:spacing w:after="0" w:line="301" w:lineRule="auto"/>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purposes of calculating the severance amount in accordance with the terms of the Severance Plan, includes the largest annual base salary during the preceding three fiscal years and the average of the actual paid bonus amounts under the Bonus Plan for each of the preceding two fiscal years.</w:t>
      </w:r>
    </w:p>
    <w:p>
      <w:pPr>
        <w:spacing w:after="0" w:line="36" w:lineRule="exact"/>
        <w:rPr>
          <w:rFonts w:ascii="Arial" w:cs="Arial" w:eastAsia="Arial" w:hAnsi="Arial"/>
          <w:sz w:val="16"/>
          <w:szCs w:val="16"/>
          <w:color w:val="auto"/>
        </w:rPr>
      </w:pPr>
    </w:p>
    <w:p>
      <w:pPr>
        <w:ind w:left="1140" w:right="840" w:hanging="360"/>
        <w:spacing w:after="0" w:line="321" w:lineRule="auto"/>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Represents accelerated vesting of otherwise unvested performance share units granted under the LTIP and accelerated vesting of otherwise unvested restricted stock units granted under the Omnibus Plan.</w:t>
      </w:r>
    </w:p>
    <w:p>
      <w:pPr>
        <w:spacing w:after="0" w:line="7" w:lineRule="exact"/>
        <w:rPr>
          <w:rFonts w:ascii="Arial" w:cs="Arial" w:eastAsia="Arial" w:hAnsi="Arial"/>
          <w:sz w:val="16"/>
          <w:szCs w:val="16"/>
          <w:color w:val="auto"/>
        </w:rPr>
      </w:pPr>
    </w:p>
    <w:p>
      <w:pPr>
        <w:ind w:left="1140" w:right="40" w:hanging="360"/>
        <w:spacing w:after="0" w:line="281" w:lineRule="auto"/>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amounts included assume maximum performance for all unearned performance share units, which, upon a termination of employment without cause or for good reason (each as defined in the Omnibus Plan) during the two-year period following a change in control, are deemed earned at the greater of target and actual performance as of the date of a change in control with respect to all open performance periods, and represent earned performance under the 2021-2023 LTIP Awards, the performance conditions of which were satisfied by the NEOs as of December 31, 2023. Assuming target performance for all unearned performance share units (other than the 2021-2023 LTIP Awards) and earned performance for the 2021-2023 LTIP Awards, the amount to be received by each NEO upon a termination of employment without cause or for good reason during the two-year period following a change in control in respect of stock awards would be: for Mr. Harrison, $4,697,395, for Mr. Moses, $573,192, for Mr. Dods, $1,223,566 for</w:t>
      </w:r>
    </w:p>
    <w:p>
      <w:pPr>
        <w:spacing w:after="0" w:line="5"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Mr. Arizumi, $652,592, and for Mr. Char, $554,020.</w:t>
      </w:r>
    </w:p>
    <w:p>
      <w:pPr>
        <w:spacing w:after="0" w:line="99" w:lineRule="exact"/>
        <w:rPr>
          <w:rFonts w:ascii="Arial" w:cs="Arial" w:eastAsia="Arial" w:hAnsi="Arial"/>
          <w:sz w:val="16"/>
          <w:szCs w:val="16"/>
          <w:color w:val="auto"/>
        </w:rPr>
      </w:pPr>
    </w:p>
    <w:p>
      <w:pPr>
        <w:ind w:left="1140" w:right="200" w:hanging="360"/>
        <w:spacing w:after="0" w:line="289" w:lineRule="auto"/>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Messrs. Mesick and Mizumoto’s employment with First Hawaiian terminated effective July 1, 2023 and October 1, 2023, respectively. Accordingly, the amounts reported for Messrs. Mizumoto and Mesick reflect the amounts actually received in connection with their termination. For information with respect to amounts paid to Messrs. Mizumoto and Mesick, see </w:t>
      </w:r>
      <w:r>
        <w:rPr>
          <w:rFonts w:ascii="Arial" w:cs="Arial" w:eastAsia="Arial" w:hAnsi="Arial"/>
          <w:sz w:val="16"/>
          <w:szCs w:val="16"/>
          <w:i w:val="1"/>
          <w:iCs w:val="1"/>
          <w:color w:val="auto"/>
        </w:rPr>
        <w:t>“—Compensation Discussion and Analysis—Payments to Mr. Mizumoto in Connection with Termination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Employment” and </w:t>
      </w:r>
      <w:r>
        <w:rPr>
          <w:rFonts w:ascii="Arial" w:cs="Arial" w:eastAsia="Arial" w:hAnsi="Arial"/>
          <w:sz w:val="16"/>
          <w:szCs w:val="16"/>
          <w:color w:val="auto"/>
        </w:rPr>
        <w:t>see</w:t>
      </w:r>
      <w:r>
        <w:rPr>
          <w:rFonts w:ascii="Arial" w:cs="Arial" w:eastAsia="Arial" w:hAnsi="Arial"/>
          <w:sz w:val="16"/>
          <w:szCs w:val="16"/>
          <w:i w:val="1"/>
          <w:iCs w:val="1"/>
          <w:color w:val="auto"/>
        </w:rPr>
        <w:t xml:space="preserve"> “—Compensation Discussion and Analysis—Payments to Mr. Mesick in Connection with Termination of Employment.”</w:t>
      </w:r>
    </w:p>
    <w:p>
      <w:pPr>
        <w:sectPr>
          <w:pgSz w:w="11900" w:h="16838" w:orient="portrait"/>
          <w:cols w:equalWidth="0" w:num="1">
            <w:col w:w="9940"/>
          </w:cols>
          <w:pgMar w:left="580" w:top="97" w:right="1379" w:bottom="1440" w:gutter="0" w:footer="0" w:header="0"/>
        </w:sect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Pay Ratio Disclosure</w:t>
      </w:r>
    </w:p>
    <w:p>
      <w:pPr>
        <w:spacing w:after="0" w:line="258"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The following table sets forth the ratio of the annual total compensation of our Chief Executive Officer, Robert S. Harrison, to the annual total compensation of the median employee.</w:t>
      </w:r>
    </w:p>
    <w:p>
      <w:pPr>
        <w:spacing w:after="0" w:line="163"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2580" w:type="dxa"/>
            <w:vAlign w:val="bottom"/>
            <w:shd w:val="clear" w:color="auto" w:fill="BF5B5A"/>
          </w:tcPr>
          <w:p>
            <w:pPr>
              <w:spacing w:after="0"/>
              <w:rPr>
                <w:sz w:val="16"/>
                <w:szCs w:val="16"/>
                <w:color w:val="auto"/>
              </w:rPr>
            </w:pPr>
          </w:p>
        </w:tc>
        <w:tc>
          <w:tcPr>
            <w:tcW w:w="220" w:type="dxa"/>
            <w:vAlign w:val="bottom"/>
            <w:shd w:val="clear" w:color="auto" w:fill="BF5B5A"/>
          </w:tcPr>
          <w:p>
            <w:pPr>
              <w:spacing w:after="0"/>
              <w:rPr>
                <w:sz w:val="16"/>
                <w:szCs w:val="16"/>
                <w:color w:val="auto"/>
              </w:rPr>
            </w:pPr>
          </w:p>
        </w:tc>
        <w:tc>
          <w:tcPr>
            <w:tcW w:w="1400" w:type="dxa"/>
            <w:vAlign w:val="bottom"/>
            <w:gridSpan w:val="2"/>
            <w:shd w:val="clear" w:color="auto" w:fill="BF5B5A"/>
          </w:tcPr>
          <w:p>
            <w:pPr>
              <w:jc w:val="right"/>
              <w:spacing w:after="0"/>
              <w:rPr>
                <w:sz w:val="20"/>
                <w:szCs w:val="20"/>
                <w:color w:val="auto"/>
              </w:rPr>
            </w:pPr>
            <w:r>
              <w:rPr>
                <w:rFonts w:ascii="Arial" w:cs="Arial" w:eastAsia="Arial" w:hAnsi="Arial"/>
                <w:sz w:val="16"/>
                <w:szCs w:val="16"/>
                <w:b w:val="1"/>
                <w:bCs w:val="1"/>
                <w:color w:val="FFFFFF"/>
                <w:w w:val="97"/>
              </w:rPr>
              <w:t>2023 Annual Total</w:t>
            </w:r>
          </w:p>
        </w:tc>
        <w:tc>
          <w:tcPr>
            <w:tcW w:w="140" w:type="dxa"/>
            <w:vAlign w:val="bottom"/>
            <w:shd w:val="clear" w:color="auto" w:fill="BF5B5A"/>
          </w:tcPr>
          <w:p>
            <w:pPr>
              <w:spacing w:after="0"/>
              <w:rPr>
                <w:sz w:val="16"/>
                <w:szCs w:val="16"/>
                <w:color w:val="auto"/>
              </w:rPr>
            </w:pPr>
          </w:p>
        </w:tc>
      </w:tr>
      <w:tr>
        <w:trPr>
          <w:trHeight w:val="189"/>
        </w:trPr>
        <w:tc>
          <w:tcPr>
            <w:tcW w:w="2580" w:type="dxa"/>
            <w:vAlign w:val="bottom"/>
            <w:shd w:val="clear" w:color="auto" w:fill="BF5B5A"/>
          </w:tcPr>
          <w:p>
            <w:pPr>
              <w:spacing w:after="0"/>
              <w:rPr>
                <w:sz w:val="16"/>
                <w:szCs w:val="16"/>
                <w:color w:val="auto"/>
              </w:rPr>
            </w:pPr>
          </w:p>
        </w:tc>
        <w:tc>
          <w:tcPr>
            <w:tcW w:w="220" w:type="dxa"/>
            <w:vAlign w:val="bottom"/>
            <w:shd w:val="clear" w:color="auto" w:fill="BF5B5A"/>
          </w:tcPr>
          <w:p>
            <w:pPr>
              <w:spacing w:after="0"/>
              <w:rPr>
                <w:sz w:val="16"/>
                <w:szCs w:val="16"/>
                <w:color w:val="auto"/>
              </w:rPr>
            </w:pPr>
          </w:p>
        </w:tc>
        <w:tc>
          <w:tcPr>
            <w:tcW w:w="1400" w:type="dxa"/>
            <w:vAlign w:val="bottom"/>
            <w:gridSpan w:val="2"/>
            <w:shd w:val="clear" w:color="auto" w:fill="BF5B5A"/>
          </w:tcPr>
          <w:p>
            <w:pPr>
              <w:jc w:val="right"/>
              <w:ind w:right="79"/>
              <w:spacing w:after="0"/>
              <w:rPr>
                <w:sz w:val="20"/>
                <w:szCs w:val="20"/>
                <w:color w:val="auto"/>
              </w:rPr>
            </w:pPr>
            <w:r>
              <w:rPr>
                <w:rFonts w:ascii="Arial" w:cs="Arial" w:eastAsia="Arial" w:hAnsi="Arial"/>
                <w:sz w:val="16"/>
                <w:szCs w:val="16"/>
                <w:b w:val="1"/>
                <w:bCs w:val="1"/>
                <w:color w:val="FFFFFF"/>
              </w:rPr>
              <w:t>Compensation</w:t>
            </w:r>
          </w:p>
        </w:tc>
        <w:tc>
          <w:tcPr>
            <w:tcW w:w="140" w:type="dxa"/>
            <w:vAlign w:val="bottom"/>
            <w:shd w:val="clear" w:color="auto" w:fill="BF5B5A"/>
          </w:tcPr>
          <w:p>
            <w:pPr>
              <w:spacing w:after="0"/>
              <w:rPr>
                <w:sz w:val="16"/>
                <w:szCs w:val="16"/>
                <w:color w:val="auto"/>
              </w:rPr>
            </w:pPr>
          </w:p>
        </w:tc>
      </w:tr>
      <w:tr>
        <w:trPr>
          <w:trHeight w:val="217"/>
        </w:trPr>
        <w:tc>
          <w:tcPr>
            <w:tcW w:w="25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 ​</w:t>
            </w:r>
          </w:p>
        </w:tc>
        <w:tc>
          <w:tcPr>
            <w:tcW w:w="22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 ​</w:t>
            </w:r>
          </w:p>
        </w:tc>
        <w:tc>
          <w:tcPr>
            <w:tcW w:w="540" w:type="dxa"/>
            <w:vAlign w:val="bottom"/>
            <w:shd w:val="clear" w:color="auto" w:fill="BF5B5A"/>
          </w:tcPr>
          <w:p>
            <w:pPr>
              <w:spacing w:after="0"/>
              <w:rPr>
                <w:sz w:val="18"/>
                <w:szCs w:val="18"/>
                <w:color w:val="auto"/>
              </w:rPr>
            </w:pPr>
          </w:p>
        </w:tc>
        <w:tc>
          <w:tcPr>
            <w:tcW w:w="860" w:type="dxa"/>
            <w:vAlign w:val="bottom"/>
            <w:shd w:val="clear" w:color="auto" w:fill="BF5B5A"/>
          </w:tcPr>
          <w:p>
            <w:pPr>
              <w:jc w:val="right"/>
              <w:ind w:right="499"/>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BF5B5A"/>
          </w:tcPr>
          <w:p>
            <w:pPr>
              <w:ind w:left="40"/>
              <w:spacing w:after="0"/>
              <w:rPr>
                <w:sz w:val="20"/>
                <w:szCs w:val="20"/>
                <w:color w:val="auto"/>
              </w:rPr>
            </w:pPr>
            <w:r>
              <w:rPr>
                <w:rFonts w:ascii="Arial" w:cs="Arial" w:eastAsia="Arial" w:hAnsi="Arial"/>
                <w:sz w:val="16"/>
                <w:szCs w:val="16"/>
                <w:b w:val="1"/>
                <w:bCs w:val="1"/>
                <w:color w:val="FFFFFF"/>
              </w:rPr>
              <w:t>​</w:t>
            </w:r>
          </w:p>
        </w:tc>
      </w:tr>
      <w:tr>
        <w:trPr>
          <w:trHeight w:val="241"/>
        </w:trPr>
        <w:tc>
          <w:tcPr>
            <w:tcW w:w="2580" w:type="dxa"/>
            <w:vAlign w:val="bottom"/>
          </w:tcPr>
          <w:p>
            <w:pPr>
              <w:ind w:left="100"/>
              <w:spacing w:after="0"/>
              <w:rPr>
                <w:sz w:val="20"/>
                <w:szCs w:val="20"/>
                <w:color w:val="auto"/>
              </w:rPr>
            </w:pPr>
            <w:r>
              <w:rPr>
                <w:rFonts w:ascii="Arial" w:cs="Arial" w:eastAsia="Arial" w:hAnsi="Arial"/>
                <w:sz w:val="16"/>
                <w:szCs w:val="16"/>
                <w:color w:val="auto"/>
              </w:rPr>
              <w:t>Mr. Harrison, our Chief Executive</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25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​Officer</w:t>
            </w:r>
          </w:p>
        </w:tc>
        <w:tc>
          <w:tcPr>
            <w:tcW w:w="2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7F7F7F"/>
            </w:tcBorders>
            <w:gridSpan w:val="2"/>
          </w:tcPr>
          <w:p>
            <w:pPr>
              <w:jc w:val="right"/>
              <w:ind w:right="199"/>
              <w:spacing w:after="0"/>
              <w:rPr>
                <w:sz w:val="20"/>
                <w:szCs w:val="20"/>
                <w:color w:val="auto"/>
              </w:rPr>
            </w:pPr>
            <w:r>
              <w:rPr>
                <w:rFonts w:ascii="Arial" w:cs="Arial" w:eastAsia="Arial" w:hAnsi="Arial"/>
                <w:sz w:val="16"/>
                <w:szCs w:val="16"/>
                <w:color w:val="auto"/>
              </w:rPr>
              <w:t>​$5,366,855</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51"/>
        </w:trPr>
        <w:tc>
          <w:tcPr>
            <w:tcW w:w="2580" w:type="dxa"/>
            <w:vAlign w:val="bottom"/>
            <w:tcBorders>
              <w:bottom w:val="single" w:sz="8" w:color="7F7F7F"/>
            </w:tcBorders>
          </w:tcPr>
          <w:p>
            <w:pPr>
              <w:ind w:left="40"/>
              <w:spacing w:after="0" w:line="251"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Our median employee</w:t>
            </w:r>
          </w:p>
        </w:tc>
        <w:tc>
          <w:tcPr>
            <w:tcW w:w="220" w:type="dxa"/>
            <w:vAlign w:val="bottom"/>
            <w:tcBorders>
              <w:bottom w:val="single" w:sz="8" w:color="7F7F7F"/>
            </w:tcBorders>
          </w:tcPr>
          <w:p>
            <w:pPr>
              <w:ind w:left="8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7F7F7F"/>
            </w:tcBorders>
          </w:tcPr>
          <w:p>
            <w:pPr>
              <w:ind w:left="300"/>
              <w:spacing w:after="0" w:line="251"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860" w:type="dxa"/>
            <w:vAlign w:val="bottom"/>
            <w:tcBorders>
              <w:bottom w:val="single" w:sz="8" w:color="7F7F7F"/>
            </w:tcBorders>
          </w:tcPr>
          <w:p>
            <w:pPr>
              <w:jc w:val="right"/>
              <w:ind w:right="199"/>
              <w:spacing w:after="0"/>
              <w:rPr>
                <w:sz w:val="20"/>
                <w:szCs w:val="20"/>
                <w:color w:val="auto"/>
              </w:rPr>
            </w:pPr>
            <w:r>
              <w:rPr>
                <w:rFonts w:ascii="Arial" w:cs="Arial" w:eastAsia="Arial" w:hAnsi="Arial"/>
                <w:sz w:val="16"/>
                <w:szCs w:val="16"/>
                <w:color w:val="auto"/>
              </w:rPr>
              <w:t>66,295</w:t>
            </w:r>
          </w:p>
        </w:tc>
        <w:tc>
          <w:tcPr>
            <w:tcW w:w="1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r>
      <w:tr>
        <w:trPr>
          <w:trHeight w:val="263"/>
        </w:trPr>
        <w:tc>
          <w:tcPr>
            <w:tcW w:w="2580" w:type="dxa"/>
            <w:vAlign w:val="bottom"/>
            <w:tcBorders>
              <w:bottom w:val="single" w:sz="8" w:color="BF5B5A"/>
            </w:tcBorders>
            <w:shd w:val="clear" w:color="auto" w:fill="F2F2F2"/>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Pay ratio estimate</w:t>
            </w:r>
          </w:p>
        </w:tc>
        <w:tc>
          <w:tcPr>
            <w:tcW w:w="220" w:type="dxa"/>
            <w:vAlign w:val="bottom"/>
            <w:tcBorders>
              <w:bottom w:val="single" w:sz="8" w:color="BF5B5A"/>
            </w:tcBorders>
            <w:shd w:val="clear" w:color="auto" w:fill="F2F2F2"/>
          </w:tcPr>
          <w:p>
            <w:pPr>
              <w:ind w:left="80"/>
              <w:spacing w:after="0"/>
              <w:rPr>
                <w:sz w:val="20"/>
                <w:szCs w:val="20"/>
                <w:color w:val="auto"/>
              </w:rPr>
            </w:pPr>
            <w:r>
              <w:rPr>
                <w:rFonts w:ascii="Arial" w:cs="Arial" w:eastAsia="Arial" w:hAnsi="Arial"/>
                <w:sz w:val="16"/>
                <w:szCs w:val="16"/>
                <w:b w:val="1"/>
                <w:bCs w:val="1"/>
                <w:color w:val="auto"/>
              </w:rPr>
              <w:t>​ ​</w:t>
            </w:r>
          </w:p>
        </w:tc>
        <w:tc>
          <w:tcPr>
            <w:tcW w:w="540" w:type="dxa"/>
            <w:vAlign w:val="bottom"/>
            <w:tcBorders>
              <w:bottom w:val="single" w:sz="8" w:color="BF5B5A"/>
            </w:tcBorders>
            <w:shd w:val="clear" w:color="auto" w:fill="F2F2F2"/>
          </w:tcPr>
          <w:p>
            <w:pPr>
              <w:ind w:left="300"/>
              <w:spacing w:after="0" w:line="264"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30"/>
                <w:szCs w:val="30"/>
                <w:b w:val="1"/>
                <w:bCs w:val="1"/>
                <w:color w:val="auto"/>
                <w:vertAlign w:val="superscript"/>
              </w:rPr>
              <w:t>​</w:t>
            </w:r>
          </w:p>
        </w:tc>
        <w:tc>
          <w:tcPr>
            <w:tcW w:w="860" w:type="dxa"/>
            <w:vAlign w:val="bottom"/>
            <w:tcBorders>
              <w:bottom w:val="single" w:sz="8" w:color="BF5B5A"/>
            </w:tcBorders>
            <w:shd w:val="clear" w:color="auto" w:fill="F2F2F2"/>
          </w:tcPr>
          <w:p>
            <w:pPr>
              <w:jc w:val="right"/>
              <w:ind w:right="199"/>
              <w:spacing w:after="0"/>
              <w:rPr>
                <w:sz w:val="20"/>
                <w:szCs w:val="20"/>
                <w:color w:val="auto"/>
              </w:rPr>
            </w:pPr>
            <w:r>
              <w:rPr>
                <w:rFonts w:ascii="Arial" w:cs="Arial" w:eastAsia="Arial" w:hAnsi="Arial"/>
                <w:sz w:val="16"/>
                <w:szCs w:val="16"/>
                <w:b w:val="1"/>
                <w:bCs w:val="1"/>
                <w:color w:val="auto"/>
              </w:rPr>
              <w:t>81:1</w:t>
            </w:r>
          </w:p>
        </w:tc>
        <w:tc>
          <w:tcPr>
            <w:tcW w:w="140" w:type="dxa"/>
            <w:vAlign w:val="bottom"/>
            <w:tcBorders>
              <w:bottom w:val="single" w:sz="8" w:color="BF5B5A"/>
            </w:tcBorders>
            <w:shd w:val="clear" w:color="auto" w:fill="F2F2F2"/>
          </w:tcPr>
          <w:p>
            <w:pPr>
              <w:ind w:left="40"/>
              <w:spacing w:after="0"/>
              <w:rPr>
                <w:sz w:val="20"/>
                <w:szCs w:val="20"/>
                <w:color w:val="auto"/>
              </w:rPr>
            </w:pPr>
            <w:r>
              <w:rPr>
                <w:rFonts w:ascii="Arial" w:cs="Arial" w:eastAsia="Arial" w:hAnsi="Arial"/>
                <w:sz w:val="16"/>
                <w:szCs w:val="16"/>
                <w:b w:val="1"/>
                <w:bCs w:val="1"/>
                <w:color w:val="auto"/>
              </w:rPr>
              <w:t>​​</w:t>
            </w:r>
          </w:p>
        </w:tc>
      </w:tr>
    </w:tbl>
    <w:p>
      <w:pPr>
        <w:spacing w:after="0" w:line="116" w:lineRule="exact"/>
        <w:rPr>
          <w:sz w:val="20"/>
          <w:szCs w:val="20"/>
          <w:color w:val="auto"/>
        </w:rPr>
      </w:pPr>
    </w:p>
    <w:p>
      <w:pPr>
        <w:ind w:left="780" w:right="40"/>
        <w:spacing w:after="0" w:line="279" w:lineRule="auto"/>
        <w:rPr>
          <w:sz w:val="20"/>
          <w:szCs w:val="20"/>
          <w:color w:val="auto"/>
        </w:rPr>
      </w:pPr>
      <w:r>
        <w:rPr>
          <w:rFonts w:ascii="Arial" w:cs="Arial" w:eastAsia="Arial" w:hAnsi="Arial"/>
          <w:sz w:val="18"/>
          <w:szCs w:val="18"/>
          <w:color w:val="auto"/>
        </w:rPr>
        <w:t>In identifying our median employee, we examined our active employee population (including full-time, part-time and peak employees), excluding our Chief Executive Officer, as of December 31, 2023, the last day of our fiscal year. Our median employee was determined by reviewing payroll records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our employee population, as reported to the IRS on Form W2. We did not make any fulltime equivalent adjustments to part-time and peak-time employees.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pay ratio identified above is a reasonable estimate calculated in a manner consistent with SEC rules based on our employment and payroll records. The SEC rules governing pay ratio disclosures allow companies to apply numerous methodologies, exclusions and reasonable assumptions, adjustments and estimates to reflect their compensation practices. Thus, pay ratios that are reported by other companies, including our peers, may not be directly comparable to ours because other companies may have different employment and compensation practices, and may utilize different assumptions, methodologies, exclusions and estimates in calculating the pay ratio.</w:t>
      </w:r>
    </w:p>
    <w:p>
      <w:pPr>
        <w:spacing w:after="0" w:line="572" w:lineRule="exact"/>
        <w:rPr>
          <w:sz w:val="20"/>
          <w:szCs w:val="20"/>
          <w:color w:val="auto"/>
        </w:rPr>
      </w:pPr>
    </w:p>
    <w:p>
      <w:pPr>
        <w:sectPr>
          <w:pgSz w:w="11900" w:h="16838" w:orient="portrait"/>
          <w:cols w:equalWidth="0" w:num="2">
            <w:col w:w="5120" w:space="500"/>
            <w:col w:w="43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73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Pay Versus Performance Disclosure</w:t>
      </w:r>
    </w:p>
    <w:p>
      <w:pPr>
        <w:spacing w:after="0" w:line="177" w:lineRule="exact"/>
        <w:rPr>
          <w:sz w:val="20"/>
          <w:szCs w:val="20"/>
          <w:color w:val="auto"/>
        </w:rPr>
      </w:pPr>
    </w:p>
    <w:p>
      <w:pPr>
        <w:ind w:left="780" w:right="20"/>
        <w:spacing w:after="0" w:line="291" w:lineRule="auto"/>
        <w:rPr>
          <w:sz w:val="20"/>
          <w:szCs w:val="20"/>
          <w:color w:val="auto"/>
        </w:rPr>
      </w:pPr>
      <w:r>
        <w:rPr>
          <w:rFonts w:ascii="Arial" w:cs="Arial" w:eastAsia="Arial" w:hAnsi="Arial"/>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CEO and Non-CEO NEOs and Company performance for the fiscal years listed below. More information on the Company’s compensation program and decisions for the 2023 performance year can be found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w:t>
      </w:r>
    </w:p>
    <w:p>
      <w:pPr>
        <w:spacing w:after="0" w:line="168" w:lineRule="exact"/>
        <w:rPr>
          <w:sz w:val="20"/>
          <w:szCs w:val="20"/>
          <w:color w:val="auto"/>
        </w:rPr>
      </w:pPr>
    </w:p>
    <w:tbl>
      <w:tblPr>
        <w:tblLayout w:type="fixed"/>
        <w:tblInd w:w="780" w:type="dxa"/>
        <w:tblCellMar>
          <w:top w:w="0" w:type="dxa"/>
          <w:left w:w="0" w:type="dxa"/>
          <w:bottom w:w="0" w:type="dxa"/>
          <w:right w:w="0" w:type="dxa"/>
        </w:tblCellMar>
      </w:tblPr>
      <w:tr>
        <w:trPr>
          <w:trHeight w:val="158"/>
        </w:trPr>
        <w:tc>
          <w:tcPr>
            <w:tcW w:w="100" w:type="dxa"/>
            <w:vAlign w:val="bottom"/>
            <w:shd w:val="clear" w:color="auto" w:fill="BF5B5A"/>
          </w:tcPr>
          <w:p>
            <w:pPr>
              <w:spacing w:after="0"/>
              <w:rPr>
                <w:sz w:val="13"/>
                <w:szCs w:val="13"/>
                <w:color w:val="auto"/>
              </w:rPr>
            </w:pPr>
          </w:p>
        </w:tc>
        <w:tc>
          <w:tcPr>
            <w:tcW w:w="5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880" w:type="dxa"/>
            <w:vAlign w:val="bottom"/>
            <w:shd w:val="clear" w:color="auto" w:fill="BF5B5A"/>
          </w:tcPr>
          <w:p>
            <w:pPr>
              <w:spacing w:after="0"/>
              <w:rPr>
                <w:sz w:val="13"/>
                <w:szCs w:val="13"/>
                <w:color w:val="auto"/>
              </w:rPr>
            </w:pPr>
          </w:p>
        </w:tc>
        <w:tc>
          <w:tcPr>
            <w:tcW w:w="200" w:type="dxa"/>
            <w:vAlign w:val="bottom"/>
            <w:shd w:val="clear" w:color="auto" w:fill="BF5B5A"/>
          </w:tcPr>
          <w:p>
            <w:pPr>
              <w:spacing w:after="0"/>
              <w:rPr>
                <w:sz w:val="13"/>
                <w:szCs w:val="13"/>
                <w:color w:val="auto"/>
              </w:rPr>
            </w:pPr>
          </w:p>
        </w:tc>
        <w:tc>
          <w:tcPr>
            <w:tcW w:w="880" w:type="dxa"/>
            <w:vAlign w:val="bottom"/>
            <w:shd w:val="clear" w:color="auto" w:fill="BF5B5A"/>
          </w:tcPr>
          <w:p>
            <w:pPr>
              <w:spacing w:after="0"/>
              <w:rPr>
                <w:sz w:val="13"/>
                <w:szCs w:val="13"/>
                <w:color w:val="auto"/>
              </w:rPr>
            </w:pPr>
          </w:p>
        </w:tc>
        <w:tc>
          <w:tcPr>
            <w:tcW w:w="180" w:type="dxa"/>
            <w:vAlign w:val="bottom"/>
            <w:shd w:val="clear" w:color="auto" w:fill="BF5B5A"/>
          </w:tcPr>
          <w:p>
            <w:pPr>
              <w:spacing w:after="0"/>
              <w:rPr>
                <w:sz w:val="13"/>
                <w:szCs w:val="13"/>
                <w:color w:val="auto"/>
              </w:rPr>
            </w:pPr>
          </w:p>
        </w:tc>
        <w:tc>
          <w:tcPr>
            <w:tcW w:w="1020" w:type="dxa"/>
            <w:vAlign w:val="bottom"/>
            <w:shd w:val="clear" w:color="auto" w:fill="BF5B5A"/>
          </w:tcPr>
          <w:p>
            <w:pPr>
              <w:spacing w:after="0"/>
              <w:rPr>
                <w:sz w:val="13"/>
                <w:szCs w:val="13"/>
                <w:color w:val="auto"/>
              </w:rPr>
            </w:pPr>
          </w:p>
        </w:tc>
        <w:tc>
          <w:tcPr>
            <w:tcW w:w="220" w:type="dxa"/>
            <w:vAlign w:val="bottom"/>
            <w:shd w:val="clear" w:color="auto" w:fill="BF5B5A"/>
          </w:tcPr>
          <w:p>
            <w:pPr>
              <w:spacing w:after="0"/>
              <w:rPr>
                <w:sz w:val="13"/>
                <w:szCs w:val="13"/>
                <w:color w:val="auto"/>
              </w:rPr>
            </w:pPr>
          </w:p>
        </w:tc>
        <w:tc>
          <w:tcPr>
            <w:tcW w:w="124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40" w:type="dxa"/>
            <w:vAlign w:val="bottom"/>
            <w:shd w:val="clear" w:color="auto" w:fill="BF5B5A"/>
          </w:tcPr>
          <w:p>
            <w:pPr>
              <w:spacing w:after="0"/>
              <w:rPr>
                <w:sz w:val="13"/>
                <w:szCs w:val="13"/>
                <w:color w:val="auto"/>
              </w:rPr>
            </w:pPr>
          </w:p>
        </w:tc>
        <w:tc>
          <w:tcPr>
            <w:tcW w:w="1220" w:type="dxa"/>
            <w:vAlign w:val="bottom"/>
            <w:gridSpan w:val="3"/>
            <w:shd w:val="clear" w:color="auto" w:fill="BF5B5A"/>
          </w:tcPr>
          <w:p>
            <w:pPr>
              <w:jc w:val="center"/>
              <w:spacing w:after="0"/>
              <w:rPr>
                <w:sz w:val="20"/>
                <w:szCs w:val="20"/>
                <w:color w:val="auto"/>
              </w:rPr>
            </w:pPr>
            <w:r>
              <w:rPr>
                <w:rFonts w:ascii="Arial" w:cs="Arial" w:eastAsia="Arial" w:hAnsi="Arial"/>
                <w:sz w:val="13"/>
                <w:szCs w:val="13"/>
                <w:b w:val="1"/>
                <w:bCs w:val="1"/>
                <w:color w:val="FFFFFF"/>
                <w:w w:val="92"/>
              </w:rPr>
              <w:t>Value of Initial</w:t>
            </w: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680" w:type="dxa"/>
            <w:vAlign w:val="bottom"/>
            <w:shd w:val="clear" w:color="auto" w:fill="BF5B5A"/>
          </w:tcPr>
          <w:p>
            <w:pPr>
              <w:spacing w:after="0"/>
              <w:rPr>
                <w:sz w:val="13"/>
                <w:szCs w:val="13"/>
                <w:color w:val="auto"/>
              </w:rPr>
            </w:pPr>
          </w:p>
        </w:tc>
        <w:tc>
          <w:tcPr>
            <w:tcW w:w="220" w:type="dxa"/>
            <w:vAlign w:val="bottom"/>
            <w:shd w:val="clear" w:color="auto" w:fill="BF5B5A"/>
          </w:tcPr>
          <w:p>
            <w:pPr>
              <w:spacing w:after="0"/>
              <w:rPr>
                <w:sz w:val="13"/>
                <w:szCs w:val="13"/>
                <w:color w:val="auto"/>
              </w:rPr>
            </w:pPr>
          </w:p>
        </w:tc>
        <w:tc>
          <w:tcPr>
            <w:tcW w:w="1060" w:type="dxa"/>
            <w:vAlign w:val="bottom"/>
            <w:shd w:val="clear" w:color="auto" w:fill="BF5B5A"/>
          </w:tcPr>
          <w:p>
            <w:pPr>
              <w:spacing w:after="0"/>
              <w:rPr>
                <w:sz w:val="13"/>
                <w:szCs w:val="13"/>
                <w:color w:val="auto"/>
              </w:rPr>
            </w:pPr>
          </w:p>
        </w:tc>
        <w:tc>
          <w:tcPr>
            <w:tcW w:w="16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BF5B5A"/>
          </w:tcPr>
          <w:p>
            <w:pPr>
              <w:spacing w:after="0"/>
              <w:rPr>
                <w:sz w:val="12"/>
                <w:szCs w:val="12"/>
                <w:color w:val="auto"/>
              </w:rPr>
            </w:pPr>
          </w:p>
        </w:tc>
        <w:tc>
          <w:tcPr>
            <w:tcW w:w="5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880" w:type="dxa"/>
            <w:vAlign w:val="bottom"/>
            <w:shd w:val="clear" w:color="auto" w:fill="BF5B5A"/>
          </w:tcPr>
          <w:p>
            <w:pPr>
              <w:spacing w:after="0"/>
              <w:rPr>
                <w:sz w:val="12"/>
                <w:szCs w:val="12"/>
                <w:color w:val="auto"/>
              </w:rPr>
            </w:pPr>
          </w:p>
        </w:tc>
        <w:tc>
          <w:tcPr>
            <w:tcW w:w="200" w:type="dxa"/>
            <w:vAlign w:val="bottom"/>
            <w:shd w:val="clear" w:color="auto" w:fill="BF5B5A"/>
          </w:tcPr>
          <w:p>
            <w:pPr>
              <w:spacing w:after="0"/>
              <w:rPr>
                <w:sz w:val="12"/>
                <w:szCs w:val="12"/>
                <w:color w:val="auto"/>
              </w:rPr>
            </w:pPr>
          </w:p>
        </w:tc>
        <w:tc>
          <w:tcPr>
            <w:tcW w:w="880" w:type="dxa"/>
            <w:vAlign w:val="bottom"/>
            <w:shd w:val="clear" w:color="auto" w:fill="BF5B5A"/>
          </w:tcPr>
          <w:p>
            <w:pPr>
              <w:spacing w:after="0"/>
              <w:rPr>
                <w:sz w:val="12"/>
                <w:szCs w:val="12"/>
                <w:color w:val="auto"/>
              </w:rPr>
            </w:pPr>
          </w:p>
        </w:tc>
        <w:tc>
          <w:tcPr>
            <w:tcW w:w="180" w:type="dxa"/>
            <w:vAlign w:val="bottom"/>
            <w:shd w:val="clear" w:color="auto" w:fill="BF5B5A"/>
          </w:tcPr>
          <w:p>
            <w:pPr>
              <w:spacing w:after="0"/>
              <w:rPr>
                <w:sz w:val="12"/>
                <w:szCs w:val="12"/>
                <w:color w:val="auto"/>
              </w:rPr>
            </w:pPr>
          </w:p>
        </w:tc>
        <w:tc>
          <w:tcPr>
            <w:tcW w:w="102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w w:val="93"/>
              </w:rPr>
              <w:t>Average</w:t>
            </w:r>
          </w:p>
        </w:tc>
        <w:tc>
          <w:tcPr>
            <w:tcW w:w="220" w:type="dxa"/>
            <w:vAlign w:val="bottom"/>
            <w:shd w:val="clear" w:color="auto" w:fill="BF5B5A"/>
          </w:tcPr>
          <w:p>
            <w:pPr>
              <w:spacing w:after="0"/>
              <w:rPr>
                <w:sz w:val="12"/>
                <w:szCs w:val="12"/>
                <w:color w:val="auto"/>
              </w:rPr>
            </w:pPr>
          </w:p>
        </w:tc>
        <w:tc>
          <w:tcPr>
            <w:tcW w:w="124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40" w:type="dxa"/>
            <w:vAlign w:val="bottom"/>
            <w:shd w:val="clear" w:color="auto" w:fill="BF5B5A"/>
          </w:tcPr>
          <w:p>
            <w:pPr>
              <w:spacing w:after="0"/>
              <w:rPr>
                <w:sz w:val="12"/>
                <w:szCs w:val="12"/>
                <w:color w:val="auto"/>
              </w:rPr>
            </w:pPr>
          </w:p>
        </w:tc>
        <w:tc>
          <w:tcPr>
            <w:tcW w:w="260" w:type="dxa"/>
            <w:vAlign w:val="bottom"/>
            <w:shd w:val="clear" w:color="auto" w:fill="BF5B5A"/>
          </w:tcPr>
          <w:p>
            <w:pPr>
              <w:spacing w:after="0"/>
              <w:rPr>
                <w:sz w:val="12"/>
                <w:szCs w:val="12"/>
                <w:color w:val="auto"/>
              </w:rPr>
            </w:pPr>
          </w:p>
        </w:tc>
        <w:tc>
          <w:tcPr>
            <w:tcW w:w="960" w:type="dxa"/>
            <w:vAlign w:val="bottom"/>
            <w:gridSpan w:val="2"/>
            <w:shd w:val="clear" w:color="auto" w:fill="BF5B5A"/>
          </w:tcPr>
          <w:p>
            <w:pPr>
              <w:jc w:val="center"/>
              <w:ind w:right="235"/>
              <w:spacing w:after="0"/>
              <w:rPr>
                <w:sz w:val="20"/>
                <w:szCs w:val="20"/>
                <w:color w:val="auto"/>
              </w:rPr>
            </w:pPr>
            <w:r>
              <w:rPr>
                <w:rFonts w:ascii="Arial" w:cs="Arial" w:eastAsia="Arial" w:hAnsi="Arial"/>
                <w:sz w:val="13"/>
                <w:szCs w:val="13"/>
                <w:b w:val="1"/>
                <w:bCs w:val="1"/>
                <w:color w:val="FFFFFF"/>
                <w:w w:val="93"/>
              </w:rPr>
              <w:t>Fixed $100</w:t>
            </w: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680" w:type="dxa"/>
            <w:vAlign w:val="bottom"/>
            <w:shd w:val="clear" w:color="auto" w:fill="BF5B5A"/>
          </w:tcPr>
          <w:p>
            <w:pPr>
              <w:spacing w:after="0"/>
              <w:rPr>
                <w:sz w:val="12"/>
                <w:szCs w:val="12"/>
                <w:color w:val="auto"/>
              </w:rPr>
            </w:pPr>
          </w:p>
        </w:tc>
        <w:tc>
          <w:tcPr>
            <w:tcW w:w="220" w:type="dxa"/>
            <w:vAlign w:val="bottom"/>
            <w:shd w:val="clear" w:color="auto" w:fill="BF5B5A"/>
          </w:tcPr>
          <w:p>
            <w:pPr>
              <w:spacing w:after="0"/>
              <w:rPr>
                <w:sz w:val="12"/>
                <w:szCs w:val="12"/>
                <w:color w:val="auto"/>
              </w:rPr>
            </w:pPr>
          </w:p>
        </w:tc>
        <w:tc>
          <w:tcPr>
            <w:tcW w:w="1060" w:type="dxa"/>
            <w:vAlign w:val="bottom"/>
            <w:shd w:val="clear" w:color="auto" w:fill="BF5B5A"/>
          </w:tcPr>
          <w:p>
            <w:pPr>
              <w:spacing w:after="0"/>
              <w:rPr>
                <w:sz w:val="12"/>
                <w:szCs w:val="12"/>
                <w:color w:val="auto"/>
              </w:rPr>
            </w:pPr>
          </w:p>
        </w:tc>
        <w:tc>
          <w:tcPr>
            <w:tcW w:w="16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BF5B5A"/>
          </w:tcPr>
          <w:p>
            <w:pPr>
              <w:spacing w:after="0"/>
              <w:rPr>
                <w:sz w:val="10"/>
                <w:szCs w:val="10"/>
                <w:color w:val="auto"/>
              </w:rPr>
            </w:pPr>
          </w:p>
        </w:tc>
        <w:tc>
          <w:tcPr>
            <w:tcW w:w="520" w:type="dxa"/>
            <w:vAlign w:val="bottom"/>
            <w:shd w:val="clear" w:color="auto" w:fill="BF5B5A"/>
          </w:tcPr>
          <w:p>
            <w:pPr>
              <w:spacing w:after="0"/>
              <w:rPr>
                <w:sz w:val="10"/>
                <w:szCs w:val="10"/>
                <w:color w:val="auto"/>
              </w:rPr>
            </w:pPr>
          </w:p>
        </w:tc>
        <w:tc>
          <w:tcPr>
            <w:tcW w:w="80" w:type="dxa"/>
            <w:vAlign w:val="bottom"/>
            <w:shd w:val="clear" w:color="auto" w:fill="BF5B5A"/>
          </w:tcPr>
          <w:p>
            <w:pPr>
              <w:spacing w:after="0"/>
              <w:rPr>
                <w:sz w:val="10"/>
                <w:szCs w:val="10"/>
                <w:color w:val="auto"/>
              </w:rPr>
            </w:pPr>
          </w:p>
        </w:tc>
        <w:tc>
          <w:tcPr>
            <w:tcW w:w="80" w:type="dxa"/>
            <w:vAlign w:val="bottom"/>
            <w:shd w:val="clear" w:color="auto" w:fill="BF5B5A"/>
          </w:tcPr>
          <w:p>
            <w:pPr>
              <w:spacing w:after="0"/>
              <w:rPr>
                <w:sz w:val="10"/>
                <w:szCs w:val="10"/>
                <w:color w:val="auto"/>
              </w:rPr>
            </w:pPr>
          </w:p>
        </w:tc>
        <w:tc>
          <w:tcPr>
            <w:tcW w:w="880" w:type="dxa"/>
            <w:vAlign w:val="bottom"/>
            <w:vMerge w:val="restart"/>
            <w:shd w:val="clear" w:color="auto" w:fill="BF5B5A"/>
          </w:tcPr>
          <w:p>
            <w:pPr>
              <w:jc w:val="right"/>
              <w:ind w:right="96"/>
              <w:spacing w:after="0"/>
              <w:rPr>
                <w:sz w:val="20"/>
                <w:szCs w:val="20"/>
                <w:color w:val="auto"/>
              </w:rPr>
            </w:pPr>
            <w:r>
              <w:rPr>
                <w:rFonts w:ascii="Arial" w:cs="Arial" w:eastAsia="Arial" w:hAnsi="Arial"/>
                <w:sz w:val="13"/>
                <w:szCs w:val="13"/>
                <w:b w:val="1"/>
                <w:bCs w:val="1"/>
                <w:color w:val="FFFFFF"/>
              </w:rPr>
              <w:t>Summary</w:t>
            </w:r>
          </w:p>
        </w:tc>
        <w:tc>
          <w:tcPr>
            <w:tcW w:w="200" w:type="dxa"/>
            <w:vAlign w:val="bottom"/>
            <w:shd w:val="clear" w:color="auto" w:fill="BF5B5A"/>
          </w:tcPr>
          <w:p>
            <w:pPr>
              <w:spacing w:after="0"/>
              <w:rPr>
                <w:sz w:val="10"/>
                <w:szCs w:val="10"/>
                <w:color w:val="auto"/>
              </w:rPr>
            </w:pPr>
          </w:p>
        </w:tc>
        <w:tc>
          <w:tcPr>
            <w:tcW w:w="880" w:type="dxa"/>
            <w:vAlign w:val="bottom"/>
            <w:shd w:val="clear" w:color="auto" w:fill="BF5B5A"/>
          </w:tcPr>
          <w:p>
            <w:pPr>
              <w:spacing w:after="0"/>
              <w:rPr>
                <w:sz w:val="10"/>
                <w:szCs w:val="10"/>
                <w:color w:val="auto"/>
              </w:rPr>
            </w:pPr>
          </w:p>
        </w:tc>
        <w:tc>
          <w:tcPr>
            <w:tcW w:w="180" w:type="dxa"/>
            <w:vAlign w:val="bottom"/>
            <w:shd w:val="clear" w:color="auto" w:fill="BF5B5A"/>
          </w:tcPr>
          <w:p>
            <w:pPr>
              <w:spacing w:after="0"/>
              <w:rPr>
                <w:sz w:val="10"/>
                <w:szCs w:val="10"/>
                <w:color w:val="auto"/>
              </w:rPr>
            </w:pPr>
          </w:p>
        </w:tc>
        <w:tc>
          <w:tcPr>
            <w:tcW w:w="1020" w:type="dxa"/>
            <w:vAlign w:val="bottom"/>
            <w:vMerge w:val="continue"/>
            <w:shd w:val="clear" w:color="auto" w:fill="BF5B5A"/>
          </w:tcPr>
          <w:p>
            <w:pPr>
              <w:spacing w:after="0"/>
              <w:rPr>
                <w:sz w:val="10"/>
                <w:szCs w:val="10"/>
                <w:color w:val="auto"/>
              </w:rPr>
            </w:pPr>
          </w:p>
        </w:tc>
        <w:tc>
          <w:tcPr>
            <w:tcW w:w="220" w:type="dxa"/>
            <w:vAlign w:val="bottom"/>
            <w:shd w:val="clear" w:color="auto" w:fill="BF5B5A"/>
          </w:tcPr>
          <w:p>
            <w:pPr>
              <w:spacing w:after="0"/>
              <w:rPr>
                <w:sz w:val="10"/>
                <w:szCs w:val="10"/>
                <w:color w:val="auto"/>
              </w:rPr>
            </w:pPr>
          </w:p>
        </w:tc>
        <w:tc>
          <w:tcPr>
            <w:tcW w:w="124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20" w:type="dxa"/>
            <w:vAlign w:val="bottom"/>
            <w:shd w:val="clear" w:color="auto" w:fill="BF5B5A"/>
          </w:tcPr>
          <w:p>
            <w:pPr>
              <w:spacing w:after="0"/>
              <w:rPr>
                <w:sz w:val="10"/>
                <w:szCs w:val="10"/>
                <w:color w:val="auto"/>
              </w:rPr>
            </w:pPr>
          </w:p>
        </w:tc>
        <w:tc>
          <w:tcPr>
            <w:tcW w:w="80" w:type="dxa"/>
            <w:vAlign w:val="bottom"/>
            <w:shd w:val="clear" w:color="auto" w:fill="BF5B5A"/>
          </w:tcPr>
          <w:p>
            <w:pPr>
              <w:spacing w:after="0"/>
              <w:rPr>
                <w:sz w:val="10"/>
                <w:szCs w:val="10"/>
                <w:color w:val="auto"/>
              </w:rPr>
            </w:pPr>
          </w:p>
        </w:tc>
        <w:tc>
          <w:tcPr>
            <w:tcW w:w="40" w:type="dxa"/>
            <w:vAlign w:val="bottom"/>
            <w:shd w:val="clear" w:color="auto" w:fill="BF5B5A"/>
          </w:tcPr>
          <w:p>
            <w:pPr>
              <w:spacing w:after="0"/>
              <w:rPr>
                <w:sz w:val="10"/>
                <w:szCs w:val="10"/>
                <w:color w:val="auto"/>
              </w:rPr>
            </w:pPr>
          </w:p>
        </w:tc>
        <w:tc>
          <w:tcPr>
            <w:tcW w:w="260" w:type="dxa"/>
            <w:vAlign w:val="bottom"/>
            <w:shd w:val="clear" w:color="auto" w:fill="BF5B5A"/>
          </w:tcPr>
          <w:p>
            <w:pPr>
              <w:spacing w:after="0"/>
              <w:rPr>
                <w:sz w:val="10"/>
                <w:szCs w:val="10"/>
                <w:color w:val="auto"/>
              </w:rPr>
            </w:pPr>
          </w:p>
        </w:tc>
        <w:tc>
          <w:tcPr>
            <w:tcW w:w="960" w:type="dxa"/>
            <w:vAlign w:val="bottom"/>
            <w:gridSpan w:val="2"/>
            <w:shd w:val="clear" w:color="auto" w:fill="BF5B5A"/>
          </w:tcPr>
          <w:p>
            <w:pPr>
              <w:jc w:val="center"/>
              <w:ind w:right="235"/>
              <w:spacing w:after="0" w:line="126" w:lineRule="exact"/>
              <w:rPr>
                <w:sz w:val="20"/>
                <w:szCs w:val="20"/>
                <w:color w:val="auto"/>
              </w:rPr>
            </w:pPr>
            <w:r>
              <w:rPr>
                <w:rFonts w:ascii="Arial" w:cs="Arial" w:eastAsia="Arial" w:hAnsi="Arial"/>
                <w:sz w:val="13"/>
                <w:szCs w:val="13"/>
                <w:b w:val="1"/>
                <w:bCs w:val="1"/>
                <w:color w:val="FFFFFF"/>
                <w:w w:val="96"/>
              </w:rPr>
              <w:t>Investment</w:t>
            </w:r>
          </w:p>
        </w:tc>
        <w:tc>
          <w:tcPr>
            <w:tcW w:w="100" w:type="dxa"/>
            <w:vAlign w:val="bottom"/>
            <w:shd w:val="clear" w:color="auto" w:fill="BF5B5A"/>
          </w:tcPr>
          <w:p>
            <w:pPr>
              <w:spacing w:after="0"/>
              <w:rPr>
                <w:sz w:val="10"/>
                <w:szCs w:val="10"/>
                <w:color w:val="auto"/>
              </w:rPr>
            </w:pPr>
          </w:p>
        </w:tc>
        <w:tc>
          <w:tcPr>
            <w:tcW w:w="100" w:type="dxa"/>
            <w:vAlign w:val="bottom"/>
            <w:shd w:val="clear" w:color="auto" w:fill="BF5B5A"/>
          </w:tcPr>
          <w:p>
            <w:pPr>
              <w:spacing w:after="0"/>
              <w:rPr>
                <w:sz w:val="10"/>
                <w:szCs w:val="10"/>
                <w:color w:val="auto"/>
              </w:rPr>
            </w:pPr>
          </w:p>
        </w:tc>
        <w:tc>
          <w:tcPr>
            <w:tcW w:w="680" w:type="dxa"/>
            <w:vAlign w:val="bottom"/>
            <w:shd w:val="clear" w:color="auto" w:fill="BF5B5A"/>
          </w:tcPr>
          <w:p>
            <w:pPr>
              <w:spacing w:after="0"/>
              <w:rPr>
                <w:sz w:val="10"/>
                <w:szCs w:val="10"/>
                <w:color w:val="auto"/>
              </w:rPr>
            </w:pPr>
          </w:p>
        </w:tc>
        <w:tc>
          <w:tcPr>
            <w:tcW w:w="220" w:type="dxa"/>
            <w:vAlign w:val="bottom"/>
            <w:shd w:val="clear" w:color="auto" w:fill="BF5B5A"/>
          </w:tcPr>
          <w:p>
            <w:pPr>
              <w:spacing w:after="0"/>
              <w:rPr>
                <w:sz w:val="10"/>
                <w:szCs w:val="10"/>
                <w:color w:val="auto"/>
              </w:rPr>
            </w:pPr>
          </w:p>
        </w:tc>
        <w:tc>
          <w:tcPr>
            <w:tcW w:w="1060" w:type="dxa"/>
            <w:vAlign w:val="bottom"/>
            <w:shd w:val="clear" w:color="auto" w:fill="BF5B5A"/>
          </w:tcPr>
          <w:p>
            <w:pPr>
              <w:spacing w:after="0"/>
              <w:rPr>
                <w:sz w:val="10"/>
                <w:szCs w:val="10"/>
                <w:color w:val="auto"/>
              </w:rPr>
            </w:pPr>
          </w:p>
        </w:tc>
        <w:tc>
          <w:tcPr>
            <w:tcW w:w="160" w:type="dxa"/>
            <w:vAlign w:val="bottom"/>
            <w:shd w:val="clear" w:color="auto" w:fill="BF5B5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vMerge w:val="restart"/>
            <w:shd w:val="clear" w:color="auto" w:fill="BF5B5A"/>
          </w:tcPr>
          <w:p>
            <w:pPr>
              <w:ind w:left="60"/>
              <w:spacing w:after="0"/>
              <w:rPr>
                <w:sz w:val="20"/>
                <w:szCs w:val="20"/>
                <w:color w:val="auto"/>
              </w:rPr>
            </w:pPr>
            <w:r>
              <w:rPr>
                <w:rFonts w:ascii="Arial" w:cs="Arial" w:eastAsia="Arial" w:hAnsi="Arial"/>
                <w:sz w:val="13"/>
                <w:szCs w:val="13"/>
                <w:b w:val="1"/>
                <w:bCs w:val="1"/>
                <w:color w:val="FFFFFF"/>
              </w:rPr>
              <w:t>​</w:t>
            </w:r>
          </w:p>
        </w:tc>
        <w:tc>
          <w:tcPr>
            <w:tcW w:w="520" w:type="dxa"/>
            <w:vAlign w:val="bottom"/>
            <w:vMerge w:val="restart"/>
            <w:shd w:val="clear" w:color="auto" w:fill="BF5B5A"/>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vMerge w:val="restart"/>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spacing w:after="0"/>
              <w:rPr>
                <w:sz w:val="11"/>
                <w:szCs w:val="11"/>
                <w:color w:val="auto"/>
              </w:rPr>
            </w:pPr>
          </w:p>
        </w:tc>
        <w:tc>
          <w:tcPr>
            <w:tcW w:w="880" w:type="dxa"/>
            <w:vAlign w:val="bottom"/>
            <w:vMerge w:val="continue"/>
            <w:shd w:val="clear" w:color="auto" w:fill="BF5B5A"/>
          </w:tcPr>
          <w:p>
            <w:pPr>
              <w:spacing w:after="0"/>
              <w:rPr>
                <w:sz w:val="11"/>
                <w:szCs w:val="11"/>
                <w:color w:val="auto"/>
              </w:rPr>
            </w:pPr>
          </w:p>
        </w:tc>
        <w:tc>
          <w:tcPr>
            <w:tcW w:w="200" w:type="dxa"/>
            <w:vAlign w:val="bottom"/>
            <w:shd w:val="clear" w:color="auto" w:fill="BF5B5A"/>
          </w:tcPr>
          <w:p>
            <w:pPr>
              <w:spacing w:after="0"/>
              <w:rPr>
                <w:sz w:val="11"/>
                <w:szCs w:val="11"/>
                <w:color w:val="auto"/>
              </w:rPr>
            </w:pPr>
          </w:p>
        </w:tc>
        <w:tc>
          <w:tcPr>
            <w:tcW w:w="880" w:type="dxa"/>
            <w:vAlign w:val="bottom"/>
            <w:shd w:val="clear" w:color="auto" w:fill="BF5B5A"/>
          </w:tcPr>
          <w:p>
            <w:pPr>
              <w:spacing w:after="0"/>
              <w:rPr>
                <w:sz w:val="11"/>
                <w:szCs w:val="11"/>
                <w:color w:val="auto"/>
              </w:rPr>
            </w:pPr>
          </w:p>
        </w:tc>
        <w:tc>
          <w:tcPr>
            <w:tcW w:w="180" w:type="dxa"/>
            <w:vAlign w:val="bottom"/>
            <w:shd w:val="clear" w:color="auto" w:fill="BF5B5A"/>
          </w:tcPr>
          <w:p>
            <w:pPr>
              <w:spacing w:after="0"/>
              <w:rPr>
                <w:sz w:val="11"/>
                <w:szCs w:val="11"/>
                <w:color w:val="auto"/>
              </w:rPr>
            </w:pPr>
          </w:p>
        </w:tc>
        <w:tc>
          <w:tcPr>
            <w:tcW w:w="1020" w:type="dxa"/>
            <w:vAlign w:val="bottom"/>
            <w:shd w:val="clear" w:color="auto" w:fill="BF5B5A"/>
          </w:tcPr>
          <w:p>
            <w:pPr>
              <w:jc w:val="center"/>
              <w:spacing w:after="0" w:line="135" w:lineRule="exact"/>
              <w:rPr>
                <w:sz w:val="20"/>
                <w:szCs w:val="20"/>
                <w:color w:val="auto"/>
              </w:rPr>
            </w:pPr>
            <w:r>
              <w:rPr>
                <w:rFonts w:ascii="Arial" w:cs="Arial" w:eastAsia="Arial" w:hAnsi="Arial"/>
                <w:sz w:val="13"/>
                <w:szCs w:val="13"/>
                <w:b w:val="1"/>
                <w:bCs w:val="1"/>
                <w:color w:val="FFFFFF"/>
                <w:w w:val="94"/>
              </w:rPr>
              <w:t>Summary</w:t>
            </w:r>
          </w:p>
        </w:tc>
        <w:tc>
          <w:tcPr>
            <w:tcW w:w="220" w:type="dxa"/>
            <w:vAlign w:val="bottom"/>
            <w:shd w:val="clear" w:color="auto" w:fill="BF5B5A"/>
          </w:tcPr>
          <w:p>
            <w:pPr>
              <w:spacing w:after="0"/>
              <w:rPr>
                <w:sz w:val="11"/>
                <w:szCs w:val="11"/>
                <w:color w:val="auto"/>
              </w:rPr>
            </w:pPr>
          </w:p>
        </w:tc>
        <w:tc>
          <w:tcPr>
            <w:tcW w:w="1240" w:type="dxa"/>
            <w:vAlign w:val="bottom"/>
            <w:vMerge w:val="continue"/>
            <w:shd w:val="clear" w:color="auto" w:fill="BF5B5A"/>
          </w:tcPr>
          <w:p>
            <w:pPr>
              <w:spacing w:after="0"/>
              <w:rPr>
                <w:sz w:val="11"/>
                <w:szCs w:val="11"/>
                <w:color w:val="auto"/>
              </w:rPr>
            </w:pPr>
          </w:p>
        </w:tc>
        <w:tc>
          <w:tcPr>
            <w:tcW w:w="120" w:type="dxa"/>
            <w:vAlign w:val="bottom"/>
            <w:shd w:val="clear" w:color="auto" w:fill="BF5B5A"/>
          </w:tcPr>
          <w:p>
            <w:pPr>
              <w:spacing w:after="0"/>
              <w:rPr>
                <w:sz w:val="11"/>
                <w:szCs w:val="11"/>
                <w:color w:val="auto"/>
              </w:rPr>
            </w:pPr>
          </w:p>
        </w:tc>
        <w:tc>
          <w:tcPr>
            <w:tcW w:w="80" w:type="dxa"/>
            <w:vAlign w:val="bottom"/>
            <w:vMerge w:val="restart"/>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40" w:type="dxa"/>
            <w:vAlign w:val="bottom"/>
            <w:shd w:val="clear" w:color="auto" w:fill="BF5B5A"/>
          </w:tcPr>
          <w:p>
            <w:pPr>
              <w:spacing w:after="0"/>
              <w:rPr>
                <w:sz w:val="11"/>
                <w:szCs w:val="11"/>
                <w:color w:val="auto"/>
              </w:rPr>
            </w:pPr>
          </w:p>
        </w:tc>
        <w:tc>
          <w:tcPr>
            <w:tcW w:w="260" w:type="dxa"/>
            <w:vAlign w:val="bottom"/>
            <w:shd w:val="clear" w:color="auto" w:fill="BF5B5A"/>
          </w:tcPr>
          <w:p>
            <w:pPr>
              <w:spacing w:after="0"/>
              <w:rPr>
                <w:sz w:val="11"/>
                <w:szCs w:val="11"/>
                <w:color w:val="auto"/>
              </w:rPr>
            </w:pPr>
          </w:p>
        </w:tc>
        <w:tc>
          <w:tcPr>
            <w:tcW w:w="960" w:type="dxa"/>
            <w:vAlign w:val="bottom"/>
            <w:gridSpan w:val="2"/>
            <w:shd w:val="clear" w:color="auto" w:fill="BF5B5A"/>
          </w:tcPr>
          <w:p>
            <w:pPr>
              <w:jc w:val="center"/>
              <w:ind w:right="195"/>
              <w:spacing w:after="0" w:line="135" w:lineRule="exact"/>
              <w:rPr>
                <w:sz w:val="20"/>
                <w:szCs w:val="20"/>
                <w:color w:val="auto"/>
              </w:rPr>
            </w:pPr>
            <w:r>
              <w:rPr>
                <w:rFonts w:ascii="Arial" w:cs="Arial" w:eastAsia="Arial" w:hAnsi="Arial"/>
                <w:sz w:val="12"/>
                <w:szCs w:val="12"/>
                <w:b w:val="1"/>
                <w:bCs w:val="1"/>
                <w:color w:val="FFFFFF"/>
                <w:w w:val="95"/>
              </w:rPr>
              <w:t>based on:</w:t>
            </w:r>
            <w:r>
              <w:rPr>
                <w:rFonts w:ascii="Arial" w:cs="Arial" w:eastAsia="Arial" w:hAnsi="Arial"/>
                <w:sz w:val="15"/>
                <w:szCs w:val="15"/>
                <w:b w:val="1"/>
                <w:bCs w:val="1"/>
                <w:color w:val="FFFFFF"/>
                <w:w w:val="95"/>
                <w:vertAlign w:val="superscript"/>
              </w:rPr>
              <w:t>(4)</w:t>
            </w:r>
          </w:p>
        </w:tc>
        <w:tc>
          <w:tcPr>
            <w:tcW w:w="100" w:type="dxa"/>
            <w:vAlign w:val="bottom"/>
            <w:vMerge w:val="restart"/>
            <w:shd w:val="clear" w:color="auto" w:fill="BF5B5A"/>
          </w:tcPr>
          <w:p>
            <w:pPr>
              <w:ind w:left="6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spacing w:after="0"/>
              <w:rPr>
                <w:sz w:val="11"/>
                <w:szCs w:val="11"/>
                <w:color w:val="auto"/>
              </w:rPr>
            </w:pPr>
          </w:p>
        </w:tc>
        <w:tc>
          <w:tcPr>
            <w:tcW w:w="680" w:type="dxa"/>
            <w:vAlign w:val="bottom"/>
            <w:shd w:val="clear" w:color="auto" w:fill="BF5B5A"/>
          </w:tcPr>
          <w:p>
            <w:pPr>
              <w:spacing w:after="0"/>
              <w:rPr>
                <w:sz w:val="11"/>
                <w:szCs w:val="11"/>
                <w:color w:val="auto"/>
              </w:rPr>
            </w:pPr>
          </w:p>
        </w:tc>
        <w:tc>
          <w:tcPr>
            <w:tcW w:w="220" w:type="dxa"/>
            <w:vAlign w:val="bottom"/>
            <w:shd w:val="clear" w:color="auto" w:fill="BF5B5A"/>
          </w:tcPr>
          <w:p>
            <w:pPr>
              <w:spacing w:after="0"/>
              <w:rPr>
                <w:sz w:val="11"/>
                <w:szCs w:val="11"/>
                <w:color w:val="auto"/>
              </w:rPr>
            </w:pPr>
          </w:p>
        </w:tc>
        <w:tc>
          <w:tcPr>
            <w:tcW w:w="1060" w:type="dxa"/>
            <w:vAlign w:val="bottom"/>
            <w:shd w:val="clear" w:color="auto" w:fill="BF5B5A"/>
          </w:tcPr>
          <w:p>
            <w:pPr>
              <w:spacing w:after="0"/>
              <w:rPr>
                <w:sz w:val="11"/>
                <w:szCs w:val="11"/>
                <w:color w:val="auto"/>
              </w:rPr>
            </w:pPr>
          </w:p>
        </w:tc>
        <w:tc>
          <w:tcPr>
            <w:tcW w:w="160" w:type="dxa"/>
            <w:vAlign w:val="bottom"/>
            <w:shd w:val="clear" w:color="auto" w:fill="BF5B5A"/>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BF5B5A"/>
            </w:tcBorders>
            <w:vMerge w:val="continue"/>
            <w:shd w:val="clear" w:color="auto" w:fill="BF5B5A"/>
          </w:tcPr>
          <w:p>
            <w:pPr>
              <w:spacing w:after="0"/>
              <w:rPr>
                <w:sz w:val="7"/>
                <w:szCs w:val="7"/>
                <w:color w:val="auto"/>
              </w:rPr>
            </w:pPr>
          </w:p>
        </w:tc>
        <w:tc>
          <w:tcPr>
            <w:tcW w:w="520" w:type="dxa"/>
            <w:vAlign w:val="bottom"/>
            <w:tcBorders>
              <w:bottom w:val="single" w:sz="8" w:color="BF5B5A"/>
            </w:tcBorders>
            <w:vMerge w:val="continue"/>
            <w:shd w:val="clear" w:color="auto" w:fill="BF5B5A"/>
          </w:tcPr>
          <w:p>
            <w:pPr>
              <w:spacing w:after="0"/>
              <w:rPr>
                <w:sz w:val="7"/>
                <w:szCs w:val="7"/>
                <w:color w:val="auto"/>
              </w:rPr>
            </w:pPr>
          </w:p>
        </w:tc>
        <w:tc>
          <w:tcPr>
            <w:tcW w:w="80" w:type="dxa"/>
            <w:vAlign w:val="bottom"/>
            <w:tcBorders>
              <w:bottom w:val="single" w:sz="8" w:color="BF5B5A"/>
            </w:tcBorders>
            <w:vMerge w:val="continue"/>
            <w:shd w:val="clear" w:color="auto" w:fill="BF5B5A"/>
          </w:tcPr>
          <w:p>
            <w:pPr>
              <w:spacing w:after="0"/>
              <w:rPr>
                <w:sz w:val="7"/>
                <w:szCs w:val="7"/>
                <w:color w:val="auto"/>
              </w:rPr>
            </w:pPr>
          </w:p>
        </w:tc>
        <w:tc>
          <w:tcPr>
            <w:tcW w:w="80" w:type="dxa"/>
            <w:vAlign w:val="bottom"/>
            <w:tcBorders>
              <w:bottom w:val="single" w:sz="8" w:color="BF5B5A"/>
            </w:tcBorders>
            <w:shd w:val="clear" w:color="auto" w:fill="BF5B5A"/>
          </w:tcPr>
          <w:p>
            <w:pPr>
              <w:spacing w:after="0"/>
              <w:rPr>
                <w:sz w:val="7"/>
                <w:szCs w:val="7"/>
                <w:color w:val="auto"/>
              </w:rPr>
            </w:pPr>
          </w:p>
        </w:tc>
        <w:tc>
          <w:tcPr>
            <w:tcW w:w="880" w:type="dxa"/>
            <w:vAlign w:val="bottom"/>
            <w:tcBorders>
              <w:bottom w:val="single" w:sz="8" w:color="BF5B5A"/>
            </w:tcBorders>
            <w:vMerge w:val="restart"/>
            <w:shd w:val="clear" w:color="auto" w:fill="BF5B5A"/>
          </w:tcPr>
          <w:p>
            <w:pPr>
              <w:jc w:val="center"/>
              <w:spacing w:after="0" w:line="122" w:lineRule="exact"/>
              <w:rPr>
                <w:sz w:val="20"/>
                <w:szCs w:val="20"/>
                <w:color w:val="auto"/>
              </w:rPr>
            </w:pPr>
            <w:r>
              <w:rPr>
                <w:rFonts w:ascii="Arial" w:cs="Arial" w:eastAsia="Arial" w:hAnsi="Arial"/>
                <w:sz w:val="13"/>
                <w:szCs w:val="13"/>
                <w:b w:val="1"/>
                <w:bCs w:val="1"/>
                <w:color w:val="FFFFFF"/>
                <w:w w:val="92"/>
              </w:rPr>
              <w:t>Compensation</w:t>
            </w:r>
          </w:p>
        </w:tc>
        <w:tc>
          <w:tcPr>
            <w:tcW w:w="200" w:type="dxa"/>
            <w:vAlign w:val="bottom"/>
            <w:tcBorders>
              <w:bottom w:val="single" w:sz="8" w:color="BF5B5A"/>
            </w:tcBorders>
            <w:shd w:val="clear" w:color="auto" w:fill="BF5B5A"/>
          </w:tcPr>
          <w:p>
            <w:pPr>
              <w:spacing w:after="0"/>
              <w:rPr>
                <w:sz w:val="7"/>
                <w:szCs w:val="7"/>
                <w:color w:val="auto"/>
              </w:rPr>
            </w:pPr>
          </w:p>
        </w:tc>
        <w:tc>
          <w:tcPr>
            <w:tcW w:w="880" w:type="dxa"/>
            <w:vAlign w:val="bottom"/>
            <w:tcBorders>
              <w:bottom w:val="single" w:sz="8" w:color="BF5B5A"/>
            </w:tcBorders>
            <w:vMerge w:val="restart"/>
            <w:shd w:val="clear" w:color="auto" w:fill="BF5B5A"/>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80" w:type="dxa"/>
            <w:vAlign w:val="bottom"/>
            <w:tcBorders>
              <w:bottom w:val="single" w:sz="8" w:color="BF5B5A"/>
            </w:tcBorders>
            <w:shd w:val="clear" w:color="auto" w:fill="BF5B5A"/>
          </w:tcPr>
          <w:p>
            <w:pPr>
              <w:spacing w:after="0"/>
              <w:rPr>
                <w:sz w:val="7"/>
                <w:szCs w:val="7"/>
                <w:color w:val="auto"/>
              </w:rPr>
            </w:pPr>
          </w:p>
        </w:tc>
        <w:tc>
          <w:tcPr>
            <w:tcW w:w="1020" w:type="dxa"/>
            <w:vAlign w:val="bottom"/>
            <w:tcBorders>
              <w:bottom w:val="single" w:sz="8" w:color="BF5B5A"/>
            </w:tcBorders>
            <w:vMerge w:val="restart"/>
            <w:shd w:val="clear" w:color="auto" w:fill="BF5B5A"/>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220" w:type="dxa"/>
            <w:vAlign w:val="bottom"/>
            <w:tcBorders>
              <w:bottom w:val="single" w:sz="8" w:color="BF5B5A"/>
            </w:tcBorders>
            <w:shd w:val="clear" w:color="auto" w:fill="BF5B5A"/>
          </w:tcPr>
          <w:p>
            <w:pPr>
              <w:spacing w:after="0"/>
              <w:rPr>
                <w:sz w:val="7"/>
                <w:szCs w:val="7"/>
                <w:color w:val="auto"/>
              </w:rPr>
            </w:pPr>
          </w:p>
        </w:tc>
        <w:tc>
          <w:tcPr>
            <w:tcW w:w="1240" w:type="dxa"/>
            <w:vAlign w:val="bottom"/>
            <w:tcBorders>
              <w:bottom w:val="single" w:sz="8" w:color="BF5B5A"/>
            </w:tcBorders>
            <w:vMerge w:val="restart"/>
            <w:shd w:val="clear" w:color="auto" w:fill="BF5B5A"/>
          </w:tcPr>
          <w:p>
            <w:pPr>
              <w:jc w:val="center"/>
              <w:spacing w:after="0" w:line="122" w:lineRule="exact"/>
              <w:rPr>
                <w:sz w:val="20"/>
                <w:szCs w:val="20"/>
                <w:color w:val="auto"/>
              </w:rPr>
            </w:pPr>
            <w:r>
              <w:rPr>
                <w:rFonts w:ascii="Arial" w:cs="Arial" w:eastAsia="Arial" w:hAnsi="Arial"/>
                <w:sz w:val="13"/>
                <w:szCs w:val="13"/>
                <w:b w:val="1"/>
                <w:bCs w:val="1"/>
                <w:color w:val="FFFFFF"/>
                <w:w w:val="95"/>
              </w:rPr>
              <w:t>Compensation</w:t>
            </w:r>
          </w:p>
        </w:tc>
        <w:tc>
          <w:tcPr>
            <w:tcW w:w="120" w:type="dxa"/>
            <w:vAlign w:val="bottom"/>
            <w:tcBorders>
              <w:bottom w:val="single" w:sz="8" w:color="BF5B5A"/>
            </w:tcBorders>
            <w:shd w:val="clear" w:color="auto" w:fill="BF5B5A"/>
          </w:tcPr>
          <w:p>
            <w:pPr>
              <w:spacing w:after="0"/>
              <w:rPr>
                <w:sz w:val="7"/>
                <w:szCs w:val="7"/>
                <w:color w:val="auto"/>
              </w:rPr>
            </w:pPr>
          </w:p>
        </w:tc>
        <w:tc>
          <w:tcPr>
            <w:tcW w:w="80" w:type="dxa"/>
            <w:vAlign w:val="bottom"/>
            <w:tcBorders>
              <w:bottom w:val="single" w:sz="8" w:color="7F7F7F"/>
            </w:tcBorders>
            <w:vMerge w:val="continue"/>
            <w:shd w:val="clear" w:color="auto" w:fill="BF5B5A"/>
          </w:tcPr>
          <w:p>
            <w:pPr>
              <w:spacing w:after="0"/>
              <w:rPr>
                <w:sz w:val="7"/>
                <w:szCs w:val="7"/>
                <w:color w:val="auto"/>
              </w:rPr>
            </w:pPr>
          </w:p>
        </w:tc>
        <w:tc>
          <w:tcPr>
            <w:tcW w:w="40" w:type="dxa"/>
            <w:vAlign w:val="bottom"/>
            <w:tcBorders>
              <w:bottom w:val="single" w:sz="8" w:color="7F7F7F"/>
            </w:tcBorders>
            <w:shd w:val="clear" w:color="auto" w:fill="BF5B5A"/>
          </w:tcPr>
          <w:p>
            <w:pPr>
              <w:spacing w:after="0"/>
              <w:rPr>
                <w:sz w:val="7"/>
                <w:szCs w:val="7"/>
                <w:color w:val="auto"/>
              </w:rPr>
            </w:pPr>
          </w:p>
        </w:tc>
        <w:tc>
          <w:tcPr>
            <w:tcW w:w="260" w:type="dxa"/>
            <w:vAlign w:val="bottom"/>
            <w:tcBorders>
              <w:bottom w:val="single" w:sz="8" w:color="7F7F7F"/>
            </w:tcBorders>
            <w:shd w:val="clear" w:color="auto" w:fill="BF5B5A"/>
          </w:tcPr>
          <w:p>
            <w:pPr>
              <w:spacing w:after="0"/>
              <w:rPr>
                <w:sz w:val="7"/>
                <w:szCs w:val="7"/>
                <w:color w:val="auto"/>
              </w:rPr>
            </w:pPr>
          </w:p>
        </w:tc>
        <w:tc>
          <w:tcPr>
            <w:tcW w:w="300" w:type="dxa"/>
            <w:vAlign w:val="bottom"/>
            <w:tcBorders>
              <w:bottom w:val="single" w:sz="8" w:color="7F7F7F"/>
            </w:tcBorders>
            <w:shd w:val="clear" w:color="auto" w:fill="BF5B5A"/>
          </w:tcPr>
          <w:p>
            <w:pPr>
              <w:spacing w:after="0"/>
              <w:rPr>
                <w:sz w:val="7"/>
                <w:szCs w:val="7"/>
                <w:color w:val="auto"/>
              </w:rPr>
            </w:pPr>
          </w:p>
        </w:tc>
        <w:tc>
          <w:tcPr>
            <w:tcW w:w="660" w:type="dxa"/>
            <w:vAlign w:val="bottom"/>
            <w:tcBorders>
              <w:bottom w:val="single" w:sz="8" w:color="7F7F7F"/>
            </w:tcBorders>
            <w:shd w:val="clear" w:color="auto" w:fill="BF5B5A"/>
          </w:tcPr>
          <w:p>
            <w:pPr>
              <w:spacing w:after="0"/>
              <w:rPr>
                <w:sz w:val="7"/>
                <w:szCs w:val="7"/>
                <w:color w:val="auto"/>
              </w:rPr>
            </w:pPr>
          </w:p>
        </w:tc>
        <w:tc>
          <w:tcPr>
            <w:tcW w:w="100" w:type="dxa"/>
            <w:vAlign w:val="bottom"/>
            <w:tcBorders>
              <w:bottom w:val="single" w:sz="8" w:color="7F7F7F"/>
            </w:tcBorders>
            <w:vMerge w:val="continue"/>
            <w:shd w:val="clear" w:color="auto" w:fill="BF5B5A"/>
          </w:tcPr>
          <w:p>
            <w:pPr>
              <w:spacing w:after="0"/>
              <w:rPr>
                <w:sz w:val="7"/>
                <w:szCs w:val="7"/>
                <w:color w:val="auto"/>
              </w:rPr>
            </w:pPr>
          </w:p>
        </w:tc>
        <w:tc>
          <w:tcPr>
            <w:tcW w:w="100" w:type="dxa"/>
            <w:vAlign w:val="bottom"/>
            <w:tcBorders>
              <w:bottom w:val="single" w:sz="8" w:color="BF5B5A"/>
            </w:tcBorders>
            <w:shd w:val="clear" w:color="auto" w:fill="BF5B5A"/>
          </w:tcPr>
          <w:p>
            <w:pPr>
              <w:spacing w:after="0"/>
              <w:rPr>
                <w:sz w:val="7"/>
                <w:szCs w:val="7"/>
                <w:color w:val="auto"/>
              </w:rPr>
            </w:pPr>
          </w:p>
        </w:tc>
        <w:tc>
          <w:tcPr>
            <w:tcW w:w="680" w:type="dxa"/>
            <w:vAlign w:val="bottom"/>
            <w:tcBorders>
              <w:bottom w:val="single" w:sz="8" w:color="BF5B5A"/>
            </w:tcBorders>
            <w:shd w:val="clear" w:color="auto" w:fill="BF5B5A"/>
          </w:tcPr>
          <w:p>
            <w:pPr>
              <w:spacing w:after="0"/>
              <w:rPr>
                <w:sz w:val="7"/>
                <w:szCs w:val="7"/>
                <w:color w:val="auto"/>
              </w:rPr>
            </w:pPr>
          </w:p>
        </w:tc>
        <w:tc>
          <w:tcPr>
            <w:tcW w:w="220" w:type="dxa"/>
            <w:vAlign w:val="bottom"/>
            <w:tcBorders>
              <w:bottom w:val="single" w:sz="8" w:color="BF5B5A"/>
            </w:tcBorders>
            <w:shd w:val="clear" w:color="auto" w:fill="BF5B5A"/>
          </w:tcPr>
          <w:p>
            <w:pPr>
              <w:spacing w:after="0"/>
              <w:rPr>
                <w:sz w:val="7"/>
                <w:szCs w:val="7"/>
                <w:color w:val="auto"/>
              </w:rPr>
            </w:pPr>
          </w:p>
        </w:tc>
        <w:tc>
          <w:tcPr>
            <w:tcW w:w="1060" w:type="dxa"/>
            <w:vAlign w:val="bottom"/>
            <w:tcBorders>
              <w:bottom w:val="single" w:sz="8" w:color="BF5B5A"/>
            </w:tcBorders>
            <w:vMerge w:val="restart"/>
            <w:shd w:val="clear" w:color="auto" w:fill="BF5B5A"/>
          </w:tcPr>
          <w:p>
            <w:pPr>
              <w:jc w:val="center"/>
              <w:spacing w:after="0" w:line="122" w:lineRule="exact"/>
              <w:rPr>
                <w:sz w:val="20"/>
                <w:szCs w:val="20"/>
                <w:color w:val="auto"/>
              </w:rPr>
            </w:pPr>
            <w:r>
              <w:rPr>
                <w:rFonts w:ascii="Arial" w:cs="Arial" w:eastAsia="Arial" w:hAnsi="Arial"/>
                <w:sz w:val="13"/>
                <w:szCs w:val="13"/>
                <w:b w:val="1"/>
                <w:bCs w:val="1"/>
                <w:color w:val="FFFFFF"/>
                <w:w w:val="95"/>
              </w:rPr>
              <w:t>Core Return on</w:t>
            </w:r>
          </w:p>
        </w:tc>
        <w:tc>
          <w:tcPr>
            <w:tcW w:w="160" w:type="dxa"/>
            <w:vAlign w:val="bottom"/>
            <w:tcBorders>
              <w:bottom w:val="single" w:sz="8" w:color="BF5B5A"/>
            </w:tcBorders>
            <w:shd w:val="clear" w:color="auto" w:fill="BF5B5A"/>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00" w:type="dxa"/>
            <w:vAlign w:val="bottom"/>
            <w:shd w:val="clear" w:color="auto" w:fill="BF5B5A"/>
          </w:tcPr>
          <w:p>
            <w:pPr>
              <w:spacing w:after="0" w:line="20" w:lineRule="exact"/>
              <w:rPr>
                <w:sz w:val="1"/>
                <w:szCs w:val="1"/>
                <w:color w:val="auto"/>
              </w:rPr>
            </w:pPr>
          </w:p>
        </w:tc>
        <w:tc>
          <w:tcPr>
            <w:tcW w:w="520" w:type="dxa"/>
            <w:vAlign w:val="bottom"/>
            <w:shd w:val="clear" w:color="auto" w:fill="BF5B5A"/>
          </w:tcPr>
          <w:p>
            <w:pPr>
              <w:spacing w:after="0" w:line="20" w:lineRule="exact"/>
              <w:rPr>
                <w:sz w:val="1"/>
                <w:szCs w:val="1"/>
                <w:color w:val="auto"/>
              </w:rPr>
            </w:pPr>
          </w:p>
        </w:tc>
        <w:tc>
          <w:tcPr>
            <w:tcW w:w="80" w:type="dxa"/>
            <w:vAlign w:val="bottom"/>
            <w:shd w:val="clear" w:color="auto" w:fill="BF5B5A"/>
          </w:tcPr>
          <w:p>
            <w:pPr>
              <w:spacing w:after="0" w:line="20" w:lineRule="exact"/>
              <w:rPr>
                <w:sz w:val="1"/>
                <w:szCs w:val="1"/>
                <w:color w:val="auto"/>
              </w:rPr>
            </w:pPr>
          </w:p>
        </w:tc>
        <w:tc>
          <w:tcPr>
            <w:tcW w:w="80" w:type="dxa"/>
            <w:vAlign w:val="bottom"/>
            <w:shd w:val="clear" w:color="auto" w:fill="BF5B5A"/>
          </w:tcPr>
          <w:p>
            <w:pPr>
              <w:spacing w:after="0" w:line="20" w:lineRule="exact"/>
              <w:rPr>
                <w:sz w:val="1"/>
                <w:szCs w:val="1"/>
                <w:color w:val="auto"/>
              </w:rPr>
            </w:pPr>
          </w:p>
        </w:tc>
        <w:tc>
          <w:tcPr>
            <w:tcW w:w="880" w:type="dxa"/>
            <w:vAlign w:val="bottom"/>
            <w:vMerge w:val="continue"/>
            <w:shd w:val="clear" w:color="auto" w:fill="BF5B5A"/>
          </w:tcPr>
          <w:p>
            <w:pPr>
              <w:spacing w:after="0" w:line="20" w:lineRule="exact"/>
              <w:rPr>
                <w:sz w:val="1"/>
                <w:szCs w:val="1"/>
                <w:color w:val="auto"/>
              </w:rPr>
            </w:pPr>
          </w:p>
        </w:tc>
        <w:tc>
          <w:tcPr>
            <w:tcW w:w="200" w:type="dxa"/>
            <w:vAlign w:val="bottom"/>
            <w:shd w:val="clear" w:color="auto" w:fill="BF5B5A"/>
          </w:tcPr>
          <w:p>
            <w:pPr>
              <w:spacing w:after="0" w:line="20" w:lineRule="exact"/>
              <w:rPr>
                <w:sz w:val="1"/>
                <w:szCs w:val="1"/>
                <w:color w:val="auto"/>
              </w:rPr>
            </w:pPr>
          </w:p>
        </w:tc>
        <w:tc>
          <w:tcPr>
            <w:tcW w:w="880" w:type="dxa"/>
            <w:vAlign w:val="bottom"/>
            <w:vMerge w:val="continue"/>
            <w:shd w:val="clear" w:color="auto" w:fill="BF5B5A"/>
          </w:tcPr>
          <w:p>
            <w:pPr>
              <w:spacing w:after="0" w:line="20" w:lineRule="exact"/>
              <w:rPr>
                <w:sz w:val="1"/>
                <w:szCs w:val="1"/>
                <w:color w:val="auto"/>
              </w:rPr>
            </w:pPr>
          </w:p>
        </w:tc>
        <w:tc>
          <w:tcPr>
            <w:tcW w:w="180" w:type="dxa"/>
            <w:vAlign w:val="bottom"/>
            <w:shd w:val="clear" w:color="auto" w:fill="BF5B5A"/>
          </w:tcPr>
          <w:p>
            <w:pPr>
              <w:spacing w:after="0" w:line="20" w:lineRule="exact"/>
              <w:rPr>
                <w:sz w:val="1"/>
                <w:szCs w:val="1"/>
                <w:color w:val="auto"/>
              </w:rPr>
            </w:pPr>
          </w:p>
        </w:tc>
        <w:tc>
          <w:tcPr>
            <w:tcW w:w="1020" w:type="dxa"/>
            <w:vAlign w:val="bottom"/>
            <w:vMerge w:val="continue"/>
            <w:shd w:val="clear" w:color="auto" w:fill="BF5B5A"/>
          </w:tcPr>
          <w:p>
            <w:pPr>
              <w:spacing w:after="0" w:line="20" w:lineRule="exact"/>
              <w:rPr>
                <w:sz w:val="1"/>
                <w:szCs w:val="1"/>
                <w:color w:val="auto"/>
              </w:rPr>
            </w:pPr>
          </w:p>
        </w:tc>
        <w:tc>
          <w:tcPr>
            <w:tcW w:w="220" w:type="dxa"/>
            <w:vAlign w:val="bottom"/>
            <w:shd w:val="clear" w:color="auto" w:fill="BF5B5A"/>
          </w:tcPr>
          <w:p>
            <w:pPr>
              <w:spacing w:after="0" w:line="20" w:lineRule="exact"/>
              <w:rPr>
                <w:sz w:val="1"/>
                <w:szCs w:val="1"/>
                <w:color w:val="auto"/>
              </w:rPr>
            </w:pPr>
          </w:p>
        </w:tc>
        <w:tc>
          <w:tcPr>
            <w:tcW w:w="1240" w:type="dxa"/>
            <w:vAlign w:val="bottom"/>
            <w:vMerge w:val="continue"/>
            <w:shd w:val="clear" w:color="auto" w:fill="BF5B5A"/>
          </w:tcPr>
          <w:p>
            <w:pPr>
              <w:spacing w:after="0" w:line="20" w:lineRule="exact"/>
              <w:rPr>
                <w:sz w:val="1"/>
                <w:szCs w:val="1"/>
                <w:color w:val="auto"/>
              </w:rPr>
            </w:pPr>
          </w:p>
        </w:tc>
        <w:tc>
          <w:tcPr>
            <w:tcW w:w="120" w:type="dxa"/>
            <w:vAlign w:val="bottom"/>
            <w:shd w:val="clear" w:color="auto" w:fill="BF5B5A"/>
          </w:tcPr>
          <w:p>
            <w:pPr>
              <w:spacing w:after="0" w:line="20" w:lineRule="exact"/>
              <w:rPr>
                <w:sz w:val="1"/>
                <w:szCs w:val="1"/>
                <w:color w:val="auto"/>
              </w:rPr>
            </w:pPr>
          </w:p>
        </w:tc>
        <w:tc>
          <w:tcPr>
            <w:tcW w:w="80" w:type="dxa"/>
            <w:vAlign w:val="bottom"/>
            <w:shd w:val="clear" w:color="auto" w:fill="BF5B5A"/>
          </w:tcPr>
          <w:p>
            <w:pPr>
              <w:spacing w:after="0" w:line="20" w:lineRule="exact"/>
              <w:rPr>
                <w:sz w:val="1"/>
                <w:szCs w:val="1"/>
                <w:color w:val="auto"/>
              </w:rPr>
            </w:pPr>
          </w:p>
        </w:tc>
        <w:tc>
          <w:tcPr>
            <w:tcW w:w="40" w:type="dxa"/>
            <w:vAlign w:val="bottom"/>
            <w:shd w:val="clear" w:color="auto" w:fill="BF5B5A"/>
          </w:tcPr>
          <w:p>
            <w:pPr>
              <w:spacing w:after="0" w:line="20" w:lineRule="exact"/>
              <w:rPr>
                <w:sz w:val="1"/>
                <w:szCs w:val="1"/>
                <w:color w:val="auto"/>
              </w:rPr>
            </w:pPr>
          </w:p>
        </w:tc>
        <w:tc>
          <w:tcPr>
            <w:tcW w:w="260" w:type="dxa"/>
            <w:vAlign w:val="bottom"/>
            <w:shd w:val="clear" w:color="auto" w:fill="BF5B5A"/>
          </w:tcPr>
          <w:p>
            <w:pPr>
              <w:spacing w:after="0" w:line="20" w:lineRule="exact"/>
              <w:rPr>
                <w:sz w:val="1"/>
                <w:szCs w:val="1"/>
                <w:color w:val="auto"/>
              </w:rPr>
            </w:pPr>
          </w:p>
        </w:tc>
        <w:tc>
          <w:tcPr>
            <w:tcW w:w="300" w:type="dxa"/>
            <w:vAlign w:val="bottom"/>
            <w:shd w:val="clear" w:color="auto" w:fill="BF5B5A"/>
          </w:tcPr>
          <w:p>
            <w:pPr>
              <w:spacing w:after="0" w:line="20" w:lineRule="exact"/>
              <w:rPr>
                <w:sz w:val="1"/>
                <w:szCs w:val="1"/>
                <w:color w:val="auto"/>
              </w:rPr>
            </w:pPr>
          </w:p>
        </w:tc>
        <w:tc>
          <w:tcPr>
            <w:tcW w:w="660" w:type="dxa"/>
            <w:vAlign w:val="bottom"/>
            <w:shd w:val="clear" w:color="auto" w:fill="BF5B5A"/>
          </w:tcPr>
          <w:p>
            <w:pPr>
              <w:spacing w:after="0" w:line="20" w:lineRule="exact"/>
              <w:rPr>
                <w:sz w:val="1"/>
                <w:szCs w:val="1"/>
                <w:color w:val="auto"/>
              </w:rPr>
            </w:pPr>
          </w:p>
        </w:tc>
        <w:tc>
          <w:tcPr>
            <w:tcW w:w="100" w:type="dxa"/>
            <w:vAlign w:val="bottom"/>
            <w:shd w:val="clear" w:color="auto" w:fill="BF5B5A"/>
          </w:tcPr>
          <w:p>
            <w:pPr>
              <w:spacing w:after="0" w:line="20" w:lineRule="exact"/>
              <w:rPr>
                <w:sz w:val="1"/>
                <w:szCs w:val="1"/>
                <w:color w:val="auto"/>
              </w:rPr>
            </w:pPr>
          </w:p>
        </w:tc>
        <w:tc>
          <w:tcPr>
            <w:tcW w:w="100" w:type="dxa"/>
            <w:vAlign w:val="bottom"/>
            <w:shd w:val="clear" w:color="auto" w:fill="BF5B5A"/>
          </w:tcPr>
          <w:p>
            <w:pPr>
              <w:spacing w:after="0" w:line="20" w:lineRule="exact"/>
              <w:rPr>
                <w:sz w:val="1"/>
                <w:szCs w:val="1"/>
                <w:color w:val="auto"/>
              </w:rPr>
            </w:pPr>
          </w:p>
        </w:tc>
        <w:tc>
          <w:tcPr>
            <w:tcW w:w="680" w:type="dxa"/>
            <w:vAlign w:val="bottom"/>
            <w:shd w:val="clear" w:color="auto" w:fill="BF5B5A"/>
          </w:tcPr>
          <w:p>
            <w:pPr>
              <w:spacing w:after="0" w:line="20" w:lineRule="exact"/>
              <w:rPr>
                <w:sz w:val="1"/>
                <w:szCs w:val="1"/>
                <w:color w:val="auto"/>
              </w:rPr>
            </w:pPr>
          </w:p>
        </w:tc>
        <w:tc>
          <w:tcPr>
            <w:tcW w:w="220" w:type="dxa"/>
            <w:vAlign w:val="bottom"/>
            <w:shd w:val="clear" w:color="auto" w:fill="BF5B5A"/>
          </w:tcPr>
          <w:p>
            <w:pPr>
              <w:spacing w:after="0" w:line="20" w:lineRule="exact"/>
              <w:rPr>
                <w:sz w:val="1"/>
                <w:szCs w:val="1"/>
                <w:color w:val="auto"/>
              </w:rPr>
            </w:pPr>
          </w:p>
        </w:tc>
        <w:tc>
          <w:tcPr>
            <w:tcW w:w="1060" w:type="dxa"/>
            <w:vAlign w:val="bottom"/>
            <w:vMerge w:val="continue"/>
            <w:shd w:val="clear" w:color="auto" w:fill="BF5B5A"/>
          </w:tcPr>
          <w:p>
            <w:pPr>
              <w:spacing w:after="0" w:line="20" w:lineRule="exact"/>
              <w:rPr>
                <w:sz w:val="1"/>
                <w:szCs w:val="1"/>
                <w:color w:val="auto"/>
              </w:rPr>
            </w:pPr>
          </w:p>
        </w:tc>
        <w:tc>
          <w:tcPr>
            <w:tcW w:w="160" w:type="dxa"/>
            <w:vAlign w:val="bottom"/>
            <w:shd w:val="clear" w:color="auto" w:fill="BF5B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0" w:type="dxa"/>
            <w:vAlign w:val="bottom"/>
            <w:shd w:val="clear" w:color="auto" w:fill="BF5B5A"/>
          </w:tcPr>
          <w:p>
            <w:pPr>
              <w:spacing w:after="0"/>
              <w:rPr>
                <w:sz w:val="12"/>
                <w:szCs w:val="12"/>
                <w:color w:val="auto"/>
              </w:rPr>
            </w:pPr>
          </w:p>
        </w:tc>
        <w:tc>
          <w:tcPr>
            <w:tcW w:w="5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88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3"/>
              </w:rPr>
              <w:t>Table Total</w:t>
            </w:r>
          </w:p>
        </w:tc>
        <w:tc>
          <w:tcPr>
            <w:tcW w:w="200" w:type="dxa"/>
            <w:vAlign w:val="bottom"/>
            <w:shd w:val="clear" w:color="auto" w:fill="BF5B5A"/>
          </w:tcPr>
          <w:p>
            <w:pPr>
              <w:spacing w:after="0"/>
              <w:rPr>
                <w:sz w:val="12"/>
                <w:szCs w:val="12"/>
                <w:color w:val="auto"/>
              </w:rPr>
            </w:pPr>
          </w:p>
        </w:tc>
        <w:tc>
          <w:tcPr>
            <w:tcW w:w="88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5"/>
              </w:rPr>
              <w:t>Actually Paid</w:t>
            </w:r>
          </w:p>
        </w:tc>
        <w:tc>
          <w:tcPr>
            <w:tcW w:w="180" w:type="dxa"/>
            <w:vAlign w:val="bottom"/>
            <w:shd w:val="clear" w:color="auto" w:fill="BF5B5A"/>
          </w:tcPr>
          <w:p>
            <w:pPr>
              <w:spacing w:after="0"/>
              <w:rPr>
                <w:sz w:val="12"/>
                <w:szCs w:val="12"/>
                <w:color w:val="auto"/>
              </w:rPr>
            </w:pPr>
          </w:p>
        </w:tc>
        <w:tc>
          <w:tcPr>
            <w:tcW w:w="102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1"/>
              </w:rPr>
              <w:t>Table Total for</w:t>
            </w:r>
          </w:p>
        </w:tc>
        <w:tc>
          <w:tcPr>
            <w:tcW w:w="220" w:type="dxa"/>
            <w:vAlign w:val="bottom"/>
            <w:shd w:val="clear" w:color="auto" w:fill="BF5B5A"/>
          </w:tcPr>
          <w:p>
            <w:pPr>
              <w:spacing w:after="0"/>
              <w:rPr>
                <w:sz w:val="12"/>
                <w:szCs w:val="12"/>
                <w:color w:val="auto"/>
              </w:rPr>
            </w:pPr>
          </w:p>
        </w:tc>
        <w:tc>
          <w:tcPr>
            <w:tcW w:w="124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2"/>
              </w:rPr>
              <w:t>Actually Paid to</w:t>
            </w: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40" w:type="dxa"/>
            <w:vAlign w:val="bottom"/>
            <w:shd w:val="clear" w:color="auto" w:fill="BF5B5A"/>
          </w:tcPr>
          <w:p>
            <w:pPr>
              <w:spacing w:after="0"/>
              <w:rPr>
                <w:sz w:val="12"/>
                <w:szCs w:val="12"/>
                <w:color w:val="auto"/>
              </w:rPr>
            </w:pPr>
          </w:p>
        </w:tc>
        <w:tc>
          <w:tcPr>
            <w:tcW w:w="260" w:type="dxa"/>
            <w:vAlign w:val="bottom"/>
            <w:shd w:val="clear" w:color="auto" w:fill="BF5B5A"/>
          </w:tcPr>
          <w:p>
            <w:pPr>
              <w:spacing w:after="0"/>
              <w:rPr>
                <w:sz w:val="12"/>
                <w:szCs w:val="12"/>
                <w:color w:val="auto"/>
              </w:rPr>
            </w:pPr>
          </w:p>
        </w:tc>
        <w:tc>
          <w:tcPr>
            <w:tcW w:w="300" w:type="dxa"/>
            <w:vAlign w:val="bottom"/>
            <w:shd w:val="clear" w:color="auto" w:fill="BF5B5A"/>
          </w:tcPr>
          <w:p>
            <w:pPr>
              <w:spacing w:after="0"/>
              <w:rPr>
                <w:sz w:val="12"/>
                <w:szCs w:val="12"/>
                <w:color w:val="auto"/>
              </w:rPr>
            </w:pPr>
          </w:p>
        </w:tc>
        <w:tc>
          <w:tcPr>
            <w:tcW w:w="66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2"/>
              </w:rPr>
              <w:t>Peer</w:t>
            </w: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680" w:type="dxa"/>
            <w:vAlign w:val="bottom"/>
            <w:shd w:val="clear" w:color="auto" w:fill="BF5B5A"/>
          </w:tcPr>
          <w:p>
            <w:pPr>
              <w:spacing w:after="0"/>
              <w:rPr>
                <w:sz w:val="12"/>
                <w:szCs w:val="12"/>
                <w:color w:val="auto"/>
              </w:rPr>
            </w:pPr>
          </w:p>
        </w:tc>
        <w:tc>
          <w:tcPr>
            <w:tcW w:w="220" w:type="dxa"/>
            <w:vAlign w:val="bottom"/>
            <w:shd w:val="clear" w:color="auto" w:fill="BF5B5A"/>
          </w:tcPr>
          <w:p>
            <w:pPr>
              <w:spacing w:after="0"/>
              <w:rPr>
                <w:sz w:val="12"/>
                <w:szCs w:val="12"/>
                <w:color w:val="auto"/>
              </w:rPr>
            </w:pPr>
          </w:p>
        </w:tc>
        <w:tc>
          <w:tcPr>
            <w:tcW w:w="1060" w:type="dxa"/>
            <w:vAlign w:val="bottom"/>
            <w:shd w:val="clear" w:color="auto" w:fill="BF5B5A"/>
          </w:tcPr>
          <w:p>
            <w:pPr>
              <w:jc w:val="center"/>
              <w:spacing w:after="0" w:line="143" w:lineRule="exact"/>
              <w:rPr>
                <w:sz w:val="20"/>
                <w:szCs w:val="20"/>
                <w:color w:val="auto"/>
              </w:rPr>
            </w:pPr>
            <w:r>
              <w:rPr>
                <w:rFonts w:ascii="Arial" w:cs="Arial" w:eastAsia="Arial" w:hAnsi="Arial"/>
                <w:sz w:val="13"/>
                <w:szCs w:val="13"/>
                <w:b w:val="1"/>
                <w:bCs w:val="1"/>
                <w:color w:val="FFFFFF"/>
                <w:w w:val="92"/>
              </w:rPr>
              <w:t>Average Tangible</w:t>
            </w:r>
          </w:p>
        </w:tc>
        <w:tc>
          <w:tcPr>
            <w:tcW w:w="16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0" w:type="dxa"/>
            <w:vAlign w:val="bottom"/>
            <w:shd w:val="clear" w:color="auto" w:fill="BF5B5A"/>
          </w:tcPr>
          <w:p>
            <w:pPr>
              <w:spacing w:after="0"/>
              <w:rPr>
                <w:sz w:val="13"/>
                <w:szCs w:val="13"/>
                <w:color w:val="auto"/>
              </w:rPr>
            </w:pPr>
          </w:p>
        </w:tc>
        <w:tc>
          <w:tcPr>
            <w:tcW w:w="5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880" w:type="dxa"/>
            <w:vAlign w:val="bottom"/>
            <w:shd w:val="clear" w:color="auto" w:fill="BF5B5A"/>
          </w:tcPr>
          <w:p>
            <w:pPr>
              <w:jc w:val="center"/>
              <w:spacing w:after="0" w:line="150" w:lineRule="exact"/>
              <w:rPr>
                <w:sz w:val="20"/>
                <w:szCs w:val="20"/>
                <w:color w:val="auto"/>
              </w:rPr>
            </w:pPr>
            <w:r>
              <w:rPr>
                <w:rFonts w:ascii="Arial" w:cs="Arial" w:eastAsia="Arial" w:hAnsi="Arial"/>
                <w:sz w:val="13"/>
                <w:szCs w:val="13"/>
                <w:b w:val="1"/>
                <w:bCs w:val="1"/>
                <w:color w:val="FFFFFF"/>
                <w:w w:val="90"/>
              </w:rPr>
              <w:t>for CEO</w:t>
            </w:r>
            <w:r>
              <w:rPr>
                <w:rFonts w:ascii="Arial" w:cs="Arial" w:eastAsia="Arial" w:hAnsi="Arial"/>
                <w:sz w:val="16"/>
                <w:szCs w:val="16"/>
                <w:b w:val="1"/>
                <w:bCs w:val="1"/>
                <w:color w:val="FFFFFF"/>
                <w:w w:val="90"/>
                <w:vertAlign w:val="superscript"/>
              </w:rPr>
              <w:t>(1)</w:t>
            </w:r>
          </w:p>
        </w:tc>
        <w:tc>
          <w:tcPr>
            <w:tcW w:w="200" w:type="dxa"/>
            <w:vAlign w:val="bottom"/>
            <w:shd w:val="clear" w:color="auto" w:fill="BF5B5A"/>
          </w:tcPr>
          <w:p>
            <w:pPr>
              <w:spacing w:after="0"/>
              <w:rPr>
                <w:sz w:val="13"/>
                <w:szCs w:val="13"/>
                <w:color w:val="auto"/>
              </w:rPr>
            </w:pPr>
          </w:p>
        </w:tc>
        <w:tc>
          <w:tcPr>
            <w:tcW w:w="880" w:type="dxa"/>
            <w:vAlign w:val="bottom"/>
            <w:shd w:val="clear" w:color="auto" w:fill="BF5B5A"/>
          </w:tcPr>
          <w:p>
            <w:pPr>
              <w:jc w:val="center"/>
              <w:spacing w:after="0" w:line="150" w:lineRule="exact"/>
              <w:rPr>
                <w:sz w:val="20"/>
                <w:szCs w:val="20"/>
                <w:color w:val="auto"/>
              </w:rPr>
            </w:pPr>
            <w:r>
              <w:rPr>
                <w:rFonts w:ascii="Arial" w:cs="Arial" w:eastAsia="Arial" w:hAnsi="Arial"/>
                <w:sz w:val="17"/>
                <w:szCs w:val="17"/>
                <w:b w:val="1"/>
                <w:bCs w:val="1"/>
                <w:color w:val="FFFFFF"/>
                <w:vertAlign w:val="subscript"/>
              </w:rPr>
              <w:t>to CEO</w:t>
            </w:r>
            <w:r>
              <w:rPr>
                <w:rFonts w:ascii="Arial" w:cs="Arial" w:eastAsia="Arial" w:hAnsi="Arial"/>
                <w:sz w:val="7"/>
                <w:szCs w:val="7"/>
                <w:b w:val="1"/>
                <w:bCs w:val="1"/>
                <w:color w:val="FFFFFF"/>
              </w:rPr>
              <w:t>(1)(2)(3)</w:t>
            </w:r>
          </w:p>
        </w:tc>
        <w:tc>
          <w:tcPr>
            <w:tcW w:w="180" w:type="dxa"/>
            <w:vAlign w:val="bottom"/>
            <w:shd w:val="clear" w:color="auto" w:fill="BF5B5A"/>
          </w:tcPr>
          <w:p>
            <w:pPr>
              <w:spacing w:after="0"/>
              <w:rPr>
                <w:sz w:val="13"/>
                <w:szCs w:val="13"/>
                <w:color w:val="auto"/>
              </w:rPr>
            </w:pPr>
          </w:p>
        </w:tc>
        <w:tc>
          <w:tcPr>
            <w:tcW w:w="1020" w:type="dxa"/>
            <w:vAlign w:val="bottom"/>
            <w:shd w:val="clear" w:color="auto" w:fill="BF5B5A"/>
          </w:tcPr>
          <w:p>
            <w:pPr>
              <w:jc w:val="center"/>
              <w:spacing w:after="0" w:line="150" w:lineRule="exact"/>
              <w:rPr>
                <w:sz w:val="20"/>
                <w:szCs w:val="20"/>
                <w:color w:val="auto"/>
              </w:rPr>
            </w:pPr>
            <w:r>
              <w:rPr>
                <w:rFonts w:ascii="Arial" w:cs="Arial" w:eastAsia="Arial" w:hAnsi="Arial"/>
                <w:sz w:val="13"/>
                <w:szCs w:val="13"/>
                <w:b w:val="1"/>
                <w:bCs w:val="1"/>
                <w:color w:val="FFFFFF"/>
                <w:w w:val="92"/>
              </w:rPr>
              <w:t>Non-CEO NEOs</w:t>
            </w:r>
            <w:r>
              <w:rPr>
                <w:rFonts w:ascii="Arial" w:cs="Arial" w:eastAsia="Arial" w:hAnsi="Arial"/>
                <w:sz w:val="16"/>
                <w:szCs w:val="16"/>
                <w:b w:val="1"/>
                <w:bCs w:val="1"/>
                <w:color w:val="FFFFFF"/>
                <w:w w:val="92"/>
                <w:vertAlign w:val="superscript"/>
              </w:rPr>
              <w:t>(1)</w:t>
            </w:r>
          </w:p>
        </w:tc>
        <w:tc>
          <w:tcPr>
            <w:tcW w:w="220" w:type="dxa"/>
            <w:vAlign w:val="bottom"/>
            <w:shd w:val="clear" w:color="auto" w:fill="BF5B5A"/>
          </w:tcPr>
          <w:p>
            <w:pPr>
              <w:spacing w:after="0"/>
              <w:rPr>
                <w:sz w:val="13"/>
                <w:szCs w:val="13"/>
                <w:color w:val="auto"/>
              </w:rPr>
            </w:pPr>
          </w:p>
        </w:tc>
        <w:tc>
          <w:tcPr>
            <w:tcW w:w="1240" w:type="dxa"/>
            <w:vAlign w:val="bottom"/>
            <w:shd w:val="clear" w:color="auto" w:fill="BF5B5A"/>
          </w:tcPr>
          <w:p>
            <w:pPr>
              <w:jc w:val="center"/>
              <w:spacing w:after="0" w:line="150" w:lineRule="exact"/>
              <w:rPr>
                <w:sz w:val="20"/>
                <w:szCs w:val="20"/>
                <w:color w:val="auto"/>
              </w:rPr>
            </w:pPr>
            <w:r>
              <w:rPr>
                <w:rFonts w:ascii="Arial" w:cs="Arial" w:eastAsia="Arial" w:hAnsi="Arial"/>
                <w:sz w:val="13"/>
                <w:szCs w:val="13"/>
                <w:b w:val="1"/>
                <w:bCs w:val="1"/>
                <w:color w:val="FFFFFF"/>
                <w:w w:val="86"/>
              </w:rPr>
              <w:t>Non-CEO NEOs</w:t>
            </w:r>
            <w:r>
              <w:rPr>
                <w:rFonts w:ascii="Arial" w:cs="Arial" w:eastAsia="Arial" w:hAnsi="Arial"/>
                <w:sz w:val="16"/>
                <w:szCs w:val="16"/>
                <w:b w:val="1"/>
                <w:bCs w:val="1"/>
                <w:color w:val="FFFFFF"/>
                <w:w w:val="86"/>
                <w:vertAlign w:val="superscript"/>
              </w:rPr>
              <w:t>(1)(2)(3)</w:t>
            </w:r>
          </w:p>
        </w:tc>
        <w:tc>
          <w:tcPr>
            <w:tcW w:w="1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40" w:type="dxa"/>
            <w:vAlign w:val="bottom"/>
            <w:shd w:val="clear" w:color="auto" w:fill="BF5B5A"/>
          </w:tcPr>
          <w:p>
            <w:pPr>
              <w:spacing w:after="0"/>
              <w:rPr>
                <w:sz w:val="13"/>
                <w:szCs w:val="13"/>
                <w:color w:val="auto"/>
              </w:rPr>
            </w:pPr>
          </w:p>
        </w:tc>
        <w:tc>
          <w:tcPr>
            <w:tcW w:w="560" w:type="dxa"/>
            <w:vAlign w:val="bottom"/>
            <w:gridSpan w:val="2"/>
            <w:shd w:val="clear" w:color="auto" w:fill="BF5B5A"/>
          </w:tcPr>
          <w:p>
            <w:pPr>
              <w:jc w:val="center"/>
              <w:ind w:right="177"/>
              <w:spacing w:after="0"/>
              <w:rPr>
                <w:sz w:val="20"/>
                <w:szCs w:val="20"/>
                <w:color w:val="auto"/>
              </w:rPr>
            </w:pPr>
            <w:r>
              <w:rPr>
                <w:rFonts w:ascii="Arial" w:cs="Arial" w:eastAsia="Arial" w:hAnsi="Arial"/>
                <w:sz w:val="13"/>
                <w:szCs w:val="13"/>
                <w:b w:val="1"/>
                <w:bCs w:val="1"/>
                <w:color w:val="FFFFFF"/>
                <w:w w:val="92"/>
              </w:rPr>
              <w:t>TSR</w:t>
            </w:r>
          </w:p>
        </w:tc>
        <w:tc>
          <w:tcPr>
            <w:tcW w:w="6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6"/>
              </w:rPr>
              <w:t>Group TSR</w:t>
            </w: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68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w w:val="88"/>
              </w:rPr>
              <w:t>Net Income</w:t>
            </w:r>
          </w:p>
        </w:tc>
        <w:tc>
          <w:tcPr>
            <w:tcW w:w="220" w:type="dxa"/>
            <w:vAlign w:val="bottom"/>
            <w:shd w:val="clear" w:color="auto" w:fill="BF5B5A"/>
          </w:tcPr>
          <w:p>
            <w:pPr>
              <w:spacing w:after="0"/>
              <w:rPr>
                <w:sz w:val="13"/>
                <w:szCs w:val="13"/>
                <w:color w:val="auto"/>
              </w:rPr>
            </w:pPr>
          </w:p>
        </w:tc>
        <w:tc>
          <w:tcPr>
            <w:tcW w:w="10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3"/>
              </w:rPr>
              <w:t>Stockholders’</w:t>
            </w:r>
          </w:p>
        </w:tc>
        <w:tc>
          <w:tcPr>
            <w:tcW w:w="16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BF5B5A"/>
          </w:tcPr>
          <w:p>
            <w:pPr>
              <w:ind w:left="60"/>
              <w:spacing w:after="0"/>
              <w:rPr>
                <w:sz w:val="20"/>
                <w:szCs w:val="20"/>
                <w:color w:val="auto"/>
              </w:rPr>
            </w:pPr>
            <w:r>
              <w:rPr>
                <w:rFonts w:ascii="Arial" w:cs="Arial" w:eastAsia="Arial" w:hAnsi="Arial"/>
                <w:sz w:val="13"/>
                <w:szCs w:val="13"/>
                <w:b w:val="1"/>
                <w:bCs w:val="1"/>
                <w:color w:val="FFFFFF"/>
              </w:rPr>
              <w:t>​</w:t>
            </w:r>
          </w:p>
        </w:tc>
        <w:tc>
          <w:tcPr>
            <w:tcW w:w="520" w:type="dxa"/>
            <w:vAlign w:val="bottom"/>
            <w:shd w:val="clear" w:color="auto" w:fill="BF5B5A"/>
          </w:tcPr>
          <w:p>
            <w:pPr>
              <w:spacing w:after="0"/>
              <w:rPr>
                <w:sz w:val="20"/>
                <w:szCs w:val="20"/>
                <w:color w:val="auto"/>
              </w:rPr>
            </w:pPr>
            <w:r>
              <w:rPr>
                <w:rFonts w:ascii="Arial" w:cs="Arial" w:eastAsia="Arial" w:hAnsi="Arial"/>
                <w:sz w:val="13"/>
                <w:szCs w:val="13"/>
                <w:b w:val="1"/>
                <w:bCs w:val="1"/>
                <w:color w:val="FFFFFF"/>
              </w:rPr>
              <w:t>Year</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BF5B5A"/>
          </w:tcPr>
          <w:p>
            <w:pPr>
              <w:jc w:val="right"/>
              <w:ind w:right="276"/>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88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1020" w:type="dxa"/>
            <w:vAlign w:val="bottom"/>
            <w:shd w:val="clear" w:color="auto" w:fill="BF5B5A"/>
          </w:tcPr>
          <w:p>
            <w:pPr>
              <w:jc w:val="right"/>
              <w:ind w:right="356"/>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1240" w:type="dxa"/>
            <w:vAlign w:val="bottom"/>
            <w:shd w:val="clear" w:color="auto" w:fill="BF5B5A"/>
          </w:tcPr>
          <w:p>
            <w:pPr>
              <w:jc w:val="right"/>
              <w:ind w:right="476"/>
              <w:spacing w:after="0"/>
              <w:rPr>
                <w:sz w:val="20"/>
                <w:szCs w:val="20"/>
                <w:color w:val="auto"/>
              </w:rPr>
            </w:pPr>
            <w:r>
              <w:rPr>
                <w:rFonts w:ascii="Arial" w:cs="Arial" w:eastAsia="Arial" w:hAnsi="Arial"/>
                <w:sz w:val="13"/>
                <w:szCs w:val="13"/>
                <w:b w:val="1"/>
                <w:bCs w:val="1"/>
                <w:color w:val="FFFFFF"/>
              </w:rPr>
              <w:t>($)</w:t>
            </w:r>
          </w:p>
        </w:tc>
        <w:tc>
          <w:tcPr>
            <w:tcW w:w="200" w:type="dxa"/>
            <w:vAlign w:val="bottom"/>
            <w:gridSpan w:val="2"/>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40" w:type="dxa"/>
            <w:vAlign w:val="bottom"/>
            <w:shd w:val="clear" w:color="auto" w:fill="BF5B5A"/>
          </w:tcPr>
          <w:p>
            <w:pPr>
              <w:spacing w:after="0"/>
              <w:rPr>
                <w:sz w:val="16"/>
                <w:szCs w:val="16"/>
                <w:color w:val="auto"/>
              </w:rPr>
            </w:pPr>
          </w:p>
        </w:tc>
        <w:tc>
          <w:tcPr>
            <w:tcW w:w="260" w:type="dxa"/>
            <w:vAlign w:val="bottom"/>
            <w:shd w:val="clear" w:color="auto" w:fill="BF5B5A"/>
          </w:tcPr>
          <w:p>
            <w:pPr>
              <w:jc w:val="center"/>
              <w:ind w:left="36"/>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660" w:type="dxa"/>
            <w:vAlign w:val="bottom"/>
            <w:shd w:val="clear" w:color="auto" w:fill="BF5B5A"/>
          </w:tcPr>
          <w:p>
            <w:pPr>
              <w:jc w:val="right"/>
              <w:ind w:right="175"/>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ind w:left="60"/>
              <w:spacing w:after="0"/>
              <w:rPr>
                <w:sz w:val="20"/>
                <w:szCs w:val="20"/>
                <w:color w:val="auto"/>
              </w:rPr>
            </w:pPr>
            <w:r>
              <w:rPr>
                <w:rFonts w:ascii="Arial" w:cs="Arial" w:eastAsia="Arial" w:hAnsi="Arial"/>
                <w:sz w:val="13"/>
                <w:szCs w:val="13"/>
                <w:b w:val="1"/>
                <w:bCs w:val="1"/>
                <w:color w:val="FFFFFF"/>
              </w:rPr>
              <w:t>​</w:t>
            </w:r>
          </w:p>
        </w:tc>
        <w:tc>
          <w:tcPr>
            <w:tcW w:w="780" w:type="dxa"/>
            <w:vAlign w:val="bottom"/>
            <w:gridSpan w:val="2"/>
            <w:shd w:val="clear" w:color="auto" w:fill="BF5B5A"/>
          </w:tcPr>
          <w:p>
            <w:pPr>
              <w:jc w:val="right"/>
              <w:spacing w:after="0" w:line="193"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 Millions)</w:t>
            </w:r>
          </w:p>
        </w:tc>
        <w:tc>
          <w:tcPr>
            <w:tcW w:w="2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10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1"/>
              </w:rPr>
              <w:t>Equity (%)</w:t>
            </w:r>
            <w:r>
              <w:rPr>
                <w:rFonts w:ascii="Arial" w:cs="Arial" w:eastAsia="Arial" w:hAnsi="Arial"/>
                <w:sz w:val="16"/>
                <w:szCs w:val="16"/>
                <w:b w:val="1"/>
                <w:bCs w:val="1"/>
                <w:color w:val="FFFFFF"/>
                <w:w w:val="91"/>
                <w:vertAlign w:val="superscript"/>
              </w:rPr>
              <w:t>(5)</w:t>
            </w:r>
          </w:p>
        </w:tc>
        <w:tc>
          <w:tcPr>
            <w:tcW w:w="1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30"/>
        </w:trPr>
        <w:tc>
          <w:tcPr>
            <w:tcW w:w="620" w:type="dxa"/>
            <w:vAlign w:val="bottom"/>
            <w:tcBorders>
              <w:bottom w:val="single" w:sz="8" w:color="7F7F7F"/>
            </w:tcBorders>
            <w:gridSpan w:val="2"/>
          </w:tcPr>
          <w:p>
            <w:pPr>
              <w:ind w:left="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(a)</w:t>
            </w:r>
          </w:p>
        </w:tc>
        <w:tc>
          <w:tcPr>
            <w:tcW w:w="160" w:type="dxa"/>
            <w:vAlign w:val="bottom"/>
            <w:tcBorders>
              <w:bottom w:val="single" w:sz="8" w:color="7F7F7F"/>
            </w:tcBorders>
            <w:gridSpan w:val="2"/>
          </w:tcPr>
          <w:p>
            <w:pPr>
              <w:ind w:left="40"/>
              <w:spacing w:after="0"/>
              <w:rPr>
                <w:sz w:val="20"/>
                <w:szCs w:val="20"/>
                <w:color w:val="auto"/>
              </w:rPr>
            </w:pPr>
            <w:r>
              <w:rPr>
                <w:rFonts w:ascii="Arial" w:cs="Arial" w:eastAsia="Arial" w:hAnsi="Arial"/>
                <w:sz w:val="13"/>
                <w:szCs w:val="13"/>
                <w:color w:val="auto"/>
              </w:rPr>
              <w:t>​ ​</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(b)</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(c)</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(d)</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(e)</w:t>
            </w:r>
          </w:p>
        </w:tc>
        <w:tc>
          <w:tcPr>
            <w:tcW w:w="240" w:type="dxa"/>
            <w:vAlign w:val="bottom"/>
            <w:tcBorders>
              <w:bottom w:val="single" w:sz="8" w:color="7F7F7F"/>
            </w:tcBorders>
            <w:gridSpan w:val="3"/>
          </w:tcPr>
          <w:p>
            <w:pPr>
              <w:jc w:val="right"/>
              <w:ind w:right="40"/>
              <w:spacing w:after="0"/>
              <w:rPr>
                <w:sz w:val="20"/>
                <w:szCs w:val="20"/>
                <w:color w:val="auto"/>
              </w:rPr>
            </w:pPr>
            <w:r>
              <w:rPr>
                <w:rFonts w:ascii="Arial" w:cs="Arial" w:eastAsia="Arial" w:hAnsi="Arial"/>
                <w:sz w:val="13"/>
                <w:szCs w:val="13"/>
                <w:color w:val="auto"/>
              </w:rPr>
              <w:t>​ ​</w:t>
            </w:r>
          </w:p>
        </w:tc>
        <w:tc>
          <w:tcPr>
            <w:tcW w:w="260" w:type="dxa"/>
            <w:vAlign w:val="bottom"/>
            <w:tcBorders>
              <w:bottom w:val="single" w:sz="8" w:color="7F7F7F"/>
            </w:tcBorders>
          </w:tcPr>
          <w:p>
            <w:pPr>
              <w:jc w:val="center"/>
              <w:ind w:left="36"/>
              <w:spacing w:after="0"/>
              <w:rPr>
                <w:sz w:val="20"/>
                <w:szCs w:val="20"/>
                <w:color w:val="auto"/>
              </w:rPr>
            </w:pPr>
            <w:r>
              <w:rPr>
                <w:rFonts w:ascii="Arial" w:cs="Arial" w:eastAsia="Arial" w:hAnsi="Arial"/>
                <w:sz w:val="13"/>
                <w:szCs w:val="13"/>
                <w:color w:val="auto"/>
                <w:w w:val="97"/>
              </w:rPr>
              <w:t>(f)</w:t>
            </w:r>
          </w:p>
        </w:tc>
        <w:tc>
          <w:tcPr>
            <w:tcW w:w="30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(g)</w:t>
            </w:r>
          </w:p>
        </w:tc>
        <w:tc>
          <w:tcPr>
            <w:tcW w:w="200" w:type="dxa"/>
            <w:vAlign w:val="bottom"/>
            <w:tcBorders>
              <w:bottom w:val="single" w:sz="8" w:color="7F7F7F"/>
            </w:tcBorders>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(h)</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 ​</w:t>
            </w:r>
          </w:p>
        </w:tc>
        <w:tc>
          <w:tcPr>
            <w:tcW w:w="1060" w:type="dxa"/>
            <w:vAlign w:val="bottom"/>
            <w:tcBorders>
              <w:bottom w:val="single" w:sz="8" w:color="7F7F7F"/>
            </w:tcBorders>
          </w:tcPr>
          <w:p>
            <w:pPr>
              <w:jc w:val="center"/>
              <w:spacing w:after="0"/>
              <w:rPr>
                <w:sz w:val="20"/>
                <w:szCs w:val="20"/>
                <w:color w:val="auto"/>
              </w:rPr>
            </w:pPr>
            <w:r>
              <w:rPr>
                <w:rFonts w:ascii="Arial" w:cs="Arial" w:eastAsia="Arial" w:hAnsi="Arial"/>
                <w:sz w:val="13"/>
                <w:szCs w:val="13"/>
                <w:color w:val="auto"/>
              </w:rPr>
              <w:t>(i)</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620" w:type="dxa"/>
            <w:vAlign w:val="bottom"/>
            <w:tcBorders>
              <w:bottom w:val="single" w:sz="8" w:color="7F7F7F"/>
            </w:tcBorders>
            <w:gridSpan w:val="2"/>
          </w:tcPr>
          <w:p>
            <w:pPr>
              <w:ind w:left="6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2023</w:t>
            </w:r>
          </w:p>
        </w:tc>
        <w:tc>
          <w:tcPr>
            <w:tcW w:w="160" w:type="dxa"/>
            <w:vAlign w:val="bottom"/>
            <w:tcBorders>
              <w:bottom w:val="single" w:sz="8" w:color="7F7F7F"/>
            </w:tcBorders>
            <w:gridSpan w:val="2"/>
          </w:tcPr>
          <w:p>
            <w:pPr>
              <w:ind w:left="40"/>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​5,366,855</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​3,454,911</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2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​1,522,774</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24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​1,402,194</w:t>
            </w:r>
          </w:p>
        </w:tc>
        <w:tc>
          <w:tcPr>
            <w:tcW w:w="800" w:type="dxa"/>
            <w:vAlign w:val="bottom"/>
            <w:tcBorders>
              <w:bottom w:val="single" w:sz="8" w:color="7F7F7F"/>
            </w:tcBorders>
            <w:gridSpan w:val="5"/>
          </w:tcPr>
          <w:p>
            <w:pPr>
              <w:jc w:val="right"/>
              <w:spacing w:after="0" w:line="223" w:lineRule="exact"/>
              <w:rPr>
                <w:sz w:val="20"/>
                <w:szCs w:val="20"/>
                <w:color w:val="auto"/>
              </w:rPr>
            </w:pPr>
            <w:r>
              <w:rPr>
                <w:rFonts w:ascii="Arial" w:cs="Arial" w:eastAsia="Arial" w:hAnsi="Arial"/>
                <w:sz w:val="13"/>
                <w:szCs w:val="13"/>
                <w:b w:val="1"/>
                <w:bCs w:val="1"/>
                <w:color w:val="auto"/>
              </w:rPr>
              <w:t>​​ ​​</w:t>
            </w:r>
            <w:r>
              <w:rPr>
                <w:rFonts w:ascii="Arial" w:cs="Arial" w:eastAsia="Arial" w:hAnsi="Arial"/>
                <w:sz w:val="25"/>
                <w:szCs w:val="25"/>
                <w:b w:val="1"/>
                <w:bCs w:val="1"/>
                <w:color w:val="auto"/>
                <w:vertAlign w:val="superscript"/>
              </w:rPr>
              <w:t>​ 95.04</w:t>
            </w:r>
            <w:r>
              <w:rPr>
                <w:rFonts w:ascii="Arial" w:cs="Arial" w:eastAsia="Arial" w:hAnsi="Arial"/>
                <w:sz w:val="13"/>
                <w:szCs w:val="13"/>
                <w:b w:val="1"/>
                <w:bCs w:val="1"/>
                <w:color w:val="auto"/>
              </w:rPr>
              <w:t>​​ ​</w:t>
            </w:r>
          </w:p>
        </w:tc>
        <w:tc>
          <w:tcPr>
            <w:tcW w:w="6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​115.64</w:t>
            </w:r>
          </w:p>
        </w:tc>
        <w:tc>
          <w:tcPr>
            <w:tcW w:w="200" w:type="dxa"/>
            <w:vAlign w:val="bottom"/>
            <w:tcBorders>
              <w:bottom w:val="single" w:sz="8" w:color="7F7F7F"/>
            </w:tcBorders>
            <w:gridSpan w:val="2"/>
          </w:tcPr>
          <w:p>
            <w:pPr>
              <w:jc w:val="right"/>
              <w:spacing w:after="0"/>
              <w:rPr>
                <w:sz w:val="20"/>
                <w:szCs w:val="20"/>
                <w:color w:val="auto"/>
              </w:rPr>
            </w:pPr>
            <w:r>
              <w:rPr>
                <w:rFonts w:ascii="Arial" w:cs="Arial" w:eastAsia="Arial" w:hAnsi="Arial"/>
                <w:sz w:val="13"/>
                <w:szCs w:val="13"/>
                <w:b w:val="1"/>
                <w:bCs w:val="1"/>
                <w:color w:val="auto"/>
              </w:rPr>
              <w:t>​​ ​</w:t>
            </w:r>
          </w:p>
        </w:tc>
        <w:tc>
          <w:tcPr>
            <w:tcW w:w="6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​235</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​18.4</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223"/>
        </w:trPr>
        <w:tc>
          <w:tcPr>
            <w:tcW w:w="620" w:type="dxa"/>
            <w:vAlign w:val="bottom"/>
            <w:tcBorders>
              <w:bottom w:val="single" w:sz="8" w:color="7F7F7F"/>
            </w:tcBorders>
            <w:gridSpan w:val="2"/>
          </w:tcPr>
          <w:p>
            <w:pPr>
              <w:ind w:left="6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2022</w:t>
            </w:r>
          </w:p>
        </w:tc>
        <w:tc>
          <w:tcPr>
            <w:tcW w:w="160" w:type="dxa"/>
            <w:vAlign w:val="bottom"/>
            <w:tcBorders>
              <w:bottom w:val="single" w:sz="8" w:color="7F7F7F"/>
            </w:tcBorders>
            <w:gridSpan w:val="2"/>
          </w:tcPr>
          <w:p>
            <w:pPr>
              <w:ind w:left="40"/>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​4,551,135</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​5,768,293</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2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​1,272,234</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24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​1,029,347</w:t>
            </w:r>
          </w:p>
        </w:tc>
        <w:tc>
          <w:tcPr>
            <w:tcW w:w="800" w:type="dxa"/>
            <w:vAlign w:val="bottom"/>
            <w:tcBorders>
              <w:bottom w:val="single" w:sz="8" w:color="7F7F7F"/>
            </w:tcBorders>
            <w:gridSpan w:val="5"/>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​102.79</w:t>
            </w:r>
            <w:r>
              <w:rPr>
                <w:rFonts w:ascii="Arial" w:cs="Arial" w:eastAsia="Arial" w:hAnsi="Arial"/>
                <w:sz w:val="25"/>
                <w:szCs w:val="25"/>
                <w:b w:val="1"/>
                <w:bCs w:val="1"/>
                <w:color w:val="auto"/>
                <w:vertAlign w:val="subscript"/>
              </w:rPr>
              <w:t>​​ ​</w:t>
            </w:r>
          </w:p>
        </w:tc>
        <w:tc>
          <w:tcPr>
            <w:tcW w:w="6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​116.10</w:t>
            </w:r>
          </w:p>
        </w:tc>
        <w:tc>
          <w:tcPr>
            <w:tcW w:w="200" w:type="dxa"/>
            <w:vAlign w:val="bottom"/>
            <w:tcBorders>
              <w:bottom w:val="single" w:sz="8" w:color="7F7F7F"/>
            </w:tcBorders>
            <w:gridSpan w:val="2"/>
          </w:tcPr>
          <w:p>
            <w:pPr>
              <w:jc w:val="right"/>
              <w:spacing w:after="0"/>
              <w:rPr>
                <w:sz w:val="20"/>
                <w:szCs w:val="20"/>
                <w:color w:val="auto"/>
              </w:rPr>
            </w:pPr>
            <w:r>
              <w:rPr>
                <w:rFonts w:ascii="Arial" w:cs="Arial" w:eastAsia="Arial" w:hAnsi="Arial"/>
                <w:sz w:val="13"/>
                <w:szCs w:val="13"/>
                <w:b w:val="1"/>
                <w:bCs w:val="1"/>
                <w:color w:val="auto"/>
              </w:rPr>
              <w:t>​​ ​</w:t>
            </w:r>
          </w:p>
        </w:tc>
        <w:tc>
          <w:tcPr>
            <w:tcW w:w="6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​266</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​20.2</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223"/>
        </w:trPr>
        <w:tc>
          <w:tcPr>
            <w:tcW w:w="620" w:type="dxa"/>
            <w:vAlign w:val="bottom"/>
            <w:tcBorders>
              <w:bottom w:val="single" w:sz="8" w:color="7F7F7F"/>
            </w:tcBorders>
            <w:gridSpan w:val="2"/>
          </w:tcPr>
          <w:p>
            <w:pPr>
              <w:ind w:left="6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2021</w:t>
            </w:r>
          </w:p>
        </w:tc>
        <w:tc>
          <w:tcPr>
            <w:tcW w:w="160" w:type="dxa"/>
            <w:vAlign w:val="bottom"/>
            <w:tcBorders>
              <w:bottom w:val="single" w:sz="8" w:color="7F7F7F"/>
            </w:tcBorders>
            <w:gridSpan w:val="2"/>
          </w:tcPr>
          <w:p>
            <w:pPr>
              <w:ind w:left="40"/>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​4,427,813</w:t>
            </w:r>
          </w:p>
        </w:tc>
        <w:tc>
          <w:tcPr>
            <w:tcW w:w="20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​4,769,225</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2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​1,354,207</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24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​1,430,129</w:t>
            </w:r>
          </w:p>
        </w:tc>
        <w:tc>
          <w:tcPr>
            <w:tcW w:w="800" w:type="dxa"/>
            <w:vAlign w:val="bottom"/>
            <w:tcBorders>
              <w:bottom w:val="single" w:sz="8" w:color="7F7F7F"/>
            </w:tcBorders>
            <w:gridSpan w:val="5"/>
          </w:tcPr>
          <w:p>
            <w:pPr>
              <w:jc w:val="right"/>
              <w:spacing w:after="0" w:line="223" w:lineRule="exact"/>
              <w:rPr>
                <w:sz w:val="20"/>
                <w:szCs w:val="20"/>
                <w:color w:val="auto"/>
              </w:rPr>
            </w:pPr>
            <w:r>
              <w:rPr>
                <w:rFonts w:ascii="Arial" w:cs="Arial" w:eastAsia="Arial" w:hAnsi="Arial"/>
                <w:sz w:val="13"/>
                <w:szCs w:val="13"/>
                <w:b w:val="1"/>
                <w:bCs w:val="1"/>
                <w:color w:val="auto"/>
              </w:rPr>
              <w:t>​​ ​​</w:t>
            </w:r>
            <w:r>
              <w:rPr>
                <w:rFonts w:ascii="Arial" w:cs="Arial" w:eastAsia="Arial" w:hAnsi="Arial"/>
                <w:sz w:val="25"/>
                <w:szCs w:val="25"/>
                <w:b w:val="1"/>
                <w:bCs w:val="1"/>
                <w:color w:val="auto"/>
                <w:vertAlign w:val="superscript"/>
              </w:rPr>
              <w:t>​103.73</w:t>
            </w:r>
            <w:r>
              <w:rPr>
                <w:rFonts w:ascii="Arial" w:cs="Arial" w:eastAsia="Arial" w:hAnsi="Arial"/>
                <w:sz w:val="13"/>
                <w:szCs w:val="13"/>
                <w:b w:val="1"/>
                <w:bCs w:val="1"/>
                <w:color w:val="auto"/>
              </w:rPr>
              <w:t>​​ ​</w:t>
            </w:r>
          </w:p>
        </w:tc>
        <w:tc>
          <w:tcPr>
            <w:tcW w:w="6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​124.74</w:t>
            </w:r>
          </w:p>
        </w:tc>
        <w:tc>
          <w:tcPr>
            <w:tcW w:w="200" w:type="dxa"/>
            <w:vAlign w:val="bottom"/>
            <w:tcBorders>
              <w:bottom w:val="single" w:sz="8" w:color="7F7F7F"/>
            </w:tcBorders>
            <w:gridSpan w:val="2"/>
          </w:tcPr>
          <w:p>
            <w:pPr>
              <w:jc w:val="right"/>
              <w:spacing w:after="0"/>
              <w:rPr>
                <w:sz w:val="20"/>
                <w:szCs w:val="20"/>
                <w:color w:val="auto"/>
              </w:rPr>
            </w:pPr>
            <w:r>
              <w:rPr>
                <w:rFonts w:ascii="Arial" w:cs="Arial" w:eastAsia="Arial" w:hAnsi="Arial"/>
                <w:sz w:val="13"/>
                <w:szCs w:val="13"/>
                <w:b w:val="1"/>
                <w:bCs w:val="1"/>
                <w:color w:val="auto"/>
              </w:rPr>
              <w:t>​​ ​</w:t>
            </w:r>
          </w:p>
        </w:tc>
        <w:tc>
          <w:tcPr>
            <w:tcW w:w="68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​266</w:t>
            </w:r>
          </w:p>
        </w:tc>
        <w:tc>
          <w:tcPr>
            <w:tcW w:w="22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1060" w:type="dxa"/>
            <w:vAlign w:val="bottom"/>
            <w:tcBorders>
              <w:bottom w:val="single" w:sz="8" w:color="7F7F7F"/>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​16.3</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r>
        <w:trPr>
          <w:trHeight w:val="223"/>
        </w:trPr>
        <w:tc>
          <w:tcPr>
            <w:tcW w:w="620" w:type="dxa"/>
            <w:vAlign w:val="bottom"/>
            <w:tcBorders>
              <w:bottom w:val="single" w:sz="8" w:color="BF5B5A"/>
            </w:tcBorders>
            <w:gridSpan w:val="2"/>
          </w:tcPr>
          <w:p>
            <w:pPr>
              <w:ind w:left="6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2020</w:t>
            </w:r>
          </w:p>
        </w:tc>
        <w:tc>
          <w:tcPr>
            <w:tcW w:w="160" w:type="dxa"/>
            <w:vAlign w:val="bottom"/>
            <w:tcBorders>
              <w:bottom w:val="single" w:sz="8" w:color="BF5B5A"/>
            </w:tcBorders>
            <w:gridSpan w:val="2"/>
          </w:tcPr>
          <w:p>
            <w:pPr>
              <w:ind w:left="40"/>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​5,651,505</w:t>
            </w:r>
          </w:p>
        </w:tc>
        <w:tc>
          <w:tcPr>
            <w:tcW w:w="200" w:type="dxa"/>
            <w:vAlign w:val="bottom"/>
            <w:tcBorders>
              <w:bottom w:val="single" w:sz="8" w:color="BF5B5A"/>
            </w:tcBorders>
          </w:tcPr>
          <w:p>
            <w:pPr>
              <w:jc w:val="right"/>
              <w:spacing w:after="0"/>
              <w:rPr>
                <w:sz w:val="20"/>
                <w:szCs w:val="20"/>
                <w:color w:val="auto"/>
              </w:rPr>
            </w:pPr>
            <w:r>
              <w:rPr>
                <w:rFonts w:ascii="Arial" w:cs="Arial" w:eastAsia="Arial" w:hAnsi="Arial"/>
                <w:sz w:val="13"/>
                <w:szCs w:val="13"/>
                <w:b w:val="1"/>
                <w:bCs w:val="1"/>
                <w:color w:val="auto"/>
              </w:rPr>
              <w:t>​​ ​</w:t>
            </w:r>
          </w:p>
        </w:tc>
        <w:tc>
          <w:tcPr>
            <w:tcW w:w="88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​2,819,314</w:t>
            </w:r>
          </w:p>
        </w:tc>
        <w:tc>
          <w:tcPr>
            <w:tcW w:w="180" w:type="dxa"/>
            <w:vAlign w:val="bottom"/>
            <w:tcBorders>
              <w:bottom w:val="single" w:sz="8" w:color="BF5B5A"/>
            </w:tcBorders>
          </w:tcPr>
          <w:p>
            <w:pPr>
              <w:jc w:val="right"/>
              <w:spacing w:after="0"/>
              <w:rPr>
                <w:sz w:val="20"/>
                <w:szCs w:val="20"/>
                <w:color w:val="auto"/>
              </w:rPr>
            </w:pPr>
            <w:r>
              <w:rPr>
                <w:rFonts w:ascii="Arial" w:cs="Arial" w:eastAsia="Arial" w:hAnsi="Arial"/>
                <w:sz w:val="13"/>
                <w:szCs w:val="13"/>
                <w:b w:val="1"/>
                <w:bCs w:val="1"/>
                <w:color w:val="auto"/>
              </w:rPr>
              <w:t>​​ ​</w:t>
            </w:r>
          </w:p>
        </w:tc>
        <w:tc>
          <w:tcPr>
            <w:tcW w:w="102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​1,181,879</w:t>
            </w:r>
          </w:p>
        </w:tc>
        <w:tc>
          <w:tcPr>
            <w:tcW w:w="220" w:type="dxa"/>
            <w:vAlign w:val="bottom"/>
            <w:tcBorders>
              <w:bottom w:val="single" w:sz="8" w:color="BF5B5A"/>
            </w:tcBorders>
          </w:tcPr>
          <w:p>
            <w:pPr>
              <w:jc w:val="right"/>
              <w:spacing w:after="0"/>
              <w:rPr>
                <w:sz w:val="20"/>
                <w:szCs w:val="20"/>
                <w:color w:val="auto"/>
              </w:rPr>
            </w:pPr>
            <w:r>
              <w:rPr>
                <w:rFonts w:ascii="Arial" w:cs="Arial" w:eastAsia="Arial" w:hAnsi="Arial"/>
                <w:sz w:val="13"/>
                <w:szCs w:val="13"/>
                <w:b w:val="1"/>
                <w:bCs w:val="1"/>
                <w:color w:val="auto"/>
              </w:rPr>
              <w:t>​​ ​</w:t>
            </w:r>
          </w:p>
        </w:tc>
        <w:tc>
          <w:tcPr>
            <w:tcW w:w="124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922,849</w:t>
            </w:r>
          </w:p>
        </w:tc>
        <w:tc>
          <w:tcPr>
            <w:tcW w:w="800" w:type="dxa"/>
            <w:vAlign w:val="bottom"/>
            <w:tcBorders>
              <w:bottom w:val="single" w:sz="8" w:color="BF5B5A"/>
            </w:tcBorders>
            <w:gridSpan w:val="5"/>
          </w:tcPr>
          <w:p>
            <w:pPr>
              <w:jc w:val="right"/>
              <w:spacing w:after="0" w:line="223" w:lineRule="exact"/>
              <w:rPr>
                <w:sz w:val="20"/>
                <w:szCs w:val="20"/>
                <w:color w:val="auto"/>
              </w:rPr>
            </w:pPr>
            <w:r>
              <w:rPr>
                <w:rFonts w:ascii="Arial" w:cs="Arial" w:eastAsia="Arial" w:hAnsi="Arial"/>
                <w:sz w:val="13"/>
                <w:szCs w:val="13"/>
                <w:b w:val="1"/>
                <w:bCs w:val="1"/>
                <w:color w:val="auto"/>
              </w:rPr>
              <w:t>​​ ​​</w:t>
            </w:r>
            <w:r>
              <w:rPr>
                <w:rFonts w:ascii="Arial" w:cs="Arial" w:eastAsia="Arial" w:hAnsi="Arial"/>
                <w:sz w:val="25"/>
                <w:szCs w:val="25"/>
                <w:b w:val="1"/>
                <w:bCs w:val="1"/>
                <w:color w:val="auto"/>
                <w:vertAlign w:val="superscript"/>
              </w:rPr>
              <w:t>​ 86.21</w:t>
            </w:r>
            <w:r>
              <w:rPr>
                <w:rFonts w:ascii="Arial" w:cs="Arial" w:eastAsia="Arial" w:hAnsi="Arial"/>
                <w:sz w:val="13"/>
                <w:szCs w:val="13"/>
                <w:b w:val="1"/>
                <w:bCs w:val="1"/>
                <w:color w:val="auto"/>
              </w:rPr>
              <w:t>​​ ​</w:t>
            </w:r>
          </w:p>
        </w:tc>
        <w:tc>
          <w:tcPr>
            <w:tcW w:w="66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91.29</w:t>
            </w:r>
          </w:p>
        </w:tc>
        <w:tc>
          <w:tcPr>
            <w:tcW w:w="200" w:type="dxa"/>
            <w:vAlign w:val="bottom"/>
            <w:tcBorders>
              <w:bottom w:val="single" w:sz="8" w:color="BF5B5A"/>
            </w:tcBorders>
            <w:gridSpan w:val="2"/>
          </w:tcPr>
          <w:p>
            <w:pPr>
              <w:jc w:val="right"/>
              <w:spacing w:after="0"/>
              <w:rPr>
                <w:sz w:val="20"/>
                <w:szCs w:val="20"/>
                <w:color w:val="auto"/>
              </w:rPr>
            </w:pPr>
            <w:r>
              <w:rPr>
                <w:rFonts w:ascii="Arial" w:cs="Arial" w:eastAsia="Arial" w:hAnsi="Arial"/>
                <w:sz w:val="13"/>
                <w:szCs w:val="13"/>
                <w:b w:val="1"/>
                <w:bCs w:val="1"/>
                <w:color w:val="auto"/>
              </w:rPr>
              <w:t>​​ ​</w:t>
            </w:r>
          </w:p>
        </w:tc>
        <w:tc>
          <w:tcPr>
            <w:tcW w:w="68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​186</w:t>
            </w:r>
          </w:p>
        </w:tc>
        <w:tc>
          <w:tcPr>
            <w:tcW w:w="220" w:type="dxa"/>
            <w:vAlign w:val="bottom"/>
            <w:tcBorders>
              <w:bottom w:val="single" w:sz="8" w:color="BF5B5A"/>
            </w:tcBorders>
          </w:tcPr>
          <w:p>
            <w:pPr>
              <w:jc w:val="right"/>
              <w:spacing w:after="0"/>
              <w:rPr>
                <w:sz w:val="20"/>
                <w:szCs w:val="20"/>
                <w:color w:val="auto"/>
              </w:rPr>
            </w:pPr>
            <w:r>
              <w:rPr>
                <w:rFonts w:ascii="Arial" w:cs="Arial" w:eastAsia="Arial" w:hAnsi="Arial"/>
                <w:sz w:val="13"/>
                <w:szCs w:val="13"/>
                <w:b w:val="1"/>
                <w:bCs w:val="1"/>
                <w:color w:val="auto"/>
              </w:rPr>
              <w:t>​​ ​</w:t>
            </w:r>
          </w:p>
        </w:tc>
        <w:tc>
          <w:tcPr>
            <w:tcW w:w="1060" w:type="dxa"/>
            <w:vAlign w:val="bottom"/>
            <w:tcBorders>
              <w:bottom w:val="single" w:sz="8" w:color="BF5B5A"/>
            </w:tcBorders>
          </w:tcPr>
          <w:p>
            <w:pPr>
              <w:jc w:val="center"/>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​11.1</w:t>
            </w:r>
          </w:p>
        </w:tc>
        <w:tc>
          <w:tcPr>
            <w:tcW w:w="160" w:type="dxa"/>
            <w:vAlign w:val="bottom"/>
            <w:tcBorders>
              <w:bottom w:val="single" w:sz="8" w:color="BF5B5A"/>
            </w:tcBorders>
          </w:tcPr>
          <w:p>
            <w:pPr>
              <w:jc w:val="right"/>
              <w:spacing w:after="0"/>
              <w:rPr>
                <w:sz w:val="20"/>
                <w:szCs w:val="20"/>
                <w:color w:val="auto"/>
              </w:rPr>
            </w:pPr>
            <w:r>
              <w:rPr>
                <w:rFonts w:ascii="Arial" w:cs="Arial" w:eastAsia="Arial" w:hAnsi="Arial"/>
                <w:sz w:val="13"/>
                <w:szCs w:val="13"/>
                <w:b w:val="1"/>
                <w:bCs w:val="1"/>
                <w:color w:val="auto"/>
              </w:rPr>
              <w:t>​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40" w:right="320" w:hanging="360"/>
        <w:spacing w:after="0" w:line="321" w:lineRule="auto"/>
        <w:tabs>
          <w:tab w:leader="none" w:pos="11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Robert S. Harrison was our CEO for each year presented. The individuals comprising the Non-CEO NEOs for each year presented are listed below.</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270"/>
        </w:trPr>
        <w:tc>
          <w:tcPr>
            <w:tcW w:w="200" w:type="dxa"/>
            <w:vAlign w:val="bottom"/>
            <w:shd w:val="clear" w:color="auto" w:fill="BF5B5A"/>
          </w:tcPr>
          <w:p>
            <w:pPr>
              <w:ind w:left="40"/>
              <w:spacing w:after="0"/>
              <w:rPr>
                <w:sz w:val="20"/>
                <w:szCs w:val="20"/>
                <w:color w:val="auto"/>
              </w:rPr>
            </w:pPr>
            <w:r>
              <w:rPr>
                <w:rFonts w:ascii="Arial" w:cs="Arial" w:eastAsia="Arial" w:hAnsi="Arial"/>
                <w:sz w:val="17"/>
                <w:szCs w:val="17"/>
                <w:b w:val="1"/>
                <w:bCs w:val="1"/>
                <w:color w:val="FFFFFF"/>
              </w:rPr>
              <w:t>​</w:t>
            </w:r>
          </w:p>
        </w:tc>
        <w:tc>
          <w:tcPr>
            <w:tcW w:w="1680" w:type="dxa"/>
            <w:vAlign w:val="bottom"/>
            <w:shd w:val="clear" w:color="auto" w:fill="BF5B5A"/>
          </w:tcPr>
          <w:p>
            <w:pPr>
              <w:jc w:val="center"/>
              <w:spacing w:after="0"/>
              <w:rPr>
                <w:sz w:val="20"/>
                <w:szCs w:val="20"/>
                <w:color w:val="auto"/>
              </w:rPr>
            </w:pPr>
            <w:r>
              <w:rPr>
                <w:rFonts w:ascii="Arial" w:cs="Arial" w:eastAsia="Arial" w:hAnsi="Arial"/>
                <w:sz w:val="17"/>
                <w:szCs w:val="17"/>
                <w:b w:val="1"/>
                <w:bCs w:val="1"/>
                <w:color w:val="FFFFFF"/>
                <w:w w:val="95"/>
              </w:rPr>
              <w:t>2020</w:t>
            </w:r>
          </w:p>
        </w:tc>
        <w:tc>
          <w:tcPr>
            <w:tcW w:w="220" w:type="dxa"/>
            <w:vAlign w:val="bottom"/>
            <w:tcBorders>
              <w:right w:val="single" w:sz="8" w:color="F2F2F2"/>
            </w:tcBorders>
            <w:shd w:val="clear" w:color="auto" w:fill="BF5B5A"/>
          </w:tcPr>
          <w:p>
            <w:pPr>
              <w:ind w:left="140"/>
              <w:spacing w:after="0"/>
              <w:rPr>
                <w:sz w:val="20"/>
                <w:szCs w:val="20"/>
                <w:color w:val="auto"/>
              </w:rPr>
            </w:pPr>
            <w:r>
              <w:rPr>
                <w:rFonts w:ascii="Arial" w:cs="Arial" w:eastAsia="Arial" w:hAnsi="Arial"/>
                <w:sz w:val="17"/>
                <w:szCs w:val="17"/>
                <w:b w:val="1"/>
                <w:bCs w:val="1"/>
                <w:color w:val="FFFFFF"/>
              </w:rPr>
              <w:t>​</w:t>
            </w:r>
          </w:p>
        </w:tc>
        <w:tc>
          <w:tcPr>
            <w:tcW w:w="180" w:type="dxa"/>
            <w:vAlign w:val="bottom"/>
            <w:shd w:val="clear" w:color="auto" w:fill="BF5B5A"/>
          </w:tcPr>
          <w:p>
            <w:pPr>
              <w:ind w:left="40"/>
              <w:spacing w:after="0"/>
              <w:rPr>
                <w:sz w:val="20"/>
                <w:szCs w:val="20"/>
                <w:color w:val="auto"/>
              </w:rPr>
            </w:pPr>
            <w:r>
              <w:rPr>
                <w:rFonts w:ascii="Arial" w:cs="Arial" w:eastAsia="Arial" w:hAnsi="Arial"/>
                <w:sz w:val="17"/>
                <w:szCs w:val="17"/>
                <w:b w:val="1"/>
                <w:bCs w:val="1"/>
                <w:color w:val="FFFFFF"/>
              </w:rPr>
              <w:t>​</w:t>
            </w:r>
          </w:p>
        </w:tc>
        <w:tc>
          <w:tcPr>
            <w:tcW w:w="1740" w:type="dxa"/>
            <w:vAlign w:val="bottom"/>
            <w:shd w:val="clear" w:color="auto" w:fill="BF5B5A"/>
          </w:tcPr>
          <w:p>
            <w:pPr>
              <w:jc w:val="center"/>
              <w:spacing w:after="0"/>
              <w:rPr>
                <w:sz w:val="20"/>
                <w:szCs w:val="20"/>
                <w:color w:val="auto"/>
              </w:rPr>
            </w:pPr>
            <w:r>
              <w:rPr>
                <w:rFonts w:ascii="Arial" w:cs="Arial" w:eastAsia="Arial" w:hAnsi="Arial"/>
                <w:sz w:val="17"/>
                <w:szCs w:val="17"/>
                <w:b w:val="1"/>
                <w:bCs w:val="1"/>
                <w:color w:val="FFFFFF"/>
                <w:w w:val="95"/>
              </w:rPr>
              <w:t>2021</w:t>
            </w:r>
          </w:p>
        </w:tc>
        <w:tc>
          <w:tcPr>
            <w:tcW w:w="200" w:type="dxa"/>
            <w:vAlign w:val="bottom"/>
            <w:tcBorders>
              <w:right w:val="single" w:sz="8" w:color="F2F2F2"/>
            </w:tcBorders>
            <w:shd w:val="clear" w:color="auto" w:fill="BF5B5A"/>
          </w:tcPr>
          <w:p>
            <w:pPr>
              <w:ind w:left="120"/>
              <w:spacing w:after="0"/>
              <w:rPr>
                <w:sz w:val="20"/>
                <w:szCs w:val="20"/>
                <w:color w:val="auto"/>
              </w:rPr>
            </w:pPr>
            <w:r>
              <w:rPr>
                <w:rFonts w:ascii="Arial" w:cs="Arial" w:eastAsia="Arial" w:hAnsi="Arial"/>
                <w:sz w:val="17"/>
                <w:szCs w:val="17"/>
                <w:b w:val="1"/>
                <w:bCs w:val="1"/>
                <w:color w:val="FFFFFF"/>
              </w:rPr>
              <w:t>​</w:t>
            </w:r>
          </w:p>
        </w:tc>
        <w:tc>
          <w:tcPr>
            <w:tcW w:w="200" w:type="dxa"/>
            <w:vAlign w:val="bottom"/>
            <w:shd w:val="clear" w:color="auto" w:fill="BF5B5A"/>
          </w:tcPr>
          <w:p>
            <w:pPr>
              <w:ind w:left="40"/>
              <w:spacing w:after="0"/>
              <w:rPr>
                <w:sz w:val="20"/>
                <w:szCs w:val="20"/>
                <w:color w:val="auto"/>
              </w:rPr>
            </w:pPr>
            <w:r>
              <w:rPr>
                <w:rFonts w:ascii="Arial" w:cs="Arial" w:eastAsia="Arial" w:hAnsi="Arial"/>
                <w:sz w:val="17"/>
                <w:szCs w:val="17"/>
                <w:b w:val="1"/>
                <w:bCs w:val="1"/>
                <w:color w:val="FFFFFF"/>
              </w:rPr>
              <w:t>​</w:t>
            </w:r>
          </w:p>
        </w:tc>
        <w:tc>
          <w:tcPr>
            <w:tcW w:w="1720" w:type="dxa"/>
            <w:vAlign w:val="bottom"/>
            <w:shd w:val="clear" w:color="auto" w:fill="BF5B5A"/>
          </w:tcPr>
          <w:p>
            <w:pPr>
              <w:jc w:val="center"/>
              <w:spacing w:after="0"/>
              <w:rPr>
                <w:sz w:val="20"/>
                <w:szCs w:val="20"/>
                <w:color w:val="auto"/>
              </w:rPr>
            </w:pPr>
            <w:r>
              <w:rPr>
                <w:rFonts w:ascii="Arial" w:cs="Arial" w:eastAsia="Arial" w:hAnsi="Arial"/>
                <w:sz w:val="17"/>
                <w:szCs w:val="17"/>
                <w:b w:val="1"/>
                <w:bCs w:val="1"/>
                <w:color w:val="FFFFFF"/>
                <w:w w:val="95"/>
              </w:rPr>
              <w:t>2022</w:t>
            </w:r>
          </w:p>
        </w:tc>
        <w:tc>
          <w:tcPr>
            <w:tcW w:w="200" w:type="dxa"/>
            <w:vAlign w:val="bottom"/>
            <w:tcBorders>
              <w:right w:val="single" w:sz="8" w:color="F2F2F2"/>
            </w:tcBorders>
            <w:shd w:val="clear" w:color="auto" w:fill="BF5B5A"/>
          </w:tcPr>
          <w:p>
            <w:pPr>
              <w:ind w:left="140"/>
              <w:spacing w:after="0"/>
              <w:rPr>
                <w:sz w:val="20"/>
                <w:szCs w:val="20"/>
                <w:color w:val="auto"/>
              </w:rPr>
            </w:pPr>
            <w:r>
              <w:rPr>
                <w:rFonts w:ascii="Arial" w:cs="Arial" w:eastAsia="Arial" w:hAnsi="Arial"/>
                <w:sz w:val="17"/>
                <w:szCs w:val="17"/>
                <w:b w:val="1"/>
                <w:bCs w:val="1"/>
                <w:color w:val="FFFFFF"/>
              </w:rPr>
              <w:t>​</w:t>
            </w:r>
          </w:p>
        </w:tc>
        <w:tc>
          <w:tcPr>
            <w:tcW w:w="200" w:type="dxa"/>
            <w:vAlign w:val="bottom"/>
            <w:shd w:val="clear" w:color="auto" w:fill="BF5B5A"/>
          </w:tcPr>
          <w:p>
            <w:pPr>
              <w:ind w:left="60"/>
              <w:spacing w:after="0"/>
              <w:rPr>
                <w:sz w:val="20"/>
                <w:szCs w:val="20"/>
                <w:color w:val="auto"/>
              </w:rPr>
            </w:pPr>
            <w:r>
              <w:rPr>
                <w:rFonts w:ascii="Arial" w:cs="Arial" w:eastAsia="Arial" w:hAnsi="Arial"/>
                <w:sz w:val="17"/>
                <w:szCs w:val="17"/>
                <w:b w:val="1"/>
                <w:bCs w:val="1"/>
                <w:color w:val="FFFFFF"/>
              </w:rPr>
              <w:t>​</w:t>
            </w:r>
          </w:p>
        </w:tc>
        <w:tc>
          <w:tcPr>
            <w:tcW w:w="1720" w:type="dxa"/>
            <w:vAlign w:val="bottom"/>
            <w:shd w:val="clear" w:color="auto" w:fill="BF5B5A"/>
          </w:tcPr>
          <w:p>
            <w:pPr>
              <w:jc w:val="center"/>
              <w:spacing w:after="0"/>
              <w:rPr>
                <w:sz w:val="20"/>
                <w:szCs w:val="20"/>
                <w:color w:val="auto"/>
              </w:rPr>
            </w:pPr>
            <w:r>
              <w:rPr>
                <w:rFonts w:ascii="Arial" w:cs="Arial" w:eastAsia="Arial" w:hAnsi="Arial"/>
                <w:sz w:val="17"/>
                <w:szCs w:val="17"/>
                <w:b w:val="1"/>
                <w:bCs w:val="1"/>
                <w:color w:val="FFFFFF"/>
                <w:w w:val="95"/>
              </w:rPr>
              <w:t>2023</w:t>
            </w:r>
          </w:p>
        </w:tc>
        <w:tc>
          <w:tcPr>
            <w:tcW w:w="180" w:type="dxa"/>
            <w:vAlign w:val="bottom"/>
            <w:shd w:val="clear" w:color="auto" w:fill="BF5B5A"/>
          </w:tcPr>
          <w:p>
            <w:pPr>
              <w:ind w:left="140"/>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189"/>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Alan H. Arizumi</w:t>
            </w:r>
          </w:p>
        </w:tc>
        <w:tc>
          <w:tcPr>
            <w:tcW w:w="22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Alan H. Arizumi</w:t>
            </w:r>
          </w:p>
        </w:tc>
        <w:tc>
          <w:tcPr>
            <w:tcW w:w="200" w:type="dxa"/>
            <w:vAlign w:val="bottom"/>
            <w:tcBorders>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Alan H. Arizumi</w:t>
            </w:r>
          </w:p>
        </w:tc>
        <w:tc>
          <w:tcPr>
            <w:tcW w:w="20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Alan H. Arizumi</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200" w:type="dxa"/>
            <w:vAlign w:val="bottom"/>
            <w:tcBorders>
              <w:bottom w:val="single" w:sz="8" w:color="7F7F7F"/>
            </w:tcBorders>
          </w:tcPr>
          <w:p>
            <w:pPr>
              <w:spacing w:after="0"/>
              <w:rPr>
                <w:sz w:val="5"/>
                <w:szCs w:val="5"/>
                <w:color w:val="auto"/>
              </w:rPr>
            </w:pPr>
          </w:p>
        </w:tc>
        <w:tc>
          <w:tcPr>
            <w:tcW w:w="1680" w:type="dxa"/>
            <w:vAlign w:val="bottom"/>
            <w:tcBorders>
              <w:bottom w:val="single" w:sz="8" w:color="7F7F7F"/>
            </w:tcBorders>
            <w:vMerge w:val="continue"/>
          </w:tcPr>
          <w:p>
            <w:pPr>
              <w:spacing w:after="0"/>
              <w:rPr>
                <w:sz w:val="5"/>
                <w:szCs w:val="5"/>
                <w:color w:val="auto"/>
              </w:rPr>
            </w:pPr>
          </w:p>
        </w:tc>
        <w:tc>
          <w:tcPr>
            <w:tcW w:w="220" w:type="dxa"/>
            <w:vAlign w:val="bottom"/>
            <w:tcBorders>
              <w:bottom w:val="single" w:sz="8" w:color="7F7F7F"/>
              <w:right w:val="single" w:sz="8" w:color="F2F2F2"/>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74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Ravi Mallela</w:t>
            </w:r>
          </w:p>
        </w:tc>
        <w:tc>
          <w:tcPr>
            <w:tcW w:w="22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Ravi Mallela</w:t>
            </w:r>
          </w:p>
        </w:tc>
        <w:tc>
          <w:tcPr>
            <w:tcW w:w="200" w:type="dxa"/>
            <w:vAlign w:val="bottom"/>
            <w:tcBorders>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Christopher L. Dods</w:t>
            </w:r>
          </w:p>
        </w:tc>
        <w:tc>
          <w:tcPr>
            <w:tcW w:w="20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Neill A. Char</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200" w:type="dxa"/>
            <w:vAlign w:val="bottom"/>
            <w:tcBorders>
              <w:bottom w:val="single" w:sz="8" w:color="7F7F7F"/>
            </w:tcBorders>
          </w:tcPr>
          <w:p>
            <w:pPr>
              <w:spacing w:after="0"/>
              <w:rPr>
                <w:sz w:val="5"/>
                <w:szCs w:val="5"/>
                <w:color w:val="auto"/>
              </w:rPr>
            </w:pPr>
          </w:p>
        </w:tc>
        <w:tc>
          <w:tcPr>
            <w:tcW w:w="1680" w:type="dxa"/>
            <w:vAlign w:val="bottom"/>
            <w:tcBorders>
              <w:bottom w:val="single" w:sz="8" w:color="7F7F7F"/>
            </w:tcBorders>
            <w:vMerge w:val="continue"/>
          </w:tcPr>
          <w:p>
            <w:pPr>
              <w:spacing w:after="0"/>
              <w:rPr>
                <w:sz w:val="5"/>
                <w:szCs w:val="5"/>
                <w:color w:val="auto"/>
              </w:rPr>
            </w:pPr>
          </w:p>
        </w:tc>
        <w:tc>
          <w:tcPr>
            <w:tcW w:w="220" w:type="dxa"/>
            <w:vAlign w:val="bottom"/>
            <w:tcBorders>
              <w:bottom w:val="single" w:sz="8" w:color="7F7F7F"/>
              <w:right w:val="single" w:sz="8" w:color="F2F2F2"/>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74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Ralph M. Mesick</w:t>
            </w:r>
          </w:p>
        </w:tc>
        <w:tc>
          <w:tcPr>
            <w:tcW w:w="22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Ralph M. Mesick</w:t>
            </w:r>
          </w:p>
        </w:tc>
        <w:tc>
          <w:tcPr>
            <w:tcW w:w="200" w:type="dxa"/>
            <w:vAlign w:val="bottom"/>
            <w:tcBorders>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Ravi Mallela</w:t>
            </w:r>
          </w:p>
        </w:tc>
        <w:tc>
          <w:tcPr>
            <w:tcW w:w="20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Christopher L. Dods</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200" w:type="dxa"/>
            <w:vAlign w:val="bottom"/>
            <w:tcBorders>
              <w:bottom w:val="single" w:sz="8" w:color="7F7F7F"/>
            </w:tcBorders>
          </w:tcPr>
          <w:p>
            <w:pPr>
              <w:spacing w:after="0"/>
              <w:rPr>
                <w:sz w:val="5"/>
                <w:szCs w:val="5"/>
                <w:color w:val="auto"/>
              </w:rPr>
            </w:pPr>
          </w:p>
        </w:tc>
        <w:tc>
          <w:tcPr>
            <w:tcW w:w="1680" w:type="dxa"/>
            <w:vAlign w:val="bottom"/>
            <w:tcBorders>
              <w:bottom w:val="single" w:sz="8" w:color="7F7F7F"/>
            </w:tcBorders>
            <w:vMerge w:val="continue"/>
          </w:tcPr>
          <w:p>
            <w:pPr>
              <w:spacing w:after="0"/>
              <w:rPr>
                <w:sz w:val="5"/>
                <w:szCs w:val="5"/>
                <w:color w:val="auto"/>
              </w:rPr>
            </w:pPr>
          </w:p>
        </w:tc>
        <w:tc>
          <w:tcPr>
            <w:tcW w:w="220" w:type="dxa"/>
            <w:vAlign w:val="bottom"/>
            <w:tcBorders>
              <w:bottom w:val="single" w:sz="8" w:color="7F7F7F"/>
              <w:right w:val="single" w:sz="8" w:color="F2F2F2"/>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74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rPr>
              <w:t>Lance A. Mizumoto</w:t>
            </w:r>
          </w:p>
        </w:tc>
        <w:tc>
          <w:tcPr>
            <w:tcW w:w="22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Lance A. Mizumoto</w:t>
            </w:r>
          </w:p>
        </w:tc>
        <w:tc>
          <w:tcPr>
            <w:tcW w:w="200" w:type="dxa"/>
            <w:vAlign w:val="bottom"/>
            <w:tcBorders>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Ralph M. Mesick</w:t>
            </w:r>
          </w:p>
        </w:tc>
        <w:tc>
          <w:tcPr>
            <w:tcW w:w="20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Ralph M. Mesick</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200" w:type="dxa"/>
            <w:vAlign w:val="bottom"/>
            <w:tcBorders>
              <w:bottom w:val="single" w:sz="8" w:color="7F7F7F"/>
            </w:tcBorders>
          </w:tcPr>
          <w:p>
            <w:pPr>
              <w:spacing w:after="0"/>
              <w:rPr>
                <w:sz w:val="5"/>
                <w:szCs w:val="5"/>
                <w:color w:val="auto"/>
              </w:rPr>
            </w:pPr>
          </w:p>
        </w:tc>
        <w:tc>
          <w:tcPr>
            <w:tcW w:w="1680" w:type="dxa"/>
            <w:vAlign w:val="bottom"/>
            <w:tcBorders>
              <w:bottom w:val="single" w:sz="8" w:color="7F7F7F"/>
            </w:tcBorders>
            <w:vMerge w:val="continue"/>
          </w:tcPr>
          <w:p>
            <w:pPr>
              <w:spacing w:after="0"/>
              <w:rPr>
                <w:sz w:val="5"/>
                <w:szCs w:val="5"/>
                <w:color w:val="auto"/>
              </w:rPr>
            </w:pPr>
          </w:p>
        </w:tc>
        <w:tc>
          <w:tcPr>
            <w:tcW w:w="220" w:type="dxa"/>
            <w:vAlign w:val="bottom"/>
            <w:tcBorders>
              <w:bottom w:val="single" w:sz="8" w:color="7F7F7F"/>
              <w:right w:val="single" w:sz="8" w:color="F2F2F2"/>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174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200" w:type="dxa"/>
            <w:vAlign w:val="bottom"/>
            <w:tcBorders>
              <w:bottom w:val="single" w:sz="8" w:color="7F7F7F"/>
              <w:right w:val="single" w:sz="8" w:color="F2F2F2"/>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1720" w:type="dxa"/>
            <w:vAlign w:val="bottom"/>
            <w:tcBorders>
              <w:bottom w:val="single" w:sz="8" w:color="7F7F7F"/>
            </w:tcBorders>
            <w:vMerge w:val="continue"/>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7F7F7F"/>
            </w:tcBorders>
          </w:tcPr>
          <w:p>
            <w:pPr>
              <w:ind w:left="8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7F7F7F"/>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Mitchell E. Nishimoto</w:t>
            </w:r>
          </w:p>
        </w:tc>
        <w:tc>
          <w:tcPr>
            <w:tcW w:w="200" w:type="dxa"/>
            <w:vAlign w:val="bottom"/>
            <w:tcBorders>
              <w:bottom w:val="single" w:sz="8" w:color="7F7F7F"/>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Lance A. Mizumoto</w:t>
            </w:r>
          </w:p>
        </w:tc>
        <w:tc>
          <w:tcPr>
            <w:tcW w:w="200" w:type="dxa"/>
            <w:vAlign w:val="bottom"/>
            <w:tcBorders>
              <w:bottom w:val="single" w:sz="8" w:color="7F7F7F"/>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rPr>
              <w:t>Lance A. Mizumoto</w:t>
            </w:r>
          </w:p>
        </w:tc>
        <w:tc>
          <w:tcPr>
            <w:tcW w:w="18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680" w:type="dxa"/>
            <w:vAlign w:val="bottom"/>
          </w:tcPr>
          <w:p>
            <w:pPr>
              <w:ind w:left="84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ind w:left="86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F2F2F2"/>
            </w:tcBorders>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720" w:type="dxa"/>
            <w:vAlign w:val="bottom"/>
          </w:tcPr>
          <w:p>
            <w:pPr>
              <w:ind w:left="84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F2F2F2"/>
            </w:tcBorders>
          </w:tcPr>
          <w:p>
            <w:pPr>
              <w:ind w:left="140"/>
              <w:spacing w:after="0"/>
              <w:rPr>
                <w:sz w:val="20"/>
                <w:szCs w:val="20"/>
                <w:color w:val="auto"/>
              </w:rPr>
            </w:pPr>
            <w:r>
              <w:rPr>
                <w:rFonts w:ascii="Arial" w:cs="Arial" w:eastAsia="Arial" w:hAnsi="Arial"/>
                <w:sz w:val="16"/>
                <w:szCs w:val="16"/>
                <w:color w:val="auto"/>
              </w:rPr>
              <w:t>​</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1720" w:type="dxa"/>
            <w:vAlign w:val="bottom"/>
          </w:tcPr>
          <w:p>
            <w:pPr>
              <w:jc w:val="center"/>
              <w:spacing w:after="0"/>
              <w:rPr>
                <w:sz w:val="20"/>
                <w:szCs w:val="20"/>
                <w:color w:val="auto"/>
              </w:rPr>
            </w:pPr>
            <w:r>
              <w:rPr>
                <w:rFonts w:ascii="Arial" w:cs="Arial" w:eastAsia="Arial" w:hAnsi="Arial"/>
                <w:sz w:val="16"/>
                <w:szCs w:val="16"/>
                <w:color w:val="auto"/>
              </w:rPr>
              <w:t>James M. Moses</w:t>
            </w:r>
          </w:p>
        </w:tc>
        <w:tc>
          <w:tcPr>
            <w:tcW w:w="180" w:type="dxa"/>
            <w:vAlign w:val="bottom"/>
          </w:tcPr>
          <w:p>
            <w:pPr>
              <w:ind w:lef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00" w:type="dxa"/>
            <w:vAlign w:val="bottom"/>
            <w:shd w:val="clear" w:color="auto" w:fill="BF5B5A"/>
          </w:tcPr>
          <w:p>
            <w:pPr>
              <w:spacing w:after="0" w:line="20" w:lineRule="exact"/>
              <w:rPr>
                <w:sz w:val="1"/>
                <w:szCs w:val="1"/>
                <w:color w:val="auto"/>
              </w:rPr>
            </w:pPr>
          </w:p>
        </w:tc>
        <w:tc>
          <w:tcPr>
            <w:tcW w:w="1680" w:type="dxa"/>
            <w:vAlign w:val="bottom"/>
            <w:shd w:val="clear" w:color="auto" w:fill="BF5B5A"/>
          </w:tcPr>
          <w:p>
            <w:pPr>
              <w:spacing w:after="0" w:line="20" w:lineRule="exact"/>
              <w:rPr>
                <w:sz w:val="1"/>
                <w:szCs w:val="1"/>
                <w:color w:val="auto"/>
              </w:rPr>
            </w:pPr>
          </w:p>
        </w:tc>
        <w:tc>
          <w:tcPr>
            <w:tcW w:w="220" w:type="dxa"/>
            <w:vAlign w:val="bottom"/>
            <w:tcBorders>
              <w:right w:val="single" w:sz="8" w:color="BF5B5A"/>
            </w:tcBorders>
            <w:shd w:val="clear" w:color="auto" w:fill="BF5B5A"/>
          </w:tcPr>
          <w:p>
            <w:pPr>
              <w:spacing w:after="0" w:line="20" w:lineRule="exact"/>
              <w:rPr>
                <w:sz w:val="1"/>
                <w:szCs w:val="1"/>
                <w:color w:val="auto"/>
              </w:rPr>
            </w:pPr>
          </w:p>
        </w:tc>
        <w:tc>
          <w:tcPr>
            <w:tcW w:w="180" w:type="dxa"/>
            <w:vAlign w:val="bottom"/>
            <w:shd w:val="clear" w:color="auto" w:fill="BF5B5A"/>
          </w:tcPr>
          <w:p>
            <w:pPr>
              <w:spacing w:after="0" w:line="20" w:lineRule="exact"/>
              <w:rPr>
                <w:sz w:val="1"/>
                <w:szCs w:val="1"/>
                <w:color w:val="auto"/>
              </w:rPr>
            </w:pPr>
          </w:p>
        </w:tc>
        <w:tc>
          <w:tcPr>
            <w:tcW w:w="1740" w:type="dxa"/>
            <w:vAlign w:val="bottom"/>
            <w:shd w:val="clear" w:color="auto" w:fill="BF5B5A"/>
          </w:tcPr>
          <w:p>
            <w:pPr>
              <w:spacing w:after="0" w:line="20" w:lineRule="exact"/>
              <w:rPr>
                <w:sz w:val="1"/>
                <w:szCs w:val="1"/>
                <w:color w:val="auto"/>
              </w:rPr>
            </w:pPr>
          </w:p>
        </w:tc>
        <w:tc>
          <w:tcPr>
            <w:tcW w:w="200" w:type="dxa"/>
            <w:vAlign w:val="bottom"/>
            <w:tcBorders>
              <w:right w:val="single" w:sz="8" w:color="BF5B5A"/>
            </w:tcBorders>
            <w:shd w:val="clear" w:color="auto" w:fill="BF5B5A"/>
          </w:tcPr>
          <w:p>
            <w:pPr>
              <w:spacing w:after="0" w:line="20" w:lineRule="exact"/>
              <w:rPr>
                <w:sz w:val="1"/>
                <w:szCs w:val="1"/>
                <w:color w:val="auto"/>
              </w:rPr>
            </w:pPr>
          </w:p>
        </w:tc>
        <w:tc>
          <w:tcPr>
            <w:tcW w:w="200" w:type="dxa"/>
            <w:vAlign w:val="bottom"/>
            <w:shd w:val="clear" w:color="auto" w:fill="BF5B5A"/>
          </w:tcPr>
          <w:p>
            <w:pPr>
              <w:spacing w:after="0" w:line="20" w:lineRule="exact"/>
              <w:rPr>
                <w:sz w:val="1"/>
                <w:szCs w:val="1"/>
                <w:color w:val="auto"/>
              </w:rPr>
            </w:pPr>
          </w:p>
        </w:tc>
        <w:tc>
          <w:tcPr>
            <w:tcW w:w="1720" w:type="dxa"/>
            <w:vAlign w:val="bottom"/>
            <w:shd w:val="clear" w:color="auto" w:fill="BF5B5A"/>
          </w:tcPr>
          <w:p>
            <w:pPr>
              <w:spacing w:after="0" w:line="20" w:lineRule="exact"/>
              <w:rPr>
                <w:sz w:val="1"/>
                <w:szCs w:val="1"/>
                <w:color w:val="auto"/>
              </w:rPr>
            </w:pPr>
          </w:p>
        </w:tc>
        <w:tc>
          <w:tcPr>
            <w:tcW w:w="200" w:type="dxa"/>
            <w:vAlign w:val="bottom"/>
            <w:tcBorders>
              <w:right w:val="single" w:sz="8" w:color="BF5B5A"/>
            </w:tcBorders>
            <w:shd w:val="clear" w:color="auto" w:fill="BF5B5A"/>
          </w:tcPr>
          <w:p>
            <w:pPr>
              <w:spacing w:after="0" w:line="20" w:lineRule="exact"/>
              <w:rPr>
                <w:sz w:val="1"/>
                <w:szCs w:val="1"/>
                <w:color w:val="auto"/>
              </w:rPr>
            </w:pPr>
          </w:p>
        </w:tc>
        <w:tc>
          <w:tcPr>
            <w:tcW w:w="200" w:type="dxa"/>
            <w:vAlign w:val="bottom"/>
            <w:shd w:val="clear" w:color="auto" w:fill="BF5B5A"/>
          </w:tcPr>
          <w:p>
            <w:pPr>
              <w:spacing w:after="0" w:line="20" w:lineRule="exact"/>
              <w:rPr>
                <w:sz w:val="1"/>
                <w:szCs w:val="1"/>
                <w:color w:val="auto"/>
              </w:rPr>
            </w:pPr>
          </w:p>
        </w:tc>
        <w:tc>
          <w:tcPr>
            <w:tcW w:w="1720" w:type="dxa"/>
            <w:vAlign w:val="bottom"/>
            <w:shd w:val="clear" w:color="auto" w:fill="BF5B5A"/>
          </w:tcPr>
          <w:p>
            <w:pPr>
              <w:spacing w:after="0" w:line="20" w:lineRule="exact"/>
              <w:rPr>
                <w:sz w:val="1"/>
                <w:szCs w:val="1"/>
                <w:color w:val="auto"/>
              </w:rPr>
            </w:pPr>
          </w:p>
        </w:tc>
        <w:tc>
          <w:tcPr>
            <w:tcW w:w="180" w:type="dxa"/>
            <w:vAlign w:val="bottom"/>
            <w:shd w:val="clear" w:color="auto" w:fill="BF5B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140" w:right="40" w:hanging="360"/>
        <w:spacing w:after="0" w:line="301" w:lineRule="auto"/>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50" w:lineRule="exact"/>
        <w:rPr>
          <w:rFonts w:ascii="Arial" w:cs="Arial" w:eastAsia="Arial" w:hAnsi="Arial"/>
          <w:sz w:val="16"/>
          <w:szCs w:val="16"/>
          <w:color w:val="auto"/>
        </w:rPr>
      </w:pPr>
    </w:p>
    <w:p>
      <w:pPr>
        <w:ind w:left="1140" w:right="80" w:hanging="360"/>
        <w:spacing w:after="0" w:line="286" w:lineRule="auto"/>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Compensation Actually Paid reflects the exclusions and inclusions of certain amounts for the CEO and the Non-CEO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 As described above under “</w:t>
      </w:r>
      <w:r>
        <w:rPr>
          <w:rFonts w:ascii="Arial" w:cs="Arial" w:eastAsia="Arial" w:hAnsi="Arial"/>
          <w:sz w:val="16"/>
          <w:szCs w:val="16"/>
          <w:i w:val="1"/>
          <w:iCs w:val="1"/>
          <w:color w:val="auto"/>
        </w:rPr>
        <w:t>Compensation Discussion and Analysis—Other Benefits and Retirement Plans—Other Retirement and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Arrangements</w:t>
      </w:r>
      <w:r>
        <w:rPr>
          <w:rFonts w:ascii="Arial" w:cs="Arial" w:eastAsia="Arial" w:hAnsi="Arial"/>
          <w:sz w:val="16"/>
          <w:szCs w:val="16"/>
          <w:color w:val="auto"/>
        </w:rPr>
        <w:t>,” Mr. Harrison is the only NEO who participates in the SERP, which was frozen,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accruals of benefits, including service accruals, ceased, effective July 1, 2019.</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60" w:type="dxa"/>
            <w:vAlign w:val="bottom"/>
            <w:shd w:val="clear" w:color="auto" w:fill="BF5B5A"/>
          </w:tcPr>
          <w:p>
            <w:pPr>
              <w:spacing w:after="0"/>
              <w:rPr>
                <w:sz w:val="15"/>
                <w:szCs w:val="15"/>
                <w:color w:val="auto"/>
              </w:rPr>
            </w:pPr>
          </w:p>
        </w:tc>
        <w:tc>
          <w:tcPr>
            <w:tcW w:w="600" w:type="dxa"/>
            <w:vAlign w:val="bottom"/>
            <w:shd w:val="clear" w:color="auto" w:fill="BF5B5A"/>
          </w:tcPr>
          <w:p>
            <w:pPr>
              <w:spacing w:after="0"/>
              <w:rPr>
                <w:sz w:val="15"/>
                <w:szCs w:val="15"/>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Summary</w:t>
            </w:r>
          </w:p>
        </w:tc>
        <w:tc>
          <w:tcPr>
            <w:tcW w:w="260" w:type="dxa"/>
            <w:vAlign w:val="bottom"/>
            <w:shd w:val="clear" w:color="auto" w:fill="BF5B5A"/>
          </w:tcPr>
          <w:p>
            <w:pPr>
              <w:spacing w:after="0"/>
              <w:rPr>
                <w:sz w:val="15"/>
                <w:szCs w:val="15"/>
                <w:color w:val="auto"/>
              </w:rPr>
            </w:pPr>
          </w:p>
        </w:tc>
        <w:tc>
          <w:tcPr>
            <w:tcW w:w="920" w:type="dxa"/>
            <w:vAlign w:val="bottom"/>
            <w:gridSpan w:val="2"/>
            <w:shd w:val="clear" w:color="auto" w:fill="BF5B5A"/>
          </w:tcPr>
          <w:p>
            <w:pPr>
              <w:jc w:val="center"/>
              <w:spacing w:after="0"/>
              <w:rPr>
                <w:sz w:val="20"/>
                <w:szCs w:val="20"/>
                <w:color w:val="auto"/>
              </w:rPr>
            </w:pPr>
            <w:r>
              <w:rPr>
                <w:rFonts w:ascii="Arial" w:cs="Arial" w:eastAsia="Arial" w:hAnsi="Arial"/>
                <w:sz w:val="13"/>
                <w:szCs w:val="13"/>
                <w:b w:val="1"/>
                <w:bCs w:val="1"/>
                <w:color w:val="FFFFFF"/>
              </w:rPr>
              <w:t>Exclusion of</w:t>
            </w:r>
          </w:p>
        </w:tc>
        <w:tc>
          <w:tcPr>
            <w:tcW w:w="16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94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Exclusion of</w:t>
            </w:r>
          </w:p>
        </w:tc>
        <w:tc>
          <w:tcPr>
            <w:tcW w:w="200" w:type="dxa"/>
            <w:vAlign w:val="bottom"/>
            <w:shd w:val="clear" w:color="auto" w:fill="BF5B5A"/>
          </w:tcPr>
          <w:p>
            <w:pPr>
              <w:spacing w:after="0"/>
              <w:rPr>
                <w:sz w:val="15"/>
                <w:szCs w:val="15"/>
                <w:color w:val="auto"/>
              </w:rPr>
            </w:pPr>
          </w:p>
        </w:tc>
        <w:tc>
          <w:tcPr>
            <w:tcW w:w="104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Inclusion of</w:t>
            </w:r>
          </w:p>
        </w:tc>
        <w:tc>
          <w:tcPr>
            <w:tcW w:w="240" w:type="dxa"/>
            <w:vAlign w:val="bottom"/>
            <w:shd w:val="clear" w:color="auto" w:fill="BF5B5A"/>
          </w:tcPr>
          <w:p>
            <w:pPr>
              <w:spacing w:after="0"/>
              <w:rPr>
                <w:sz w:val="15"/>
                <w:szCs w:val="15"/>
                <w:color w:val="auto"/>
              </w:rPr>
            </w:pPr>
          </w:p>
        </w:tc>
        <w:tc>
          <w:tcPr>
            <w:tcW w:w="88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w w:val="98"/>
              </w:rPr>
              <w:t>Inclusion of</w:t>
            </w:r>
          </w:p>
        </w:tc>
        <w:tc>
          <w:tcPr>
            <w:tcW w:w="260" w:type="dxa"/>
            <w:vAlign w:val="bottom"/>
            <w:shd w:val="clear" w:color="auto" w:fill="BF5B5A"/>
          </w:tcPr>
          <w:p>
            <w:pPr>
              <w:spacing w:after="0"/>
              <w:rPr>
                <w:sz w:val="15"/>
                <w:szCs w:val="15"/>
                <w:color w:val="auto"/>
              </w:rPr>
            </w:pPr>
          </w:p>
        </w:tc>
        <w:tc>
          <w:tcPr>
            <w:tcW w:w="94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Compensation</w:t>
            </w:r>
          </w:p>
        </w:tc>
        <w:tc>
          <w:tcPr>
            <w:tcW w:w="1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BF5B5A"/>
          </w:tcPr>
          <w:p>
            <w:pPr>
              <w:spacing w:after="0"/>
              <w:rPr>
                <w:sz w:val="12"/>
                <w:szCs w:val="12"/>
                <w:color w:val="auto"/>
              </w:rPr>
            </w:pPr>
          </w:p>
        </w:tc>
        <w:tc>
          <w:tcPr>
            <w:tcW w:w="60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Compensation</w:t>
            </w:r>
          </w:p>
        </w:tc>
        <w:tc>
          <w:tcPr>
            <w:tcW w:w="260" w:type="dxa"/>
            <w:vAlign w:val="bottom"/>
            <w:shd w:val="clear" w:color="auto" w:fill="BF5B5A"/>
          </w:tcPr>
          <w:p>
            <w:pPr>
              <w:spacing w:after="0"/>
              <w:rPr>
                <w:sz w:val="12"/>
                <w:szCs w:val="12"/>
                <w:color w:val="auto"/>
              </w:rPr>
            </w:pPr>
          </w:p>
        </w:tc>
        <w:tc>
          <w:tcPr>
            <w:tcW w:w="140" w:type="dxa"/>
            <w:vAlign w:val="bottom"/>
            <w:shd w:val="clear" w:color="auto" w:fill="BF5B5A"/>
          </w:tcPr>
          <w:p>
            <w:pPr>
              <w:spacing w:after="0"/>
              <w:rPr>
                <w:sz w:val="12"/>
                <w:szCs w:val="12"/>
                <w:color w:val="auto"/>
              </w:rPr>
            </w:pPr>
          </w:p>
        </w:tc>
        <w:tc>
          <w:tcPr>
            <w:tcW w:w="780" w:type="dxa"/>
            <w:vAlign w:val="bottom"/>
            <w:shd w:val="clear" w:color="auto" w:fill="BF5B5A"/>
          </w:tcPr>
          <w:p>
            <w:pPr>
              <w:jc w:val="center"/>
              <w:ind w:right="67"/>
              <w:spacing w:after="0"/>
              <w:rPr>
                <w:sz w:val="20"/>
                <w:szCs w:val="20"/>
                <w:color w:val="auto"/>
              </w:rPr>
            </w:pPr>
            <w:r>
              <w:rPr>
                <w:rFonts w:ascii="Arial" w:cs="Arial" w:eastAsia="Arial" w:hAnsi="Arial"/>
                <w:sz w:val="13"/>
                <w:szCs w:val="13"/>
                <w:b w:val="1"/>
                <w:bCs w:val="1"/>
                <w:color w:val="FFFFFF"/>
              </w:rPr>
              <w:t>Change in</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vMerge w:val="continue"/>
            <w:shd w:val="clear" w:color="auto" w:fill="BF5B5A"/>
          </w:tcPr>
          <w:p>
            <w:pPr>
              <w:spacing w:after="0"/>
              <w:rPr>
                <w:sz w:val="12"/>
                <w:szCs w:val="12"/>
                <w:color w:val="auto"/>
              </w:rPr>
            </w:pPr>
          </w:p>
        </w:tc>
        <w:tc>
          <w:tcPr>
            <w:tcW w:w="200" w:type="dxa"/>
            <w:vAlign w:val="bottom"/>
            <w:shd w:val="clear" w:color="auto" w:fill="BF5B5A"/>
          </w:tcPr>
          <w:p>
            <w:pPr>
              <w:spacing w:after="0"/>
              <w:rPr>
                <w:sz w:val="12"/>
                <w:szCs w:val="12"/>
                <w:color w:val="auto"/>
              </w:rPr>
            </w:pPr>
          </w:p>
        </w:tc>
        <w:tc>
          <w:tcPr>
            <w:tcW w:w="1040" w:type="dxa"/>
            <w:vAlign w:val="bottom"/>
            <w:vMerge w:val="continue"/>
            <w:shd w:val="clear" w:color="auto" w:fill="BF5B5A"/>
          </w:tcPr>
          <w:p>
            <w:pPr>
              <w:spacing w:after="0"/>
              <w:rPr>
                <w:sz w:val="12"/>
                <w:szCs w:val="12"/>
                <w:color w:val="auto"/>
              </w:rPr>
            </w:pPr>
          </w:p>
        </w:tc>
        <w:tc>
          <w:tcPr>
            <w:tcW w:w="240" w:type="dxa"/>
            <w:vAlign w:val="bottom"/>
            <w:shd w:val="clear" w:color="auto" w:fill="BF5B5A"/>
          </w:tcPr>
          <w:p>
            <w:pPr>
              <w:spacing w:after="0"/>
              <w:rPr>
                <w:sz w:val="12"/>
                <w:szCs w:val="12"/>
                <w:color w:val="auto"/>
              </w:rPr>
            </w:pPr>
          </w:p>
        </w:tc>
        <w:tc>
          <w:tcPr>
            <w:tcW w:w="880" w:type="dxa"/>
            <w:vAlign w:val="bottom"/>
            <w:vMerge w:val="continue"/>
            <w:shd w:val="clear" w:color="auto" w:fill="BF5B5A"/>
          </w:tcPr>
          <w:p>
            <w:pPr>
              <w:spacing w:after="0"/>
              <w:rPr>
                <w:sz w:val="12"/>
                <w:szCs w:val="12"/>
                <w:color w:val="auto"/>
              </w:rPr>
            </w:pPr>
          </w:p>
        </w:tc>
        <w:tc>
          <w:tcPr>
            <w:tcW w:w="260" w:type="dxa"/>
            <w:vAlign w:val="bottom"/>
            <w:shd w:val="clear" w:color="auto" w:fill="BF5B5A"/>
          </w:tcPr>
          <w:p>
            <w:pPr>
              <w:spacing w:after="0"/>
              <w:rPr>
                <w:sz w:val="12"/>
                <w:szCs w:val="12"/>
                <w:color w:val="auto"/>
              </w:rPr>
            </w:pPr>
          </w:p>
        </w:tc>
        <w:tc>
          <w:tcPr>
            <w:tcW w:w="940" w:type="dxa"/>
            <w:vAlign w:val="bottom"/>
            <w:vMerge w:val="continue"/>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0" w:type="dxa"/>
            <w:vAlign w:val="bottom"/>
            <w:shd w:val="clear" w:color="auto" w:fill="BF5B5A"/>
          </w:tcPr>
          <w:p>
            <w:pPr>
              <w:spacing w:after="0"/>
              <w:rPr>
                <w:sz w:val="14"/>
                <w:szCs w:val="14"/>
                <w:color w:val="auto"/>
              </w:rPr>
            </w:pPr>
          </w:p>
        </w:tc>
        <w:tc>
          <w:tcPr>
            <w:tcW w:w="600" w:type="dxa"/>
            <w:vAlign w:val="bottom"/>
            <w:shd w:val="clear" w:color="auto" w:fill="BF5B5A"/>
          </w:tcPr>
          <w:p>
            <w:pPr>
              <w:spacing w:after="0"/>
              <w:rPr>
                <w:sz w:val="14"/>
                <w:szCs w:val="14"/>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6"/>
              </w:rPr>
              <w:t>Table Total</w:t>
            </w:r>
          </w:p>
        </w:tc>
        <w:tc>
          <w:tcPr>
            <w:tcW w:w="260" w:type="dxa"/>
            <w:vAlign w:val="bottom"/>
            <w:shd w:val="clear" w:color="auto" w:fill="BF5B5A"/>
          </w:tcPr>
          <w:p>
            <w:pPr>
              <w:spacing w:after="0"/>
              <w:rPr>
                <w:sz w:val="14"/>
                <w:szCs w:val="14"/>
                <w:color w:val="auto"/>
              </w:rPr>
            </w:pPr>
          </w:p>
        </w:tc>
        <w:tc>
          <w:tcPr>
            <w:tcW w:w="920" w:type="dxa"/>
            <w:vAlign w:val="bottom"/>
            <w:gridSpan w:val="2"/>
            <w:shd w:val="clear" w:color="auto" w:fill="BF5B5A"/>
          </w:tcPr>
          <w:p>
            <w:pPr>
              <w:jc w:val="center"/>
              <w:spacing w:after="0"/>
              <w:rPr>
                <w:sz w:val="20"/>
                <w:szCs w:val="20"/>
                <w:color w:val="auto"/>
              </w:rPr>
            </w:pPr>
            <w:r>
              <w:rPr>
                <w:rFonts w:ascii="Arial" w:cs="Arial" w:eastAsia="Arial" w:hAnsi="Arial"/>
                <w:sz w:val="13"/>
                <w:szCs w:val="13"/>
                <w:b w:val="1"/>
                <w:bCs w:val="1"/>
                <w:color w:val="FFFFFF"/>
              </w:rPr>
              <w:t>Pension Value</w:t>
            </w:r>
          </w:p>
        </w:tc>
        <w:tc>
          <w:tcPr>
            <w:tcW w:w="16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Stock Awards</w:t>
            </w:r>
          </w:p>
        </w:tc>
        <w:tc>
          <w:tcPr>
            <w:tcW w:w="200" w:type="dxa"/>
            <w:vAlign w:val="bottom"/>
            <w:shd w:val="clear" w:color="auto" w:fill="BF5B5A"/>
          </w:tcPr>
          <w:p>
            <w:pPr>
              <w:spacing w:after="0"/>
              <w:rPr>
                <w:sz w:val="14"/>
                <w:szCs w:val="14"/>
                <w:color w:val="auto"/>
              </w:rPr>
            </w:pPr>
          </w:p>
        </w:tc>
        <w:tc>
          <w:tcPr>
            <w:tcW w:w="10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Pension Service</w:t>
            </w:r>
          </w:p>
        </w:tc>
        <w:tc>
          <w:tcPr>
            <w:tcW w:w="240" w:type="dxa"/>
            <w:vAlign w:val="bottom"/>
            <w:shd w:val="clear" w:color="auto" w:fill="BF5B5A"/>
          </w:tcPr>
          <w:p>
            <w:pPr>
              <w:spacing w:after="0"/>
              <w:rPr>
                <w:sz w:val="14"/>
                <w:szCs w:val="14"/>
                <w:color w:val="auto"/>
              </w:rPr>
            </w:pPr>
          </w:p>
        </w:tc>
        <w:tc>
          <w:tcPr>
            <w:tcW w:w="88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8"/>
              </w:rPr>
              <w:t>Equity Values</w:t>
            </w:r>
          </w:p>
        </w:tc>
        <w:tc>
          <w:tcPr>
            <w:tcW w:w="260" w:type="dxa"/>
            <w:vAlign w:val="bottom"/>
            <w:shd w:val="clear" w:color="auto" w:fill="BF5B5A"/>
          </w:tcPr>
          <w:p>
            <w:pPr>
              <w:spacing w:after="0"/>
              <w:rPr>
                <w:sz w:val="14"/>
                <w:szCs w:val="14"/>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Actually Paid</w:t>
            </w:r>
          </w:p>
        </w:tc>
        <w:tc>
          <w:tcPr>
            <w:tcW w:w="120" w:type="dxa"/>
            <w:vAlign w:val="bottom"/>
            <w:shd w:val="clear" w:color="auto" w:fill="BF5B5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shd w:val="clear" w:color="auto" w:fill="BF5B5A"/>
          </w:tcPr>
          <w:p>
            <w:pPr>
              <w:ind w:left="40"/>
              <w:spacing w:after="0"/>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3"/>
                <w:szCs w:val="13"/>
                <w:b w:val="1"/>
                <w:bCs w:val="1"/>
                <w:color w:val="FFFFFF"/>
              </w:rPr>
              <w:t>Year</w:t>
            </w:r>
          </w:p>
        </w:tc>
        <w:tc>
          <w:tcPr>
            <w:tcW w:w="60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CEO</w:t>
            </w:r>
          </w:p>
        </w:tc>
        <w:tc>
          <w:tcPr>
            <w:tcW w:w="260" w:type="dxa"/>
            <w:vAlign w:val="bottom"/>
            <w:shd w:val="clear" w:color="auto" w:fill="BF5B5A"/>
          </w:tcPr>
          <w:p>
            <w:pPr>
              <w:spacing w:after="0"/>
              <w:rPr>
                <w:sz w:val="12"/>
                <w:szCs w:val="12"/>
                <w:color w:val="auto"/>
              </w:rPr>
            </w:pPr>
          </w:p>
        </w:tc>
        <w:tc>
          <w:tcPr>
            <w:tcW w:w="140" w:type="dxa"/>
            <w:vAlign w:val="bottom"/>
            <w:shd w:val="clear" w:color="auto" w:fill="BF5B5A"/>
          </w:tcPr>
          <w:p>
            <w:pPr>
              <w:spacing w:after="0"/>
              <w:rPr>
                <w:sz w:val="12"/>
                <w:szCs w:val="12"/>
                <w:color w:val="auto"/>
              </w:rPr>
            </w:pPr>
          </w:p>
        </w:tc>
        <w:tc>
          <w:tcPr>
            <w:tcW w:w="780" w:type="dxa"/>
            <w:vAlign w:val="bottom"/>
            <w:shd w:val="clear" w:color="auto" w:fill="BF5B5A"/>
          </w:tcPr>
          <w:p>
            <w:pPr>
              <w:jc w:val="center"/>
              <w:ind w:right="87"/>
              <w:spacing w:after="0"/>
              <w:rPr>
                <w:sz w:val="20"/>
                <w:szCs w:val="20"/>
                <w:color w:val="auto"/>
              </w:rPr>
            </w:pPr>
            <w:r>
              <w:rPr>
                <w:rFonts w:ascii="Arial" w:cs="Arial" w:eastAsia="Arial" w:hAnsi="Arial"/>
                <w:sz w:val="13"/>
                <w:szCs w:val="13"/>
                <w:b w:val="1"/>
                <w:bCs w:val="1"/>
                <w:color w:val="FFFFFF"/>
              </w:rPr>
              <w:t>for CEO</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CEO</w:t>
            </w:r>
          </w:p>
        </w:tc>
        <w:tc>
          <w:tcPr>
            <w:tcW w:w="200" w:type="dxa"/>
            <w:vAlign w:val="bottom"/>
            <w:shd w:val="clear" w:color="auto" w:fill="BF5B5A"/>
          </w:tcPr>
          <w:p>
            <w:pPr>
              <w:spacing w:after="0"/>
              <w:rPr>
                <w:sz w:val="12"/>
                <w:szCs w:val="12"/>
                <w:color w:val="auto"/>
              </w:rPr>
            </w:pPr>
          </w:p>
        </w:tc>
        <w:tc>
          <w:tcPr>
            <w:tcW w:w="10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Cost for CEO</w:t>
            </w:r>
          </w:p>
        </w:tc>
        <w:tc>
          <w:tcPr>
            <w:tcW w:w="240" w:type="dxa"/>
            <w:vAlign w:val="bottom"/>
            <w:shd w:val="clear" w:color="auto" w:fill="BF5B5A"/>
          </w:tcPr>
          <w:p>
            <w:pPr>
              <w:spacing w:after="0"/>
              <w:rPr>
                <w:sz w:val="12"/>
                <w:szCs w:val="12"/>
                <w:color w:val="auto"/>
              </w:rPr>
            </w:pPr>
          </w:p>
        </w:tc>
        <w:tc>
          <w:tcPr>
            <w:tcW w:w="88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CEO</w:t>
            </w:r>
          </w:p>
        </w:tc>
        <w:tc>
          <w:tcPr>
            <w:tcW w:w="26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to CEO</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60" w:type="dxa"/>
            <w:vAlign w:val="bottom"/>
            <w:vMerge w:val="continue"/>
            <w:shd w:val="clear" w:color="auto" w:fill="BF5B5A"/>
          </w:tcPr>
          <w:p>
            <w:pPr>
              <w:spacing w:after="0"/>
              <w:rPr>
                <w:sz w:val="16"/>
                <w:szCs w:val="16"/>
                <w:color w:val="auto"/>
              </w:rPr>
            </w:pPr>
          </w:p>
        </w:tc>
        <w:tc>
          <w:tcPr>
            <w:tcW w:w="600" w:type="dxa"/>
            <w:vAlign w:val="bottom"/>
            <w:shd w:val="clear" w:color="auto" w:fill="BF5B5A"/>
          </w:tcPr>
          <w:p>
            <w:pPr>
              <w:ind w:left="440"/>
              <w:spacing w:after="0"/>
              <w:rPr>
                <w:sz w:val="20"/>
                <w:szCs w:val="20"/>
                <w:color w:val="auto"/>
              </w:rPr>
            </w:pPr>
            <w:r>
              <w:rPr>
                <w:rFonts w:ascii="Arial" w:cs="Arial" w:eastAsia="Arial" w:hAnsi="Arial"/>
                <w:sz w:val="13"/>
                <w:szCs w:val="13"/>
                <w:b w:val="1"/>
                <w:bCs w:val="1"/>
                <w:color w:val="FFFFFF"/>
              </w:rPr>
              <w:t>​ ​</w:t>
            </w: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140" w:type="dxa"/>
            <w:vAlign w:val="bottom"/>
            <w:shd w:val="clear" w:color="auto" w:fill="BF5B5A"/>
          </w:tcPr>
          <w:p>
            <w:pPr>
              <w:spacing w:after="0"/>
              <w:rPr>
                <w:sz w:val="16"/>
                <w:szCs w:val="16"/>
                <w:color w:val="auto"/>
              </w:rPr>
            </w:pPr>
          </w:p>
        </w:tc>
        <w:tc>
          <w:tcPr>
            <w:tcW w:w="780" w:type="dxa"/>
            <w:vAlign w:val="bottom"/>
            <w:shd w:val="clear" w:color="auto" w:fill="BF5B5A"/>
          </w:tcPr>
          <w:p>
            <w:pPr>
              <w:jc w:val="center"/>
              <w:ind w:right="27"/>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 ​</w:t>
            </w:r>
          </w:p>
        </w:tc>
        <w:tc>
          <w:tcPr>
            <w:tcW w:w="1040" w:type="dxa"/>
            <w:vAlign w:val="bottom"/>
            <w:shd w:val="clear" w:color="auto" w:fill="BF5B5A"/>
          </w:tcPr>
          <w:p>
            <w:pPr>
              <w:jc w:val="right"/>
              <w:ind w:right="349"/>
              <w:spacing w:after="0"/>
              <w:rPr>
                <w:sz w:val="20"/>
                <w:szCs w:val="20"/>
                <w:color w:val="auto"/>
              </w:rPr>
            </w:pPr>
            <w:r>
              <w:rPr>
                <w:rFonts w:ascii="Arial" w:cs="Arial" w:eastAsia="Arial" w:hAnsi="Arial"/>
                <w:sz w:val="13"/>
                <w:szCs w:val="13"/>
                <w:b w:val="1"/>
                <w:bCs w:val="1"/>
                <w:color w:val="FFFFFF"/>
              </w:rPr>
              <w:t>($)</w:t>
            </w:r>
          </w:p>
        </w:tc>
        <w:tc>
          <w:tcPr>
            <w:tcW w:w="24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88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 ​</w:t>
            </w: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6"/>
        </w:trPr>
        <w:tc>
          <w:tcPr>
            <w:tcW w:w="860" w:type="dxa"/>
            <w:vAlign w:val="bottom"/>
            <w:tcBorders>
              <w:bottom w:val="single" w:sz="8" w:color="7F7F7F"/>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2023</w:t>
            </w:r>
          </w:p>
        </w:tc>
        <w:tc>
          <w:tcPr>
            <w:tcW w:w="600" w:type="dxa"/>
            <w:vAlign w:val="bottom"/>
            <w:tcBorders>
              <w:bottom w:val="single" w:sz="8" w:color="7F7F7F"/>
            </w:tcBorders>
          </w:tcPr>
          <w:p>
            <w:pPr>
              <w:ind w:left="44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5,366,855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7F7F7F"/>
            </w:tcBorders>
            <w:gridSpan w:val="3"/>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​(1,142,308) </w:t>
            </w:r>
            <w:r>
              <w:rPr>
                <w:rFonts w:ascii="Arial" w:cs="Arial" w:eastAsia="Arial" w:hAnsi="Arial"/>
                <w:sz w:val="29"/>
                <w:szCs w:val="29"/>
                <w:color w:val="auto"/>
                <w:vertAlign w:val="subscript"/>
              </w:rPr>
              <w:t>​​</w:t>
            </w:r>
          </w:p>
        </w:tc>
        <w:tc>
          <w:tcPr>
            <w:tcW w:w="1220" w:type="dxa"/>
            <w:vAlign w:val="bottom"/>
            <w:tcBorders>
              <w:bottom w:val="single" w:sz="8" w:color="7F7F7F"/>
            </w:tcBorders>
            <w:gridSpan w:val="3"/>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r>
              <w:rPr>
                <w:rFonts w:ascii="Arial" w:cs="Arial" w:eastAsia="Arial" w:hAnsi="Arial"/>
                <w:sz w:val="29"/>
                <w:szCs w:val="29"/>
                <w:color w:val="auto"/>
                <w:vertAlign w:val="subscript"/>
              </w:rPr>
              <w:t>​</w:t>
            </w:r>
            <w:r>
              <w:rPr>
                <w:rFonts w:ascii="Arial" w:cs="Arial" w:eastAsia="Arial" w:hAnsi="Arial"/>
                <w:sz w:val="15"/>
                <w:szCs w:val="15"/>
                <w:color w:val="auto"/>
              </w:rPr>
              <w:t>(2,299,977)</w:t>
            </w:r>
            <w:r>
              <w:rPr>
                <w:rFonts w:ascii="Arial" w:cs="Arial" w:eastAsia="Arial" w:hAnsi="Arial"/>
                <w:sz w:val="29"/>
                <w:szCs w:val="29"/>
                <w:color w:val="auto"/>
                <w:vertAlign w:val="subscript"/>
              </w:rPr>
              <w:t>​​ ​</w:t>
            </w:r>
          </w:p>
        </w:tc>
        <w:tc>
          <w:tcPr>
            <w:tcW w:w="1040" w:type="dxa"/>
            <w:vAlign w:val="bottom"/>
            <w:tcBorders>
              <w:bottom w:val="single" w:sz="8" w:color="7F7F7F"/>
            </w:tcBorders>
          </w:tcPr>
          <w:p>
            <w:pPr>
              <w:jc w:val="right"/>
              <w:ind w:right="349"/>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1,530,341</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3,454,911</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2022</w:t>
            </w:r>
          </w:p>
        </w:tc>
        <w:tc>
          <w:tcPr>
            <w:tcW w:w="600" w:type="dxa"/>
            <w:vAlign w:val="bottom"/>
            <w:tcBorders>
              <w:bottom w:val="single" w:sz="8" w:color="7F7F7F"/>
            </w:tcBorders>
          </w:tcPr>
          <w:p>
            <w:pPr>
              <w:ind w:left="44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4,551,135</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(1,999,986)</w:t>
            </w:r>
            <w:r>
              <w:rPr>
                <w:rFonts w:ascii="Arial" w:cs="Arial" w:eastAsia="Arial" w:hAnsi="Arial"/>
                <w:sz w:val="28"/>
                <w:szCs w:val="28"/>
                <w:color w:val="auto"/>
                <w:vertAlign w:val="subscript"/>
              </w:rPr>
              <w:t>​​ ​</w:t>
            </w:r>
          </w:p>
        </w:tc>
        <w:tc>
          <w:tcPr>
            <w:tcW w:w="1040" w:type="dxa"/>
            <w:vAlign w:val="bottom"/>
            <w:tcBorders>
              <w:bottom w:val="single" w:sz="8" w:color="7F7F7F"/>
            </w:tcBorders>
          </w:tcPr>
          <w:p>
            <w:pPr>
              <w:jc w:val="right"/>
              <w:ind w:right="349"/>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3,217,144</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5,768,293</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60" w:type="dxa"/>
            <w:vAlign w:val="bottom"/>
            <w:tcBorders>
              <w:bottom w:val="single" w:sz="8" w:color="7F7F7F"/>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600" w:type="dxa"/>
            <w:vAlign w:val="bottom"/>
            <w:tcBorders>
              <w:bottom w:val="single" w:sz="8" w:color="7F7F7F"/>
            </w:tcBorders>
          </w:tcPr>
          <w:p>
            <w:pPr>
              <w:ind w:left="44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4,427,813</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7F7F7F"/>
            </w:tcBorders>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(1,999,976)</w:t>
            </w:r>
            <w:r>
              <w:rPr>
                <w:rFonts w:ascii="Arial" w:cs="Arial" w:eastAsia="Arial" w:hAnsi="Arial"/>
                <w:sz w:val="28"/>
                <w:szCs w:val="28"/>
                <w:color w:val="auto"/>
                <w:vertAlign w:val="subscript"/>
              </w:rPr>
              <w:t>​​ ​</w:t>
            </w:r>
          </w:p>
        </w:tc>
        <w:tc>
          <w:tcPr>
            <w:tcW w:w="1040" w:type="dxa"/>
            <w:vAlign w:val="bottom"/>
            <w:tcBorders>
              <w:bottom w:val="single" w:sz="8" w:color="7F7F7F"/>
            </w:tcBorders>
          </w:tcPr>
          <w:p>
            <w:pPr>
              <w:jc w:val="right"/>
              <w:ind w:right="349"/>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2,341,388</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7F7F7F"/>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4,769,225</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60" w:type="dxa"/>
            <w:vAlign w:val="bottom"/>
            <w:tcBorders>
              <w:bottom w:val="single" w:sz="8" w:color="BF5B5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600" w:type="dxa"/>
            <w:vAlign w:val="bottom"/>
            <w:tcBorders>
              <w:bottom w:val="single" w:sz="8" w:color="BF5B5A"/>
            </w:tcBorders>
          </w:tcPr>
          <w:p>
            <w:pPr>
              <w:ind w:left="44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5,651,505</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BF5B5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​(1,874,412) </w:t>
            </w:r>
            <w:r>
              <w:rPr>
                <w:rFonts w:ascii="Arial" w:cs="Arial" w:eastAsia="Arial" w:hAnsi="Arial"/>
                <w:sz w:val="28"/>
                <w:szCs w:val="28"/>
                <w:color w:val="auto"/>
                <w:vertAlign w:val="subscript"/>
              </w:rPr>
              <w:t>​​</w:t>
            </w:r>
          </w:p>
        </w:tc>
        <w:tc>
          <w:tcPr>
            <w:tcW w:w="1220" w:type="dxa"/>
            <w:vAlign w:val="bottom"/>
            <w:tcBorders>
              <w:bottom w:val="single" w:sz="8" w:color="BF5B5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r>
              <w:rPr>
                <w:rFonts w:ascii="Arial" w:cs="Arial" w:eastAsia="Arial" w:hAnsi="Arial"/>
                <w:sz w:val="28"/>
                <w:szCs w:val="28"/>
                <w:color w:val="auto"/>
                <w:vertAlign w:val="subscript"/>
              </w:rPr>
              <w:t>​</w:t>
            </w:r>
            <w:r>
              <w:rPr>
                <w:rFonts w:ascii="Arial" w:cs="Arial" w:eastAsia="Arial" w:hAnsi="Arial"/>
                <w:sz w:val="15"/>
                <w:szCs w:val="15"/>
                <w:color w:val="auto"/>
              </w:rPr>
              <w:t>(1,999,984)</w:t>
            </w:r>
            <w:r>
              <w:rPr>
                <w:rFonts w:ascii="Arial" w:cs="Arial" w:eastAsia="Arial" w:hAnsi="Arial"/>
                <w:sz w:val="28"/>
                <w:szCs w:val="28"/>
                <w:color w:val="auto"/>
                <w:vertAlign w:val="subscript"/>
              </w:rPr>
              <w:t>​​ ​</w:t>
            </w:r>
          </w:p>
        </w:tc>
        <w:tc>
          <w:tcPr>
            <w:tcW w:w="1040" w:type="dxa"/>
            <w:vAlign w:val="bottom"/>
            <w:tcBorders>
              <w:bottom w:val="single" w:sz="8" w:color="BF5B5A"/>
            </w:tcBorders>
          </w:tcPr>
          <w:p>
            <w:pPr>
              <w:jc w:val="right"/>
              <w:ind w:right="349"/>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4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1,042,205</w:t>
            </w:r>
          </w:p>
        </w:tc>
        <w:tc>
          <w:tcPr>
            <w:tcW w:w="26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BF5B5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2,819,314</w:t>
            </w: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74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00" w:type="dxa"/>
            <w:vAlign w:val="bottom"/>
            <w:shd w:val="clear" w:color="auto" w:fill="BF5B5A"/>
          </w:tcPr>
          <w:p>
            <w:pPr>
              <w:spacing w:after="0"/>
              <w:rPr>
                <w:sz w:val="15"/>
                <w:szCs w:val="15"/>
                <w:color w:val="auto"/>
              </w:rPr>
            </w:pPr>
          </w:p>
        </w:tc>
        <w:tc>
          <w:tcPr>
            <w:tcW w:w="46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w:t>
            </w:r>
          </w:p>
        </w:tc>
        <w:tc>
          <w:tcPr>
            <w:tcW w:w="16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w:t>
            </w:r>
          </w:p>
        </w:tc>
        <w:tc>
          <w:tcPr>
            <w:tcW w:w="14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900" w:type="dxa"/>
            <w:vAlign w:val="bottom"/>
            <w:vMerge w:val="restart"/>
            <w:shd w:val="clear" w:color="auto" w:fill="BF5B5A"/>
          </w:tcPr>
          <w:p>
            <w:pPr>
              <w:ind w:left="180"/>
              <w:spacing w:after="0"/>
              <w:rPr>
                <w:sz w:val="20"/>
                <w:szCs w:val="20"/>
                <w:color w:val="auto"/>
              </w:rPr>
            </w:pPr>
            <w:r>
              <w:rPr>
                <w:rFonts w:ascii="Arial" w:cs="Arial" w:eastAsia="Arial" w:hAnsi="Arial"/>
                <w:sz w:val="13"/>
                <w:szCs w:val="13"/>
                <w:b w:val="1"/>
                <w:bCs w:val="1"/>
                <w:color w:val="FFFFFF"/>
              </w:rPr>
              <w:t>Average</w:t>
            </w:r>
          </w:p>
        </w:tc>
        <w:tc>
          <w:tcPr>
            <w:tcW w:w="16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116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4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90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w:t>
            </w:r>
          </w:p>
        </w:tc>
        <w:tc>
          <w:tcPr>
            <w:tcW w:w="14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96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w:t>
            </w:r>
          </w:p>
        </w:tc>
        <w:tc>
          <w:tcPr>
            <w:tcW w:w="1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BF5B5A"/>
          </w:tcPr>
          <w:p>
            <w:pPr>
              <w:spacing w:after="0"/>
              <w:rPr>
                <w:sz w:val="12"/>
                <w:szCs w:val="12"/>
                <w:color w:val="auto"/>
              </w:rPr>
            </w:pPr>
          </w:p>
        </w:tc>
        <w:tc>
          <w:tcPr>
            <w:tcW w:w="4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Summary</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Exclusion of</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900" w:type="dxa"/>
            <w:vAlign w:val="bottom"/>
            <w:vMerge w:val="continue"/>
            <w:shd w:val="clear" w:color="auto" w:fill="BF5B5A"/>
          </w:tcPr>
          <w:p>
            <w:pPr>
              <w:spacing w:after="0"/>
              <w:rPr>
                <w:sz w:val="12"/>
                <w:szCs w:val="12"/>
                <w:color w:val="auto"/>
              </w:rPr>
            </w:pP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160" w:type="dxa"/>
            <w:vAlign w:val="bottom"/>
            <w:vMerge w:val="continue"/>
            <w:shd w:val="clear" w:color="auto" w:fill="BF5B5A"/>
          </w:tcPr>
          <w:p>
            <w:pPr>
              <w:spacing w:after="0"/>
              <w:rPr>
                <w:sz w:val="12"/>
                <w:szCs w:val="12"/>
                <w:color w:val="auto"/>
              </w:rPr>
            </w:pP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00" w:type="dxa"/>
            <w:vAlign w:val="bottom"/>
            <w:vMerge w:val="continue"/>
            <w:shd w:val="clear" w:color="auto" w:fill="BF5B5A"/>
          </w:tcPr>
          <w:p>
            <w:pPr>
              <w:spacing w:after="0"/>
              <w:rPr>
                <w:sz w:val="12"/>
                <w:szCs w:val="12"/>
                <w:color w:val="auto"/>
              </w:rPr>
            </w:pP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vMerge w:val="continue"/>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BF5B5A"/>
          </w:tcPr>
          <w:p>
            <w:pPr>
              <w:spacing w:after="0"/>
              <w:rPr>
                <w:sz w:val="12"/>
                <w:szCs w:val="12"/>
                <w:color w:val="auto"/>
              </w:rPr>
            </w:pPr>
          </w:p>
        </w:tc>
        <w:tc>
          <w:tcPr>
            <w:tcW w:w="4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Compensation</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Change in</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Exclusion of</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Inclusion of</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Inclusion of</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Compensation</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BF5B5A"/>
          </w:tcPr>
          <w:p>
            <w:pPr>
              <w:spacing w:after="0"/>
              <w:rPr>
                <w:sz w:val="14"/>
                <w:szCs w:val="14"/>
                <w:color w:val="auto"/>
              </w:rPr>
            </w:pPr>
          </w:p>
        </w:tc>
        <w:tc>
          <w:tcPr>
            <w:tcW w:w="46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Table Total</w:t>
            </w:r>
          </w:p>
        </w:tc>
        <w:tc>
          <w:tcPr>
            <w:tcW w:w="16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8"/>
              </w:rPr>
              <w:t>Pension Value</w:t>
            </w:r>
          </w:p>
        </w:tc>
        <w:tc>
          <w:tcPr>
            <w:tcW w:w="140" w:type="dxa"/>
            <w:vAlign w:val="bottom"/>
            <w:shd w:val="clear" w:color="auto" w:fill="BF5B5A"/>
          </w:tcPr>
          <w:p>
            <w:pPr>
              <w:spacing w:after="0"/>
              <w:rPr>
                <w:sz w:val="14"/>
                <w:szCs w:val="14"/>
                <w:color w:val="auto"/>
              </w:rPr>
            </w:pPr>
          </w:p>
        </w:tc>
        <w:tc>
          <w:tcPr>
            <w:tcW w:w="100" w:type="dxa"/>
            <w:vAlign w:val="bottom"/>
            <w:shd w:val="clear" w:color="auto" w:fill="BF5B5A"/>
          </w:tcPr>
          <w:p>
            <w:pPr>
              <w:spacing w:after="0"/>
              <w:rPr>
                <w:sz w:val="14"/>
                <w:szCs w:val="14"/>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Stock Awards</w:t>
            </w:r>
          </w:p>
        </w:tc>
        <w:tc>
          <w:tcPr>
            <w:tcW w:w="16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Pension Service</w:t>
            </w:r>
          </w:p>
        </w:tc>
        <w:tc>
          <w:tcPr>
            <w:tcW w:w="14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Equity Values</w:t>
            </w:r>
          </w:p>
        </w:tc>
        <w:tc>
          <w:tcPr>
            <w:tcW w:w="140" w:type="dxa"/>
            <w:vAlign w:val="bottom"/>
            <w:shd w:val="clear" w:color="auto" w:fill="BF5B5A"/>
          </w:tcPr>
          <w:p>
            <w:pPr>
              <w:spacing w:after="0"/>
              <w:rPr>
                <w:sz w:val="14"/>
                <w:szCs w:val="14"/>
                <w:color w:val="auto"/>
              </w:rPr>
            </w:pPr>
          </w:p>
        </w:tc>
        <w:tc>
          <w:tcPr>
            <w:tcW w:w="80" w:type="dxa"/>
            <w:vAlign w:val="bottom"/>
            <w:shd w:val="clear" w:color="auto" w:fill="BF5B5A"/>
          </w:tcPr>
          <w:p>
            <w:pPr>
              <w:spacing w:after="0"/>
              <w:rPr>
                <w:sz w:val="14"/>
                <w:szCs w:val="14"/>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Actually Paid</w:t>
            </w:r>
          </w:p>
        </w:tc>
        <w:tc>
          <w:tcPr>
            <w:tcW w:w="120" w:type="dxa"/>
            <w:vAlign w:val="bottom"/>
            <w:shd w:val="clear" w:color="auto" w:fill="BF5B5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BF5B5A"/>
          </w:tcPr>
          <w:p>
            <w:pPr>
              <w:spacing w:after="0"/>
              <w:rPr>
                <w:sz w:val="12"/>
                <w:szCs w:val="12"/>
                <w:color w:val="auto"/>
              </w:rPr>
            </w:pPr>
          </w:p>
        </w:tc>
        <w:tc>
          <w:tcPr>
            <w:tcW w:w="4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Non-CEO</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Non-CEO</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Non-CEO</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Cost for Non-CEO</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for Non-CEO</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to Non-CEO</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BF5B5A"/>
          </w:tcPr>
          <w:p>
            <w:pPr>
              <w:spacing w:after="0"/>
              <w:rPr>
                <w:sz w:val="12"/>
                <w:szCs w:val="12"/>
                <w:color w:val="auto"/>
              </w:rPr>
            </w:pPr>
          </w:p>
        </w:tc>
        <w:tc>
          <w:tcPr>
            <w:tcW w:w="4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6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1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4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00" w:type="dxa"/>
            <w:vAlign w:val="bottom"/>
            <w:shd w:val="clear" w:color="auto" w:fill="BF5B5A"/>
          </w:tcPr>
          <w:p>
            <w:pPr>
              <w:ind w:left="40"/>
              <w:spacing w:after="0" w:line="203"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Year</w:t>
            </w:r>
          </w:p>
        </w:tc>
        <w:tc>
          <w:tcPr>
            <w:tcW w:w="460" w:type="dxa"/>
            <w:vAlign w:val="bottom"/>
            <w:shd w:val="clear" w:color="auto" w:fill="BF5B5A"/>
          </w:tcPr>
          <w:p>
            <w:pPr>
              <w:ind w:left="380"/>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87"/>
              </w:rPr>
              <w:t>($)</w:t>
            </w:r>
          </w:p>
        </w:tc>
        <w:tc>
          <w:tcPr>
            <w:tcW w:w="14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3"/>
        </w:trPr>
        <w:tc>
          <w:tcPr>
            <w:tcW w:w="80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2023</w:t>
            </w:r>
          </w:p>
        </w:tc>
        <w:tc>
          <w:tcPr>
            <w:tcW w:w="460" w:type="dxa"/>
            <w:vAlign w:val="bottom"/>
            <w:tcBorders>
              <w:bottom w:val="single" w:sz="8" w:color="7F7F7F"/>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1,522,774</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ind w:left="1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​(453,318)</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332,738</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1,402,194</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80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460" w:type="dxa"/>
            <w:vAlign w:val="bottom"/>
            <w:tcBorders>
              <w:bottom w:val="single" w:sz="8" w:color="7F7F7F"/>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1,272,234</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ind w:left="1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​(349,988)</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107,101</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1,029,347</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80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460" w:type="dxa"/>
            <w:vAlign w:val="bottom"/>
            <w:tcBorders>
              <w:bottom w:val="single" w:sz="8" w:color="7F7F7F"/>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1,354,207</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ind w:left="1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​(391,985)</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467,907</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1,430,129</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800" w:type="dxa"/>
            <w:vAlign w:val="bottom"/>
            <w:tcBorders>
              <w:bottom w:val="single" w:sz="8" w:color="BF5B5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460" w:type="dxa"/>
            <w:vAlign w:val="bottom"/>
            <w:tcBorders>
              <w:bottom w:val="single" w:sz="8" w:color="BF5B5A"/>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1,181,879</w:t>
            </w:r>
          </w:p>
        </w:tc>
        <w:tc>
          <w:tcPr>
            <w:tcW w:w="16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F5B5A"/>
            </w:tcBorders>
          </w:tcPr>
          <w:p>
            <w:pPr>
              <w:ind w:left="1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​(442,488)</w:t>
            </w:r>
          </w:p>
        </w:tc>
        <w:tc>
          <w:tcPr>
            <w:tcW w:w="16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183,458</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922,849</w:t>
            </w: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40" w:right="600"/>
        <w:spacing w:after="0" w:line="321" w:lineRule="auto"/>
        <w:rPr>
          <w:sz w:val="20"/>
          <w:szCs w:val="20"/>
          <w:color w:val="auto"/>
        </w:rPr>
      </w:pPr>
      <w:r>
        <w:rPr>
          <w:rFonts w:ascii="Arial" w:cs="Arial" w:eastAsia="Arial" w:hAnsi="Arial"/>
          <w:sz w:val="16"/>
          <w:szCs w:val="16"/>
          <w:color w:val="auto"/>
        </w:rPr>
        <w:t>The amounts in the Inclusion of Equity Values in the tables above are derived from the amounts set forth in the following tables: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20" w:type="dxa"/>
            <w:vAlign w:val="bottom"/>
            <w:shd w:val="clear" w:color="auto" w:fill="BF5B5A"/>
          </w:tcPr>
          <w:p>
            <w:pPr>
              <w:spacing w:after="0"/>
              <w:rPr>
                <w:sz w:val="15"/>
                <w:szCs w:val="15"/>
                <w:color w:val="auto"/>
              </w:rPr>
            </w:pPr>
          </w:p>
        </w:tc>
        <w:tc>
          <w:tcPr>
            <w:tcW w:w="1660" w:type="dxa"/>
            <w:vAlign w:val="bottom"/>
            <w:gridSpan w:val="2"/>
            <w:vMerge w:val="restart"/>
            <w:shd w:val="clear" w:color="auto" w:fill="BF5B5A"/>
          </w:tcPr>
          <w:p>
            <w:pPr>
              <w:jc w:val="center"/>
              <w:ind w:left="210"/>
              <w:spacing w:after="0"/>
              <w:rPr>
                <w:sz w:val="20"/>
                <w:szCs w:val="20"/>
                <w:color w:val="auto"/>
              </w:rPr>
            </w:pPr>
            <w:r>
              <w:rPr>
                <w:rFonts w:ascii="Arial" w:cs="Arial" w:eastAsia="Arial" w:hAnsi="Arial"/>
                <w:sz w:val="13"/>
                <w:szCs w:val="13"/>
                <w:b w:val="1"/>
                <w:bCs w:val="1"/>
                <w:color w:val="FFFFFF"/>
                <w:w w:val="99"/>
              </w:rPr>
              <w:t>Year-End Fair Value</w:t>
            </w:r>
          </w:p>
        </w:tc>
        <w:tc>
          <w:tcPr>
            <w:tcW w:w="180" w:type="dxa"/>
            <w:vAlign w:val="bottom"/>
            <w:shd w:val="clear" w:color="auto" w:fill="BF5B5A"/>
          </w:tcPr>
          <w:p>
            <w:pPr>
              <w:spacing w:after="0"/>
              <w:rPr>
                <w:sz w:val="15"/>
                <w:szCs w:val="15"/>
                <w:color w:val="auto"/>
              </w:rPr>
            </w:pPr>
          </w:p>
        </w:tc>
        <w:tc>
          <w:tcPr>
            <w:tcW w:w="60" w:type="dxa"/>
            <w:vAlign w:val="bottom"/>
            <w:shd w:val="clear" w:color="auto" w:fill="BF5B5A"/>
          </w:tcPr>
          <w:p>
            <w:pPr>
              <w:spacing w:after="0"/>
              <w:rPr>
                <w:sz w:val="15"/>
                <w:szCs w:val="15"/>
                <w:color w:val="auto"/>
              </w:rPr>
            </w:pPr>
          </w:p>
        </w:tc>
        <w:tc>
          <w:tcPr>
            <w:tcW w:w="60" w:type="dxa"/>
            <w:vAlign w:val="bottom"/>
            <w:shd w:val="clear" w:color="auto" w:fill="BF5B5A"/>
          </w:tcPr>
          <w:p>
            <w:pPr>
              <w:spacing w:after="0"/>
              <w:rPr>
                <w:sz w:val="15"/>
                <w:szCs w:val="15"/>
                <w:color w:val="auto"/>
              </w:rPr>
            </w:pPr>
          </w:p>
        </w:tc>
        <w:tc>
          <w:tcPr>
            <w:tcW w:w="1340" w:type="dxa"/>
            <w:vAlign w:val="bottom"/>
            <w:vMerge w:val="restart"/>
            <w:shd w:val="clear" w:color="auto" w:fill="BF5B5A"/>
          </w:tcPr>
          <w:p>
            <w:pPr>
              <w:jc w:val="center"/>
              <w:ind w:right="71"/>
              <w:spacing w:after="0"/>
              <w:rPr>
                <w:sz w:val="20"/>
                <w:szCs w:val="20"/>
                <w:color w:val="auto"/>
              </w:rPr>
            </w:pPr>
            <w:r>
              <w:rPr>
                <w:rFonts w:ascii="Arial" w:cs="Arial" w:eastAsia="Arial" w:hAnsi="Arial"/>
                <w:sz w:val="13"/>
                <w:szCs w:val="13"/>
                <w:b w:val="1"/>
                <w:bCs w:val="1"/>
                <w:color w:val="FFFFFF"/>
              </w:rPr>
              <w:t>Change in Fair</w:t>
            </w:r>
          </w:p>
        </w:tc>
        <w:tc>
          <w:tcPr>
            <w:tcW w:w="8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300" w:type="dxa"/>
            <w:vAlign w:val="bottom"/>
            <w:shd w:val="clear" w:color="auto" w:fill="BF5B5A"/>
          </w:tcPr>
          <w:p>
            <w:pPr>
              <w:jc w:val="center"/>
              <w:ind w:right="111"/>
              <w:spacing w:after="0"/>
              <w:rPr>
                <w:sz w:val="20"/>
                <w:szCs w:val="20"/>
                <w:color w:val="auto"/>
              </w:rPr>
            </w:pPr>
            <w:r>
              <w:rPr>
                <w:rFonts w:ascii="Arial" w:cs="Arial" w:eastAsia="Arial" w:hAnsi="Arial"/>
                <w:sz w:val="13"/>
                <w:szCs w:val="13"/>
                <w:b w:val="1"/>
                <w:bCs w:val="1"/>
                <w:color w:val="FFFFFF"/>
              </w:rPr>
              <w:t>Change in Fair</w:t>
            </w:r>
          </w:p>
        </w:tc>
        <w:tc>
          <w:tcPr>
            <w:tcW w:w="6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460" w:type="dxa"/>
            <w:vAlign w:val="bottom"/>
            <w:shd w:val="clear" w:color="auto" w:fill="BF5B5A"/>
          </w:tcPr>
          <w:p>
            <w:pPr>
              <w:spacing w:after="0"/>
              <w:rPr>
                <w:sz w:val="15"/>
                <w:szCs w:val="15"/>
                <w:color w:val="auto"/>
              </w:rPr>
            </w:pPr>
          </w:p>
        </w:tc>
        <w:tc>
          <w:tcPr>
            <w:tcW w:w="740" w:type="dxa"/>
            <w:vAlign w:val="bottom"/>
            <w:shd w:val="clear" w:color="auto" w:fill="BF5B5A"/>
          </w:tcPr>
          <w:p>
            <w:pPr>
              <w:spacing w:after="0"/>
              <w:rPr>
                <w:sz w:val="15"/>
                <w:szCs w:val="15"/>
                <w:color w:val="auto"/>
              </w:rPr>
            </w:pPr>
          </w:p>
        </w:tc>
        <w:tc>
          <w:tcPr>
            <w:tcW w:w="14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12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BF5B5A"/>
          </w:tcPr>
          <w:p>
            <w:pPr>
              <w:spacing w:after="0"/>
              <w:rPr>
                <w:sz w:val="12"/>
                <w:szCs w:val="12"/>
                <w:color w:val="auto"/>
              </w:rPr>
            </w:pPr>
          </w:p>
        </w:tc>
        <w:tc>
          <w:tcPr>
            <w:tcW w:w="1660" w:type="dxa"/>
            <w:vAlign w:val="bottom"/>
            <w:gridSpan w:val="2"/>
            <w:vMerge w:val="continue"/>
            <w:shd w:val="clear" w:color="auto" w:fill="BF5B5A"/>
          </w:tcPr>
          <w:p>
            <w:pPr>
              <w:spacing w:after="0"/>
              <w:rPr>
                <w:sz w:val="12"/>
                <w:szCs w:val="12"/>
                <w:color w:val="auto"/>
              </w:rPr>
            </w:pP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vMerge w:val="continue"/>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400" w:type="dxa"/>
            <w:vAlign w:val="bottom"/>
            <w:gridSpan w:val="2"/>
            <w:shd w:val="clear" w:color="auto" w:fill="BF5B5A"/>
          </w:tcPr>
          <w:p>
            <w:pPr>
              <w:ind w:left="40"/>
              <w:spacing w:after="0"/>
              <w:rPr>
                <w:sz w:val="20"/>
                <w:szCs w:val="20"/>
                <w:color w:val="auto"/>
              </w:rPr>
            </w:pPr>
            <w:r>
              <w:rPr>
                <w:rFonts w:ascii="Arial" w:cs="Arial" w:eastAsia="Arial" w:hAnsi="Arial"/>
                <w:sz w:val="13"/>
                <w:szCs w:val="13"/>
                <w:b w:val="1"/>
                <w:bCs w:val="1"/>
                <w:color w:val="FFFFFF"/>
              </w:rPr>
              <w:t>Value from Last Day</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vMerge w:val="restart"/>
            <w:shd w:val="clear" w:color="auto" w:fill="BF5B5A"/>
          </w:tcPr>
          <w:p>
            <w:pPr>
              <w:jc w:val="center"/>
              <w:ind w:right="10"/>
              <w:spacing w:after="0"/>
              <w:rPr>
                <w:sz w:val="20"/>
                <w:szCs w:val="20"/>
                <w:color w:val="auto"/>
              </w:rPr>
            </w:pPr>
            <w:r>
              <w:rPr>
                <w:rFonts w:ascii="Arial" w:cs="Arial" w:eastAsia="Arial" w:hAnsi="Arial"/>
                <w:sz w:val="13"/>
                <w:szCs w:val="13"/>
                <w:b w:val="1"/>
                <w:bCs w:val="1"/>
                <w:color w:val="FFFFFF"/>
              </w:rPr>
              <w:t>Fair Value at Last</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ind w:right="31"/>
              <w:spacing w:after="0"/>
              <w:rPr>
                <w:sz w:val="20"/>
                <w:szCs w:val="20"/>
                <w:color w:val="auto"/>
              </w:rPr>
            </w:pPr>
            <w:r>
              <w:rPr>
                <w:rFonts w:ascii="Arial" w:cs="Arial" w:eastAsia="Arial" w:hAnsi="Arial"/>
                <w:sz w:val="13"/>
                <w:szCs w:val="13"/>
                <w:b w:val="1"/>
                <w:bCs w:val="1"/>
                <w:color w:val="FFFFFF"/>
              </w:rPr>
              <w:t>of Equity Awards</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400" w:type="dxa"/>
            <w:vAlign w:val="bottom"/>
            <w:gridSpan w:val="2"/>
            <w:shd w:val="clear" w:color="auto" w:fill="BF5B5A"/>
          </w:tcPr>
          <w:p>
            <w:pPr>
              <w:jc w:val="center"/>
              <w:ind w:right="11"/>
              <w:spacing w:after="0"/>
              <w:rPr>
                <w:sz w:val="20"/>
                <w:szCs w:val="20"/>
                <w:color w:val="auto"/>
              </w:rPr>
            </w:pPr>
            <w:r>
              <w:rPr>
                <w:rFonts w:ascii="Arial" w:cs="Arial" w:eastAsia="Arial" w:hAnsi="Arial"/>
                <w:sz w:val="13"/>
                <w:szCs w:val="13"/>
                <w:b w:val="1"/>
                <w:bCs w:val="1"/>
                <w:color w:val="FFFFFF"/>
                <w:w w:val="99"/>
              </w:rPr>
              <w:t>Value from Last Day</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ind w:right="91"/>
              <w:spacing w:after="0"/>
              <w:rPr>
                <w:sz w:val="20"/>
                <w:szCs w:val="20"/>
                <w:color w:val="auto"/>
              </w:rPr>
            </w:pPr>
            <w:r>
              <w:rPr>
                <w:rFonts w:ascii="Arial" w:cs="Arial" w:eastAsia="Arial" w:hAnsi="Arial"/>
                <w:sz w:val="13"/>
                <w:szCs w:val="13"/>
                <w:b w:val="1"/>
                <w:bCs w:val="1"/>
                <w:color w:val="FFFFFF"/>
              </w:rPr>
              <w:t>of Prior Year to</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vMerge w:val="continue"/>
            <w:shd w:val="clear" w:color="auto" w:fill="BF5B5A"/>
          </w:tcPr>
          <w:p>
            <w:pPr>
              <w:spacing w:after="0"/>
              <w:rPr>
                <w:sz w:val="12"/>
                <w:szCs w:val="12"/>
                <w:color w:val="auto"/>
              </w:rPr>
            </w:pP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20" w:type="dxa"/>
            <w:vAlign w:val="bottom"/>
            <w:shd w:val="clear" w:color="auto" w:fill="BF5B5A"/>
          </w:tcPr>
          <w:p>
            <w:pPr>
              <w:spacing w:after="0"/>
              <w:rPr>
                <w:sz w:val="13"/>
                <w:szCs w:val="13"/>
                <w:color w:val="auto"/>
              </w:rPr>
            </w:pPr>
          </w:p>
        </w:tc>
        <w:tc>
          <w:tcPr>
            <w:tcW w:w="400" w:type="dxa"/>
            <w:vAlign w:val="bottom"/>
            <w:shd w:val="clear" w:color="auto" w:fill="BF5B5A"/>
          </w:tcPr>
          <w:p>
            <w:pPr>
              <w:spacing w:after="0"/>
              <w:rPr>
                <w:sz w:val="13"/>
                <w:szCs w:val="13"/>
                <w:color w:val="auto"/>
              </w:rPr>
            </w:pPr>
          </w:p>
        </w:tc>
        <w:tc>
          <w:tcPr>
            <w:tcW w:w="1260" w:type="dxa"/>
            <w:vAlign w:val="bottom"/>
            <w:shd w:val="clear" w:color="auto" w:fill="BF5B5A"/>
          </w:tcPr>
          <w:p>
            <w:pPr>
              <w:jc w:val="center"/>
              <w:ind w:right="31"/>
              <w:spacing w:after="0"/>
              <w:rPr>
                <w:sz w:val="20"/>
                <w:szCs w:val="20"/>
                <w:color w:val="auto"/>
              </w:rPr>
            </w:pPr>
            <w:r>
              <w:rPr>
                <w:rFonts w:ascii="Arial" w:cs="Arial" w:eastAsia="Arial" w:hAnsi="Arial"/>
                <w:sz w:val="13"/>
                <w:szCs w:val="13"/>
                <w:b w:val="1"/>
                <w:bCs w:val="1"/>
                <w:color w:val="FFFFFF"/>
              </w:rPr>
              <w:t>Granted During</w:t>
            </w:r>
          </w:p>
        </w:tc>
        <w:tc>
          <w:tcPr>
            <w:tcW w:w="18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1400" w:type="dxa"/>
            <w:vAlign w:val="bottom"/>
            <w:gridSpan w:val="2"/>
            <w:shd w:val="clear" w:color="auto" w:fill="BF5B5A"/>
          </w:tcPr>
          <w:p>
            <w:pPr>
              <w:jc w:val="center"/>
              <w:ind w:right="11"/>
              <w:spacing w:after="0"/>
              <w:rPr>
                <w:sz w:val="20"/>
                <w:szCs w:val="20"/>
                <w:color w:val="auto"/>
              </w:rPr>
            </w:pPr>
            <w:r>
              <w:rPr>
                <w:rFonts w:ascii="Arial" w:cs="Arial" w:eastAsia="Arial" w:hAnsi="Arial"/>
                <w:sz w:val="13"/>
                <w:szCs w:val="13"/>
                <w:b w:val="1"/>
                <w:bCs w:val="1"/>
                <w:color w:val="FFFFFF"/>
                <w:w w:val="99"/>
              </w:rPr>
              <w:t>of Prior Year to Last</w:t>
            </w:r>
          </w:p>
        </w:tc>
        <w:tc>
          <w:tcPr>
            <w:tcW w:w="8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300" w:type="dxa"/>
            <w:vAlign w:val="bottom"/>
            <w:shd w:val="clear" w:color="auto" w:fill="BF5B5A"/>
          </w:tcPr>
          <w:p>
            <w:pPr>
              <w:jc w:val="center"/>
              <w:ind w:right="111"/>
              <w:spacing w:after="0"/>
              <w:rPr>
                <w:sz w:val="20"/>
                <w:szCs w:val="20"/>
                <w:color w:val="auto"/>
              </w:rPr>
            </w:pPr>
            <w:r>
              <w:rPr>
                <w:rFonts w:ascii="Arial" w:cs="Arial" w:eastAsia="Arial" w:hAnsi="Arial"/>
                <w:sz w:val="13"/>
                <w:szCs w:val="13"/>
                <w:b w:val="1"/>
                <w:bCs w:val="1"/>
                <w:color w:val="FFFFFF"/>
              </w:rPr>
              <w:t>Vesting Date of</w:t>
            </w:r>
          </w:p>
        </w:tc>
        <w:tc>
          <w:tcPr>
            <w:tcW w:w="6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1280" w:type="dxa"/>
            <w:vAlign w:val="bottom"/>
            <w:gridSpan w:val="3"/>
            <w:shd w:val="clear" w:color="auto" w:fill="BF5B5A"/>
          </w:tcPr>
          <w:p>
            <w:pPr>
              <w:ind w:left="20"/>
              <w:spacing w:after="0"/>
              <w:rPr>
                <w:sz w:val="20"/>
                <w:szCs w:val="20"/>
                <w:color w:val="auto"/>
              </w:rPr>
            </w:pPr>
            <w:r>
              <w:rPr>
                <w:rFonts w:ascii="Arial" w:cs="Arial" w:eastAsia="Arial" w:hAnsi="Arial"/>
                <w:sz w:val="13"/>
                <w:szCs w:val="13"/>
                <w:b w:val="1"/>
                <w:bCs w:val="1"/>
                <w:color w:val="FFFFFF"/>
              </w:rPr>
              <w:t>Day of Prior Year of</w:t>
            </w:r>
          </w:p>
        </w:tc>
        <w:tc>
          <w:tcPr>
            <w:tcW w:w="14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220" w:type="dxa"/>
            <w:vAlign w:val="bottom"/>
            <w:gridSpan w:val="2"/>
            <w:vMerge w:val="restart"/>
            <w:shd w:val="clear" w:color="auto" w:fill="BF5B5A"/>
          </w:tcPr>
          <w:p>
            <w:pPr>
              <w:ind w:left="20"/>
              <w:spacing w:after="0"/>
              <w:rPr>
                <w:sz w:val="20"/>
                <w:szCs w:val="20"/>
                <w:color w:val="auto"/>
              </w:rPr>
            </w:pPr>
            <w:r>
              <w:rPr>
                <w:rFonts w:ascii="Arial" w:cs="Arial" w:eastAsia="Arial" w:hAnsi="Arial"/>
                <w:sz w:val="13"/>
                <w:szCs w:val="13"/>
                <w:b w:val="1"/>
                <w:bCs w:val="1"/>
                <w:color w:val="FFFFFF"/>
              </w:rPr>
              <w:t>Total – Inclusion of</w:t>
            </w:r>
          </w:p>
        </w:tc>
        <w:tc>
          <w:tcPr>
            <w:tcW w:w="12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0" w:type="dxa"/>
            <w:vAlign w:val="bottom"/>
            <w:shd w:val="clear" w:color="auto" w:fill="BF5B5A"/>
          </w:tcPr>
          <w:p>
            <w:pPr>
              <w:spacing w:after="0"/>
              <w:rPr>
                <w:sz w:val="13"/>
                <w:szCs w:val="13"/>
                <w:color w:val="auto"/>
              </w:rPr>
            </w:pPr>
          </w:p>
        </w:tc>
        <w:tc>
          <w:tcPr>
            <w:tcW w:w="1660" w:type="dxa"/>
            <w:vAlign w:val="bottom"/>
            <w:gridSpan w:val="2"/>
            <w:shd w:val="clear" w:color="auto" w:fill="BF5B5A"/>
          </w:tcPr>
          <w:p>
            <w:pPr>
              <w:jc w:val="center"/>
              <w:ind w:left="210"/>
              <w:spacing w:after="0"/>
              <w:rPr>
                <w:sz w:val="20"/>
                <w:szCs w:val="20"/>
                <w:color w:val="auto"/>
              </w:rPr>
            </w:pPr>
            <w:r>
              <w:rPr>
                <w:rFonts w:ascii="Arial" w:cs="Arial" w:eastAsia="Arial" w:hAnsi="Arial"/>
                <w:sz w:val="13"/>
                <w:szCs w:val="13"/>
                <w:b w:val="1"/>
                <w:bCs w:val="1"/>
                <w:color w:val="FFFFFF"/>
              </w:rPr>
              <w:t>Year That Remained</w:t>
            </w:r>
          </w:p>
        </w:tc>
        <w:tc>
          <w:tcPr>
            <w:tcW w:w="18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1340" w:type="dxa"/>
            <w:vAlign w:val="bottom"/>
            <w:shd w:val="clear" w:color="auto" w:fill="BF5B5A"/>
          </w:tcPr>
          <w:p>
            <w:pPr>
              <w:jc w:val="center"/>
              <w:ind w:right="71"/>
              <w:spacing w:after="0"/>
              <w:rPr>
                <w:sz w:val="20"/>
                <w:szCs w:val="20"/>
                <w:color w:val="auto"/>
              </w:rPr>
            </w:pPr>
            <w:r>
              <w:rPr>
                <w:rFonts w:ascii="Arial" w:cs="Arial" w:eastAsia="Arial" w:hAnsi="Arial"/>
                <w:sz w:val="13"/>
                <w:szCs w:val="13"/>
                <w:b w:val="1"/>
                <w:bCs w:val="1"/>
                <w:color w:val="FFFFFF"/>
              </w:rPr>
              <w:t>Day of Year of</w:t>
            </w:r>
          </w:p>
        </w:tc>
        <w:tc>
          <w:tcPr>
            <w:tcW w:w="8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300" w:type="dxa"/>
            <w:vAlign w:val="bottom"/>
            <w:shd w:val="clear" w:color="auto" w:fill="BF5B5A"/>
          </w:tcPr>
          <w:p>
            <w:pPr>
              <w:jc w:val="center"/>
              <w:ind w:right="111"/>
              <w:spacing w:after="0"/>
              <w:rPr>
                <w:sz w:val="20"/>
                <w:szCs w:val="20"/>
                <w:color w:val="auto"/>
              </w:rPr>
            </w:pPr>
            <w:r>
              <w:rPr>
                <w:rFonts w:ascii="Arial" w:cs="Arial" w:eastAsia="Arial" w:hAnsi="Arial"/>
                <w:sz w:val="13"/>
                <w:szCs w:val="13"/>
                <w:b w:val="1"/>
                <w:bCs w:val="1"/>
                <w:color w:val="FFFFFF"/>
              </w:rPr>
              <w:t>Unvested Equity</w:t>
            </w:r>
          </w:p>
        </w:tc>
        <w:tc>
          <w:tcPr>
            <w:tcW w:w="6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1200" w:type="dxa"/>
            <w:vAlign w:val="bottom"/>
            <w:gridSpan w:val="2"/>
            <w:shd w:val="clear" w:color="auto" w:fill="BF5B5A"/>
          </w:tcPr>
          <w:p>
            <w:pPr>
              <w:jc w:val="center"/>
              <w:ind w:right="30"/>
              <w:spacing w:after="0"/>
              <w:rPr>
                <w:sz w:val="20"/>
                <w:szCs w:val="20"/>
                <w:color w:val="auto"/>
              </w:rPr>
            </w:pPr>
            <w:r>
              <w:rPr>
                <w:rFonts w:ascii="Arial" w:cs="Arial" w:eastAsia="Arial" w:hAnsi="Arial"/>
                <w:sz w:val="13"/>
                <w:szCs w:val="13"/>
                <w:b w:val="1"/>
                <w:bCs w:val="1"/>
                <w:color w:val="FFFFFF"/>
                <w:w w:val="99"/>
              </w:rPr>
              <w:t>Equity Awards</w:t>
            </w:r>
          </w:p>
        </w:tc>
        <w:tc>
          <w:tcPr>
            <w:tcW w:w="14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220" w:type="dxa"/>
            <w:vAlign w:val="bottom"/>
            <w:gridSpan w:val="2"/>
            <w:vMerge w:val="continue"/>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BF5B5A"/>
          </w:tcPr>
          <w:p>
            <w:pPr>
              <w:spacing w:after="0"/>
              <w:rPr>
                <w:sz w:val="12"/>
                <w:szCs w:val="12"/>
                <w:color w:val="auto"/>
              </w:rPr>
            </w:pPr>
          </w:p>
        </w:tc>
        <w:tc>
          <w:tcPr>
            <w:tcW w:w="1660" w:type="dxa"/>
            <w:vAlign w:val="bottom"/>
            <w:gridSpan w:val="2"/>
            <w:shd w:val="clear" w:color="auto" w:fill="BF5B5A"/>
          </w:tcPr>
          <w:p>
            <w:pPr>
              <w:jc w:val="center"/>
              <w:ind w:left="230"/>
              <w:spacing w:after="0"/>
              <w:rPr>
                <w:sz w:val="20"/>
                <w:szCs w:val="20"/>
                <w:color w:val="auto"/>
              </w:rPr>
            </w:pPr>
            <w:r>
              <w:rPr>
                <w:rFonts w:ascii="Arial" w:cs="Arial" w:eastAsia="Arial" w:hAnsi="Arial"/>
                <w:sz w:val="13"/>
                <w:szCs w:val="13"/>
                <w:b w:val="1"/>
                <w:bCs w:val="1"/>
                <w:color w:val="FFFFFF"/>
              </w:rPr>
              <w:t>Unvested as of Last</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ind w:right="71"/>
              <w:spacing w:after="0"/>
              <w:rPr>
                <w:sz w:val="20"/>
                <w:szCs w:val="20"/>
                <w:color w:val="auto"/>
              </w:rPr>
            </w:pPr>
            <w:r>
              <w:rPr>
                <w:rFonts w:ascii="Arial" w:cs="Arial" w:eastAsia="Arial" w:hAnsi="Arial"/>
                <w:sz w:val="13"/>
                <w:szCs w:val="13"/>
                <w:b w:val="1"/>
                <w:bCs w:val="1"/>
                <w:color w:val="FFFFFF"/>
              </w:rPr>
              <w:t>Unvested Equity</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400" w:type="dxa"/>
            <w:vAlign w:val="bottom"/>
            <w:gridSpan w:val="2"/>
            <w:shd w:val="clear" w:color="auto" w:fill="BF5B5A"/>
          </w:tcPr>
          <w:p>
            <w:pPr>
              <w:jc w:val="center"/>
              <w:ind w:right="11"/>
              <w:spacing w:after="0"/>
              <w:rPr>
                <w:sz w:val="20"/>
                <w:szCs w:val="20"/>
                <w:color w:val="auto"/>
              </w:rPr>
            </w:pPr>
            <w:r>
              <w:rPr>
                <w:rFonts w:ascii="Arial" w:cs="Arial" w:eastAsia="Arial" w:hAnsi="Arial"/>
                <w:sz w:val="13"/>
                <w:szCs w:val="13"/>
                <w:b w:val="1"/>
                <w:bCs w:val="1"/>
                <w:color w:val="FFFFFF"/>
                <w:w w:val="99"/>
              </w:rPr>
              <w:t>Awards that Vested</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shd w:val="clear" w:color="auto" w:fill="BF5B5A"/>
          </w:tcPr>
          <w:p>
            <w:pPr>
              <w:jc w:val="center"/>
              <w:ind w:right="30"/>
              <w:spacing w:after="0"/>
              <w:rPr>
                <w:sz w:val="20"/>
                <w:szCs w:val="20"/>
                <w:color w:val="auto"/>
              </w:rPr>
            </w:pPr>
            <w:r>
              <w:rPr>
                <w:rFonts w:ascii="Arial" w:cs="Arial" w:eastAsia="Arial" w:hAnsi="Arial"/>
                <w:sz w:val="13"/>
                <w:szCs w:val="13"/>
                <w:b w:val="1"/>
                <w:bCs w:val="1"/>
                <w:color w:val="FFFFFF"/>
              </w:rPr>
              <w:t>Forfeited During</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220" w:type="dxa"/>
            <w:vAlign w:val="bottom"/>
            <w:gridSpan w:val="2"/>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Equity Values for</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BF5B5A"/>
          </w:tcPr>
          <w:p>
            <w:pPr>
              <w:spacing w:after="0"/>
              <w:rPr>
                <w:sz w:val="12"/>
                <w:szCs w:val="12"/>
                <w:color w:val="auto"/>
              </w:rPr>
            </w:pPr>
          </w:p>
        </w:tc>
        <w:tc>
          <w:tcPr>
            <w:tcW w:w="1660" w:type="dxa"/>
            <w:vAlign w:val="bottom"/>
            <w:gridSpan w:val="2"/>
            <w:shd w:val="clear" w:color="auto" w:fill="BF5B5A"/>
          </w:tcPr>
          <w:p>
            <w:pPr>
              <w:jc w:val="center"/>
              <w:ind w:left="210"/>
              <w:spacing w:after="0"/>
              <w:rPr>
                <w:sz w:val="20"/>
                <w:szCs w:val="20"/>
                <w:color w:val="auto"/>
              </w:rPr>
            </w:pPr>
            <w:r>
              <w:rPr>
                <w:rFonts w:ascii="Arial" w:cs="Arial" w:eastAsia="Arial" w:hAnsi="Arial"/>
                <w:sz w:val="13"/>
                <w:szCs w:val="13"/>
                <w:b w:val="1"/>
                <w:bCs w:val="1"/>
                <w:color w:val="FFFFFF"/>
              </w:rPr>
              <w:t>Day of Year for CEO</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ind w:right="71"/>
              <w:spacing w:after="0"/>
              <w:rPr>
                <w:sz w:val="20"/>
                <w:szCs w:val="20"/>
                <w:color w:val="auto"/>
              </w:rPr>
            </w:pPr>
            <w:r>
              <w:rPr>
                <w:rFonts w:ascii="Arial" w:cs="Arial" w:eastAsia="Arial" w:hAnsi="Arial"/>
                <w:sz w:val="13"/>
                <w:szCs w:val="13"/>
                <w:b w:val="1"/>
                <w:bCs w:val="1"/>
                <w:color w:val="FFFFFF"/>
              </w:rPr>
              <w:t>Awards for CEO</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400" w:type="dxa"/>
            <w:vAlign w:val="bottom"/>
            <w:gridSpan w:val="2"/>
            <w:shd w:val="clear" w:color="auto" w:fill="BF5B5A"/>
          </w:tcPr>
          <w:p>
            <w:pPr>
              <w:ind w:left="20"/>
              <w:spacing w:after="0"/>
              <w:rPr>
                <w:sz w:val="20"/>
                <w:szCs w:val="20"/>
                <w:color w:val="auto"/>
              </w:rPr>
            </w:pPr>
            <w:r>
              <w:rPr>
                <w:rFonts w:ascii="Arial" w:cs="Arial" w:eastAsia="Arial" w:hAnsi="Arial"/>
                <w:sz w:val="13"/>
                <w:szCs w:val="13"/>
                <w:b w:val="1"/>
                <w:bCs w:val="1"/>
                <w:color w:val="FFFFFF"/>
              </w:rPr>
              <w:t>During Year for CEO</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shd w:val="clear" w:color="auto" w:fill="BF5B5A"/>
          </w:tcPr>
          <w:p>
            <w:pPr>
              <w:jc w:val="center"/>
              <w:ind w:right="30"/>
              <w:spacing w:after="0"/>
              <w:rPr>
                <w:sz w:val="20"/>
                <w:szCs w:val="20"/>
                <w:color w:val="auto"/>
              </w:rPr>
            </w:pPr>
            <w:r>
              <w:rPr>
                <w:rFonts w:ascii="Arial" w:cs="Arial" w:eastAsia="Arial" w:hAnsi="Arial"/>
                <w:sz w:val="13"/>
                <w:szCs w:val="13"/>
                <w:b w:val="1"/>
                <w:bCs w:val="1"/>
                <w:color w:val="FFFFFF"/>
              </w:rPr>
              <w:t>Year for CEO</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jc w:val="center"/>
              <w:ind w:right="51"/>
              <w:spacing w:after="0"/>
              <w:rPr>
                <w:sz w:val="20"/>
                <w:szCs w:val="20"/>
                <w:color w:val="auto"/>
              </w:rPr>
            </w:pPr>
            <w:r>
              <w:rPr>
                <w:rFonts w:ascii="Arial" w:cs="Arial" w:eastAsia="Arial" w:hAnsi="Arial"/>
                <w:sz w:val="13"/>
                <w:szCs w:val="13"/>
                <w:b w:val="1"/>
                <w:bCs w:val="1"/>
                <w:color w:val="FFFFFF"/>
                <w:w w:val="99"/>
              </w:rPr>
              <w:t>CEO</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20" w:type="dxa"/>
            <w:vAlign w:val="bottom"/>
            <w:shd w:val="clear" w:color="auto" w:fill="BF5B5A"/>
          </w:tcPr>
          <w:p>
            <w:pPr>
              <w:ind w:left="40"/>
              <w:spacing w:after="0" w:line="203"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Year</w:t>
            </w:r>
          </w:p>
        </w:tc>
        <w:tc>
          <w:tcPr>
            <w:tcW w:w="400" w:type="dxa"/>
            <w:vAlign w:val="bottom"/>
            <w:shd w:val="clear" w:color="auto" w:fill="BF5B5A"/>
          </w:tcPr>
          <w:p>
            <w:pPr>
              <w:ind w:left="140"/>
              <w:spacing w:after="0"/>
              <w:rPr>
                <w:sz w:val="20"/>
                <w:szCs w:val="20"/>
                <w:color w:val="auto"/>
              </w:rPr>
            </w:pPr>
            <w:r>
              <w:rPr>
                <w:rFonts w:ascii="Arial" w:cs="Arial" w:eastAsia="Arial" w:hAnsi="Arial"/>
                <w:sz w:val="13"/>
                <w:szCs w:val="13"/>
                <w:b w:val="1"/>
                <w:bCs w:val="1"/>
                <w:color w:val="FFFFFF"/>
              </w:rPr>
              <w:t>​ ​</w:t>
            </w: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BF5B5A"/>
          </w:tcPr>
          <w:p>
            <w:pPr>
              <w:spacing w:after="0"/>
              <w:rPr>
                <w:sz w:val="17"/>
                <w:szCs w:val="17"/>
                <w:color w:val="auto"/>
              </w:rPr>
            </w:pPr>
          </w:p>
        </w:tc>
        <w:tc>
          <w:tcPr>
            <w:tcW w:w="1340" w:type="dxa"/>
            <w:vAlign w:val="bottom"/>
            <w:shd w:val="clear" w:color="auto" w:fill="BF5B5A"/>
          </w:tcPr>
          <w:p>
            <w:pPr>
              <w:jc w:val="center"/>
              <w:ind w:right="31"/>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spacing w:after="0"/>
              <w:rPr>
                <w:sz w:val="17"/>
                <w:szCs w:val="17"/>
                <w:color w:val="auto"/>
              </w:rPr>
            </w:pPr>
          </w:p>
        </w:tc>
        <w:tc>
          <w:tcPr>
            <w:tcW w:w="1300" w:type="dxa"/>
            <w:vAlign w:val="bottom"/>
            <w:shd w:val="clear" w:color="auto" w:fill="BF5B5A"/>
          </w:tcPr>
          <w:p>
            <w:pPr>
              <w:jc w:val="center"/>
              <w:ind w:right="71"/>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spacing w:after="0"/>
              <w:rPr>
                <w:sz w:val="17"/>
                <w:szCs w:val="17"/>
                <w:color w:val="auto"/>
              </w:rPr>
            </w:pPr>
          </w:p>
        </w:tc>
        <w:tc>
          <w:tcPr>
            <w:tcW w:w="460" w:type="dxa"/>
            <w:vAlign w:val="bottom"/>
            <w:shd w:val="clear" w:color="auto" w:fill="BF5B5A"/>
          </w:tcPr>
          <w:p>
            <w:pPr>
              <w:spacing w:after="0"/>
              <w:rPr>
                <w:sz w:val="17"/>
                <w:szCs w:val="17"/>
                <w:color w:val="auto"/>
              </w:rPr>
            </w:pPr>
          </w:p>
        </w:tc>
        <w:tc>
          <w:tcPr>
            <w:tcW w:w="740" w:type="dxa"/>
            <w:vAlign w:val="bottom"/>
            <w:shd w:val="clear" w:color="auto" w:fill="BF5B5A"/>
          </w:tcPr>
          <w:p>
            <w:pPr>
              <w:jc w:val="center"/>
              <w:ind w:right="430"/>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spacing w:after="0"/>
              <w:rPr>
                <w:sz w:val="17"/>
                <w:szCs w:val="17"/>
                <w:color w:val="auto"/>
              </w:rPr>
            </w:pPr>
          </w:p>
        </w:tc>
        <w:tc>
          <w:tcPr>
            <w:tcW w:w="1120" w:type="dxa"/>
            <w:vAlign w:val="bottom"/>
            <w:shd w:val="clear" w:color="auto" w:fill="BF5B5A"/>
          </w:tcPr>
          <w:p>
            <w:pPr>
              <w:jc w:val="center"/>
              <w:ind w:right="11"/>
              <w:spacing w:after="0"/>
              <w:rPr>
                <w:sz w:val="20"/>
                <w:szCs w:val="20"/>
                <w:color w:val="auto"/>
              </w:rPr>
            </w:pPr>
            <w:r>
              <w:rPr>
                <w:rFonts w:ascii="Arial" w:cs="Arial" w:eastAsia="Arial" w:hAnsi="Arial"/>
                <w:sz w:val="13"/>
                <w:szCs w:val="13"/>
                <w:b w:val="1"/>
                <w:bCs w:val="1"/>
                <w:color w:val="FFFFFF"/>
              </w:rPr>
              <w:t>($)</w:t>
            </w: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3"/>
        </w:trPr>
        <w:tc>
          <w:tcPr>
            <w:tcW w:w="52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2023</w:t>
            </w:r>
          </w:p>
        </w:tc>
        <w:tc>
          <w:tcPr>
            <w:tcW w:w="40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ind w:right="11"/>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​2,714,159</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7F7F7F"/>
            </w:tcBorders>
          </w:tcPr>
          <w:p>
            <w:pPr>
              <w:spacing w:after="0"/>
              <w:rPr>
                <w:sz w:val="21"/>
                <w:szCs w:val="21"/>
                <w:color w:val="auto"/>
              </w:rPr>
            </w:pPr>
          </w:p>
        </w:tc>
        <w:tc>
          <w:tcPr>
            <w:tcW w:w="1340" w:type="dxa"/>
            <w:vAlign w:val="bottom"/>
            <w:tcBorders>
              <w:bottom w:val="single" w:sz="8" w:color="7F7F7F"/>
            </w:tcBorders>
          </w:tcPr>
          <w:p>
            <w:pPr>
              <w:ind w:left="320"/>
              <w:spacing w:after="0"/>
              <w:rPr>
                <w:sz w:val="20"/>
                <w:szCs w:val="20"/>
                <w:color w:val="auto"/>
              </w:rPr>
            </w:pPr>
            <w:r>
              <w:rPr>
                <w:rFonts w:ascii="Arial" w:cs="Arial" w:eastAsia="Arial" w:hAnsi="Arial"/>
                <w:sz w:val="14"/>
                <w:szCs w:val="14"/>
                <w:color w:val="auto"/>
              </w:rPr>
              <w:t>​(535,072)</w:t>
            </w:r>
          </w:p>
        </w:tc>
        <w:tc>
          <w:tcPr>
            <w:tcW w:w="8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spacing w:after="0"/>
              <w:rPr>
                <w:sz w:val="21"/>
                <w:szCs w:val="21"/>
                <w:color w:val="auto"/>
              </w:rPr>
            </w:pPr>
          </w:p>
        </w:tc>
        <w:tc>
          <w:tcPr>
            <w:tcW w:w="1300" w:type="dxa"/>
            <w:vAlign w:val="bottom"/>
            <w:tcBorders>
              <w:bottom w:val="single" w:sz="8" w:color="7F7F7F"/>
            </w:tcBorders>
          </w:tcPr>
          <w:p>
            <w:pPr>
              <w:ind w:left="280"/>
              <w:spacing w:after="0"/>
              <w:rPr>
                <w:sz w:val="20"/>
                <w:szCs w:val="20"/>
                <w:color w:val="auto"/>
              </w:rPr>
            </w:pPr>
            <w:r>
              <w:rPr>
                <w:rFonts w:ascii="Arial" w:cs="Arial" w:eastAsia="Arial" w:hAnsi="Arial"/>
                <w:sz w:val="14"/>
                <w:szCs w:val="14"/>
                <w:color w:val="auto"/>
              </w:rPr>
              <w:t>​(648,746)</w:t>
            </w:r>
          </w:p>
        </w:tc>
        <w:tc>
          <w:tcPr>
            <w:tcW w:w="6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spacing w:after="0"/>
              <w:rPr>
                <w:sz w:val="21"/>
                <w:szCs w:val="21"/>
                <w:color w:val="auto"/>
              </w:rPr>
            </w:pPr>
          </w:p>
        </w:tc>
        <w:tc>
          <w:tcPr>
            <w:tcW w:w="46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jc w:val="center"/>
              <w:ind w:right="450"/>
              <w:spacing w:after="0" w:line="243" w:lineRule="exact"/>
              <w:rPr>
                <w:sz w:val="20"/>
                <w:szCs w:val="20"/>
                <w:color w:val="auto"/>
              </w:rPr>
            </w:pPr>
            <w:r>
              <w:rPr>
                <w:rFonts w:ascii="Arial" w:cs="Arial" w:eastAsia="Arial" w:hAnsi="Arial"/>
                <w:sz w:val="14"/>
                <w:szCs w:val="14"/>
                <w:color w:val="auto"/>
                <w:w w:val="74"/>
              </w:rPr>
              <w:t>​</w:t>
            </w:r>
            <w:r>
              <w:rPr>
                <w:rFonts w:ascii="Arial" w:cs="Arial" w:eastAsia="Arial" w:hAnsi="Arial"/>
                <w:sz w:val="28"/>
                <w:szCs w:val="28"/>
                <w:color w:val="auto"/>
                <w:w w:val="74"/>
                <w:vertAlign w:val="superscript"/>
              </w:rPr>
              <w:t>—</w:t>
            </w:r>
          </w:p>
        </w:tc>
        <w:tc>
          <w:tcPr>
            <w:tcW w:w="1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spacing w:after="0"/>
              <w:rPr>
                <w:sz w:val="21"/>
                <w:szCs w:val="21"/>
                <w:color w:val="auto"/>
              </w:rPr>
            </w:pPr>
          </w:p>
        </w:tc>
        <w:tc>
          <w:tcPr>
            <w:tcW w:w="1120" w:type="dxa"/>
            <w:vAlign w:val="bottom"/>
            <w:tcBorders>
              <w:bottom w:val="single" w:sz="8" w:color="7F7F7F"/>
            </w:tcBorders>
          </w:tcPr>
          <w:p>
            <w:pPr>
              <w:jc w:val="center"/>
              <w:ind w:right="11"/>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1,530,341</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2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40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​2,316,288</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7F7F7F"/>
            </w:tcBorders>
          </w:tcPr>
          <w:p>
            <w:pPr>
              <w:spacing w:after="0"/>
              <w:rPr>
                <w:sz w:val="20"/>
                <w:szCs w:val="20"/>
                <w:color w:val="auto"/>
              </w:rPr>
            </w:pPr>
          </w:p>
        </w:tc>
        <w:tc>
          <w:tcPr>
            <w:tcW w:w="1340" w:type="dxa"/>
            <w:vAlign w:val="bottom"/>
            <w:tcBorders>
              <w:bottom w:val="single" w:sz="8" w:color="7F7F7F"/>
            </w:tcBorders>
          </w:tcPr>
          <w:p>
            <w:pPr>
              <w:ind w:left="320"/>
              <w:spacing w:after="0"/>
              <w:rPr>
                <w:sz w:val="20"/>
                <w:szCs w:val="20"/>
                <w:color w:val="auto"/>
              </w:rPr>
            </w:pPr>
            <w:r>
              <w:rPr>
                <w:rFonts w:ascii="Arial" w:cs="Arial" w:eastAsia="Arial" w:hAnsi="Arial"/>
                <w:sz w:val="14"/>
                <w:szCs w:val="14"/>
                <w:color w:val="auto"/>
              </w:rPr>
              <w:t>​ 737,481</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7F7F7F"/>
            </w:tcBorders>
          </w:tcPr>
          <w:p>
            <w:pPr>
              <w:spacing w:after="0"/>
              <w:rPr>
                <w:sz w:val="20"/>
                <w:szCs w:val="20"/>
                <w:color w:val="auto"/>
              </w:rPr>
            </w:pPr>
          </w:p>
        </w:tc>
        <w:tc>
          <w:tcPr>
            <w:tcW w:w="1300" w:type="dxa"/>
            <w:vAlign w:val="bottom"/>
            <w:tcBorders>
              <w:bottom w:val="single" w:sz="8" w:color="7F7F7F"/>
            </w:tcBorders>
          </w:tcPr>
          <w:p>
            <w:pPr>
              <w:ind w:left="280"/>
              <w:spacing w:after="0"/>
              <w:rPr>
                <w:sz w:val="20"/>
                <w:szCs w:val="20"/>
                <w:color w:val="auto"/>
              </w:rPr>
            </w:pPr>
            <w:r>
              <w:rPr>
                <w:rFonts w:ascii="Arial" w:cs="Arial" w:eastAsia="Arial" w:hAnsi="Arial"/>
                <w:sz w:val="14"/>
                <w:szCs w:val="14"/>
                <w:color w:val="auto"/>
              </w:rPr>
              <w:t>​ 163,375</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7F7F7F"/>
            </w:tcBorders>
          </w:tcPr>
          <w:p>
            <w:pPr>
              <w:spacing w:after="0"/>
              <w:rPr>
                <w:sz w:val="20"/>
                <w:szCs w:val="20"/>
                <w:color w:val="auto"/>
              </w:rPr>
            </w:pPr>
          </w:p>
        </w:tc>
        <w:tc>
          <w:tcPr>
            <w:tcW w:w="460" w:type="dxa"/>
            <w:vAlign w:val="bottom"/>
            <w:tcBorders>
              <w:bottom w:val="single" w:sz="8" w:color="7F7F7F"/>
            </w:tcBorders>
          </w:tcPr>
          <w:p>
            <w:pPr>
              <w:spacing w:after="0"/>
              <w:rPr>
                <w:sz w:val="20"/>
                <w:szCs w:val="20"/>
                <w:color w:val="auto"/>
              </w:rPr>
            </w:pPr>
          </w:p>
        </w:tc>
        <w:tc>
          <w:tcPr>
            <w:tcW w:w="740" w:type="dxa"/>
            <w:vAlign w:val="bottom"/>
            <w:tcBorders>
              <w:bottom w:val="single" w:sz="8" w:color="7F7F7F"/>
            </w:tcBorders>
          </w:tcPr>
          <w:p>
            <w:pPr>
              <w:jc w:val="center"/>
              <w:ind w:right="450"/>
              <w:spacing w:after="0" w:line="236" w:lineRule="exact"/>
              <w:rPr>
                <w:sz w:val="20"/>
                <w:szCs w:val="20"/>
                <w:color w:val="auto"/>
              </w:rPr>
            </w:pPr>
            <w:r>
              <w:rPr>
                <w:rFonts w:ascii="Arial" w:cs="Arial" w:eastAsia="Arial" w:hAnsi="Arial"/>
                <w:sz w:val="14"/>
                <w:szCs w:val="14"/>
                <w:color w:val="auto"/>
                <w:w w:val="77"/>
              </w:rPr>
              <w:t>​</w:t>
            </w:r>
            <w:r>
              <w:rPr>
                <w:rFonts w:ascii="Arial" w:cs="Arial" w:eastAsia="Arial" w:hAnsi="Arial"/>
                <w:sz w:val="27"/>
                <w:szCs w:val="27"/>
                <w:color w:val="auto"/>
                <w:w w:val="77"/>
                <w:vertAlign w:val="superscript"/>
              </w:rPr>
              <w:t>—</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7F7F7F"/>
            </w:tcBorders>
          </w:tcPr>
          <w:p>
            <w:pPr>
              <w:spacing w:after="0"/>
              <w:rPr>
                <w:sz w:val="20"/>
                <w:szCs w:val="20"/>
                <w:color w:val="auto"/>
              </w:rPr>
            </w:pPr>
          </w:p>
        </w:tc>
        <w:tc>
          <w:tcPr>
            <w:tcW w:w="1120" w:type="dxa"/>
            <w:vAlign w:val="bottom"/>
            <w:tcBorders>
              <w:bottom w:val="single" w:sz="8" w:color="7F7F7F"/>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3,217,144</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52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40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​1,846,760</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7F7F7F"/>
            </w:tcBorders>
          </w:tcPr>
          <w:p>
            <w:pPr>
              <w:spacing w:after="0"/>
              <w:rPr>
                <w:sz w:val="20"/>
                <w:szCs w:val="20"/>
                <w:color w:val="auto"/>
              </w:rPr>
            </w:pPr>
          </w:p>
        </w:tc>
        <w:tc>
          <w:tcPr>
            <w:tcW w:w="1340" w:type="dxa"/>
            <w:vAlign w:val="bottom"/>
            <w:tcBorders>
              <w:bottom w:val="single" w:sz="8" w:color="7F7F7F"/>
            </w:tcBorders>
          </w:tcPr>
          <w:p>
            <w:pPr>
              <w:ind w:left="320"/>
              <w:spacing w:after="0"/>
              <w:rPr>
                <w:sz w:val="20"/>
                <w:szCs w:val="20"/>
                <w:color w:val="auto"/>
              </w:rPr>
            </w:pPr>
            <w:r>
              <w:rPr>
                <w:rFonts w:ascii="Arial" w:cs="Arial" w:eastAsia="Arial" w:hAnsi="Arial"/>
                <w:sz w:val="14"/>
                <w:szCs w:val="14"/>
                <w:color w:val="auto"/>
              </w:rPr>
              <w:t>​ 360,544</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7F7F7F"/>
            </w:tcBorders>
          </w:tcPr>
          <w:p>
            <w:pPr>
              <w:spacing w:after="0"/>
              <w:rPr>
                <w:sz w:val="20"/>
                <w:szCs w:val="20"/>
                <w:color w:val="auto"/>
              </w:rPr>
            </w:pPr>
          </w:p>
        </w:tc>
        <w:tc>
          <w:tcPr>
            <w:tcW w:w="1300" w:type="dxa"/>
            <w:vAlign w:val="bottom"/>
            <w:tcBorders>
              <w:bottom w:val="single" w:sz="8" w:color="7F7F7F"/>
            </w:tcBorders>
          </w:tcPr>
          <w:p>
            <w:pPr>
              <w:ind w:left="280"/>
              <w:spacing w:after="0"/>
              <w:rPr>
                <w:sz w:val="20"/>
                <w:szCs w:val="20"/>
                <w:color w:val="auto"/>
              </w:rPr>
            </w:pPr>
            <w:r>
              <w:rPr>
                <w:rFonts w:ascii="Arial" w:cs="Arial" w:eastAsia="Arial" w:hAnsi="Arial"/>
                <w:sz w:val="14"/>
                <w:szCs w:val="14"/>
                <w:color w:val="auto"/>
              </w:rPr>
              <w:t>​ 134,084</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7F7F7F"/>
            </w:tcBorders>
          </w:tcPr>
          <w:p>
            <w:pPr>
              <w:spacing w:after="0"/>
              <w:rPr>
                <w:sz w:val="20"/>
                <w:szCs w:val="20"/>
                <w:color w:val="auto"/>
              </w:rPr>
            </w:pPr>
          </w:p>
        </w:tc>
        <w:tc>
          <w:tcPr>
            <w:tcW w:w="460" w:type="dxa"/>
            <w:vAlign w:val="bottom"/>
            <w:tcBorders>
              <w:bottom w:val="single" w:sz="8" w:color="7F7F7F"/>
            </w:tcBorders>
          </w:tcPr>
          <w:p>
            <w:pPr>
              <w:spacing w:after="0"/>
              <w:rPr>
                <w:sz w:val="20"/>
                <w:szCs w:val="20"/>
                <w:color w:val="auto"/>
              </w:rPr>
            </w:pPr>
          </w:p>
        </w:tc>
        <w:tc>
          <w:tcPr>
            <w:tcW w:w="740" w:type="dxa"/>
            <w:vAlign w:val="bottom"/>
            <w:tcBorders>
              <w:bottom w:val="single" w:sz="8" w:color="7F7F7F"/>
            </w:tcBorders>
          </w:tcPr>
          <w:p>
            <w:pPr>
              <w:jc w:val="center"/>
              <w:ind w:right="450"/>
              <w:spacing w:after="0" w:line="236" w:lineRule="exact"/>
              <w:rPr>
                <w:sz w:val="20"/>
                <w:szCs w:val="20"/>
                <w:color w:val="auto"/>
              </w:rPr>
            </w:pPr>
            <w:r>
              <w:rPr>
                <w:rFonts w:ascii="Arial" w:cs="Arial" w:eastAsia="Arial" w:hAnsi="Arial"/>
                <w:sz w:val="14"/>
                <w:szCs w:val="14"/>
                <w:color w:val="auto"/>
                <w:w w:val="77"/>
              </w:rPr>
              <w:t>​</w:t>
            </w:r>
            <w:r>
              <w:rPr>
                <w:rFonts w:ascii="Arial" w:cs="Arial" w:eastAsia="Arial" w:hAnsi="Arial"/>
                <w:sz w:val="27"/>
                <w:szCs w:val="27"/>
                <w:color w:val="auto"/>
                <w:w w:val="77"/>
                <w:vertAlign w:val="superscript"/>
              </w:rPr>
              <w:t>—</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7F7F7F"/>
            </w:tcBorders>
          </w:tcPr>
          <w:p>
            <w:pPr>
              <w:spacing w:after="0"/>
              <w:rPr>
                <w:sz w:val="20"/>
                <w:szCs w:val="20"/>
                <w:color w:val="auto"/>
              </w:rPr>
            </w:pPr>
          </w:p>
        </w:tc>
        <w:tc>
          <w:tcPr>
            <w:tcW w:w="1120" w:type="dxa"/>
            <w:vAlign w:val="bottom"/>
            <w:tcBorders>
              <w:bottom w:val="single" w:sz="8" w:color="7F7F7F"/>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2,341,388</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20" w:type="dxa"/>
            <w:vAlign w:val="bottom"/>
            <w:tcBorders>
              <w:bottom w:val="single" w:sz="8" w:color="BF5B5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400" w:type="dxa"/>
            <w:vAlign w:val="bottom"/>
            <w:tcBorders>
              <w:bottom w:val="single" w:sz="8" w:color="BF5B5A"/>
            </w:tcBorders>
          </w:tcPr>
          <w:p>
            <w:pPr>
              <w:ind w:left="1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BF5B5A"/>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​1,947,850</w:t>
            </w:r>
          </w:p>
        </w:tc>
        <w:tc>
          <w:tcPr>
            <w:tcW w:w="18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BF5B5A"/>
            </w:tcBorders>
          </w:tcPr>
          <w:p>
            <w:pPr>
              <w:spacing w:after="0"/>
              <w:rPr>
                <w:sz w:val="20"/>
                <w:szCs w:val="20"/>
                <w:color w:val="auto"/>
              </w:rPr>
            </w:pPr>
          </w:p>
        </w:tc>
        <w:tc>
          <w:tcPr>
            <w:tcW w:w="1340" w:type="dxa"/>
            <w:vAlign w:val="bottom"/>
            <w:tcBorders>
              <w:bottom w:val="single" w:sz="8" w:color="BF5B5A"/>
            </w:tcBorders>
          </w:tcPr>
          <w:p>
            <w:pPr>
              <w:ind w:left="320"/>
              <w:spacing w:after="0"/>
              <w:rPr>
                <w:sz w:val="20"/>
                <w:szCs w:val="20"/>
                <w:color w:val="auto"/>
              </w:rPr>
            </w:pPr>
            <w:r>
              <w:rPr>
                <w:rFonts w:ascii="Arial" w:cs="Arial" w:eastAsia="Arial" w:hAnsi="Arial"/>
                <w:sz w:val="14"/>
                <w:szCs w:val="14"/>
                <w:color w:val="auto"/>
              </w:rPr>
              <w:t>​(627,344)</w:t>
            </w:r>
          </w:p>
        </w:tc>
        <w:tc>
          <w:tcPr>
            <w:tcW w:w="80" w:type="dxa"/>
            <w:vAlign w:val="bottom"/>
            <w:tcBorders>
              <w:bottom w:val="single" w:sz="8" w:color="BF5B5A"/>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spacing w:after="0"/>
              <w:rPr>
                <w:sz w:val="20"/>
                <w:szCs w:val="20"/>
                <w:color w:val="auto"/>
              </w:rPr>
            </w:pPr>
          </w:p>
        </w:tc>
        <w:tc>
          <w:tcPr>
            <w:tcW w:w="1300" w:type="dxa"/>
            <w:vAlign w:val="bottom"/>
            <w:tcBorders>
              <w:bottom w:val="single" w:sz="8" w:color="BF5B5A"/>
            </w:tcBorders>
          </w:tcPr>
          <w:p>
            <w:pPr>
              <w:ind w:left="280"/>
              <w:spacing w:after="0"/>
              <w:rPr>
                <w:sz w:val="20"/>
                <w:szCs w:val="20"/>
                <w:color w:val="auto"/>
              </w:rPr>
            </w:pPr>
            <w:r>
              <w:rPr>
                <w:rFonts w:ascii="Arial" w:cs="Arial" w:eastAsia="Arial" w:hAnsi="Arial"/>
                <w:sz w:val="14"/>
                <w:szCs w:val="14"/>
                <w:color w:val="auto"/>
              </w:rPr>
              <w:t>​(278,301)</w:t>
            </w:r>
          </w:p>
        </w:tc>
        <w:tc>
          <w:tcPr>
            <w:tcW w:w="60" w:type="dxa"/>
            <w:vAlign w:val="bottom"/>
            <w:tcBorders>
              <w:bottom w:val="single" w:sz="8" w:color="BF5B5A"/>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spacing w:after="0"/>
              <w:rPr>
                <w:sz w:val="20"/>
                <w:szCs w:val="20"/>
                <w:color w:val="auto"/>
              </w:rPr>
            </w:pPr>
          </w:p>
        </w:tc>
        <w:tc>
          <w:tcPr>
            <w:tcW w:w="460" w:type="dxa"/>
            <w:vAlign w:val="bottom"/>
            <w:tcBorders>
              <w:bottom w:val="single" w:sz="8" w:color="BF5B5A"/>
            </w:tcBorders>
          </w:tcPr>
          <w:p>
            <w:pPr>
              <w:spacing w:after="0"/>
              <w:rPr>
                <w:sz w:val="20"/>
                <w:szCs w:val="20"/>
                <w:color w:val="auto"/>
              </w:rPr>
            </w:pPr>
          </w:p>
        </w:tc>
        <w:tc>
          <w:tcPr>
            <w:tcW w:w="740" w:type="dxa"/>
            <w:vAlign w:val="bottom"/>
            <w:tcBorders>
              <w:bottom w:val="single" w:sz="8" w:color="BF5B5A"/>
            </w:tcBorders>
          </w:tcPr>
          <w:p>
            <w:pPr>
              <w:jc w:val="center"/>
              <w:ind w:right="450"/>
              <w:spacing w:after="0" w:line="236" w:lineRule="exact"/>
              <w:rPr>
                <w:sz w:val="20"/>
                <w:szCs w:val="20"/>
                <w:color w:val="auto"/>
              </w:rPr>
            </w:pPr>
            <w:r>
              <w:rPr>
                <w:rFonts w:ascii="Arial" w:cs="Arial" w:eastAsia="Arial" w:hAnsi="Arial"/>
                <w:sz w:val="14"/>
                <w:szCs w:val="14"/>
                <w:color w:val="auto"/>
                <w:w w:val="77"/>
              </w:rPr>
              <w:t>​</w:t>
            </w:r>
            <w:r>
              <w:rPr>
                <w:rFonts w:ascii="Arial" w:cs="Arial" w:eastAsia="Arial" w:hAnsi="Arial"/>
                <w:sz w:val="27"/>
                <w:szCs w:val="27"/>
                <w:color w:val="auto"/>
                <w:w w:val="77"/>
                <w:vertAlign w:val="superscript"/>
              </w:rPr>
              <w:t>—</w:t>
            </w:r>
          </w:p>
        </w:tc>
        <w:tc>
          <w:tcPr>
            <w:tcW w:w="14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spacing w:after="0"/>
              <w:rPr>
                <w:sz w:val="20"/>
                <w:szCs w:val="20"/>
                <w:color w:val="auto"/>
              </w:rPr>
            </w:pPr>
          </w:p>
        </w:tc>
        <w:tc>
          <w:tcPr>
            <w:tcW w:w="1120" w:type="dxa"/>
            <w:vAlign w:val="bottom"/>
            <w:tcBorders>
              <w:bottom w:val="single" w:sz="8" w:color="BF5B5A"/>
            </w:tcBorders>
          </w:tcPr>
          <w:p>
            <w:pPr>
              <w:jc w:val="center"/>
              <w:ind w:right="11"/>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1,042,205</w:t>
            </w: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20" w:type="dxa"/>
            <w:vAlign w:val="bottom"/>
            <w:shd w:val="clear" w:color="auto" w:fill="BF5B5A"/>
          </w:tcPr>
          <w:p>
            <w:pPr>
              <w:spacing w:after="0"/>
              <w:rPr>
                <w:sz w:val="15"/>
                <w:szCs w:val="15"/>
                <w:color w:val="auto"/>
              </w:rPr>
            </w:pPr>
          </w:p>
        </w:tc>
        <w:tc>
          <w:tcPr>
            <w:tcW w:w="400" w:type="dxa"/>
            <w:vAlign w:val="bottom"/>
            <w:shd w:val="clear" w:color="auto" w:fill="BF5B5A"/>
          </w:tcPr>
          <w:p>
            <w:pPr>
              <w:spacing w:after="0"/>
              <w:rPr>
                <w:sz w:val="15"/>
                <w:szCs w:val="15"/>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 Year-End</w:t>
            </w:r>
          </w:p>
        </w:tc>
        <w:tc>
          <w:tcPr>
            <w:tcW w:w="180" w:type="dxa"/>
            <w:vAlign w:val="bottom"/>
            <w:shd w:val="clear" w:color="auto" w:fill="BF5B5A"/>
          </w:tcPr>
          <w:p>
            <w:pPr>
              <w:spacing w:after="0"/>
              <w:rPr>
                <w:sz w:val="15"/>
                <w:szCs w:val="15"/>
                <w:color w:val="auto"/>
              </w:rPr>
            </w:pPr>
          </w:p>
        </w:tc>
        <w:tc>
          <w:tcPr>
            <w:tcW w:w="60" w:type="dxa"/>
            <w:vAlign w:val="bottom"/>
            <w:shd w:val="clear" w:color="auto" w:fill="BF5B5A"/>
          </w:tcPr>
          <w:p>
            <w:pPr>
              <w:spacing w:after="0"/>
              <w:rPr>
                <w:sz w:val="15"/>
                <w:szCs w:val="15"/>
                <w:color w:val="auto"/>
              </w:rPr>
            </w:pPr>
          </w:p>
        </w:tc>
        <w:tc>
          <w:tcPr>
            <w:tcW w:w="60" w:type="dxa"/>
            <w:vAlign w:val="bottom"/>
            <w:shd w:val="clear" w:color="auto" w:fill="BF5B5A"/>
          </w:tcPr>
          <w:p>
            <w:pPr>
              <w:spacing w:after="0"/>
              <w:rPr>
                <w:sz w:val="15"/>
                <w:szCs w:val="15"/>
                <w:color w:val="auto"/>
              </w:rPr>
            </w:pPr>
          </w:p>
        </w:tc>
        <w:tc>
          <w:tcPr>
            <w:tcW w:w="1340" w:type="dxa"/>
            <w:vAlign w:val="bottom"/>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 Change in</w:t>
            </w:r>
          </w:p>
        </w:tc>
        <w:tc>
          <w:tcPr>
            <w:tcW w:w="8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 Change in</w:t>
            </w:r>
          </w:p>
        </w:tc>
        <w:tc>
          <w:tcPr>
            <w:tcW w:w="6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80" w:type="dxa"/>
            <w:vAlign w:val="bottom"/>
            <w:shd w:val="clear" w:color="auto" w:fill="BF5B5A"/>
          </w:tcPr>
          <w:p>
            <w:pPr>
              <w:spacing w:after="0"/>
              <w:rPr>
                <w:sz w:val="15"/>
                <w:szCs w:val="15"/>
                <w:color w:val="auto"/>
              </w:rPr>
            </w:pPr>
          </w:p>
        </w:tc>
        <w:tc>
          <w:tcPr>
            <w:tcW w:w="460" w:type="dxa"/>
            <w:vAlign w:val="bottom"/>
            <w:shd w:val="clear" w:color="auto" w:fill="BF5B5A"/>
          </w:tcPr>
          <w:p>
            <w:pPr>
              <w:spacing w:after="0"/>
              <w:rPr>
                <w:sz w:val="15"/>
                <w:szCs w:val="15"/>
                <w:color w:val="auto"/>
              </w:rPr>
            </w:pPr>
          </w:p>
        </w:tc>
        <w:tc>
          <w:tcPr>
            <w:tcW w:w="740" w:type="dxa"/>
            <w:vAlign w:val="bottom"/>
            <w:shd w:val="clear" w:color="auto" w:fill="BF5B5A"/>
          </w:tcPr>
          <w:p>
            <w:pPr>
              <w:spacing w:after="0"/>
              <w:rPr>
                <w:sz w:val="15"/>
                <w:szCs w:val="15"/>
                <w:color w:val="auto"/>
              </w:rPr>
            </w:pPr>
          </w:p>
        </w:tc>
        <w:tc>
          <w:tcPr>
            <w:tcW w:w="14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00" w:type="dxa"/>
            <w:vAlign w:val="bottom"/>
            <w:shd w:val="clear" w:color="auto" w:fill="BF5B5A"/>
          </w:tcPr>
          <w:p>
            <w:pPr>
              <w:spacing w:after="0"/>
              <w:rPr>
                <w:sz w:val="15"/>
                <w:szCs w:val="15"/>
                <w:color w:val="auto"/>
              </w:rPr>
            </w:pPr>
          </w:p>
        </w:tc>
        <w:tc>
          <w:tcPr>
            <w:tcW w:w="1120" w:type="dxa"/>
            <w:vAlign w:val="bottom"/>
            <w:shd w:val="clear" w:color="auto" w:fill="BF5B5A"/>
          </w:tcPr>
          <w:p>
            <w:pPr>
              <w:spacing w:after="0"/>
              <w:rPr>
                <w:sz w:val="15"/>
                <w:szCs w:val="15"/>
                <w:color w:val="auto"/>
              </w:rPr>
            </w:pPr>
          </w:p>
        </w:tc>
        <w:tc>
          <w:tcPr>
            <w:tcW w:w="1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Fair Value of Equity</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vMerge w:val="continue"/>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Fair Value from Last</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340" w:type="dxa"/>
            <w:vAlign w:val="bottom"/>
            <w:gridSpan w:val="3"/>
            <w:vMerge w:val="restart"/>
            <w:shd w:val="clear" w:color="auto" w:fill="BF5B5A"/>
          </w:tcPr>
          <w:p>
            <w:pPr>
              <w:jc w:val="center"/>
              <w:spacing w:after="0"/>
              <w:rPr>
                <w:sz w:val="20"/>
                <w:szCs w:val="20"/>
                <w:color w:val="auto"/>
              </w:rPr>
            </w:pPr>
            <w:r>
              <w:rPr>
                <w:rFonts w:ascii="Arial" w:cs="Arial" w:eastAsia="Arial" w:hAnsi="Arial"/>
                <w:sz w:val="13"/>
                <w:szCs w:val="13"/>
                <w:b w:val="1"/>
                <w:bCs w:val="1"/>
                <w:color w:val="FFFFFF"/>
              </w:rPr>
              <w:t>Average Fair Value</w:t>
            </w: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Awards Granted</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Fair Value from Last</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Day of Prior Year to</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340" w:type="dxa"/>
            <w:vAlign w:val="bottom"/>
            <w:gridSpan w:val="3"/>
            <w:vMerge w:val="continue"/>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During Year That</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Day of Prior Year to</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Vesting Date of</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340" w:type="dxa"/>
            <w:vAlign w:val="bottom"/>
            <w:gridSpan w:val="3"/>
            <w:shd w:val="clear" w:color="auto" w:fill="BF5B5A"/>
          </w:tcPr>
          <w:p>
            <w:pPr>
              <w:jc w:val="center"/>
              <w:spacing w:after="0"/>
              <w:rPr>
                <w:sz w:val="20"/>
                <w:szCs w:val="20"/>
                <w:color w:val="auto"/>
              </w:rPr>
            </w:pPr>
            <w:r>
              <w:rPr>
                <w:rFonts w:ascii="Arial" w:cs="Arial" w:eastAsia="Arial" w:hAnsi="Arial"/>
                <w:sz w:val="13"/>
                <w:szCs w:val="13"/>
                <w:b w:val="1"/>
                <w:bCs w:val="1"/>
                <w:color w:val="FFFFFF"/>
              </w:rPr>
              <w:t>at Last Day of Prior</w:t>
            </w: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20" w:type="dxa"/>
            <w:vAlign w:val="bottom"/>
            <w:shd w:val="clear" w:color="auto" w:fill="BF5B5A"/>
          </w:tcPr>
          <w:p>
            <w:pPr>
              <w:spacing w:after="0"/>
              <w:rPr>
                <w:sz w:val="13"/>
                <w:szCs w:val="13"/>
                <w:color w:val="auto"/>
              </w:rPr>
            </w:pPr>
          </w:p>
        </w:tc>
        <w:tc>
          <w:tcPr>
            <w:tcW w:w="400" w:type="dxa"/>
            <w:vAlign w:val="bottom"/>
            <w:shd w:val="clear" w:color="auto" w:fill="BF5B5A"/>
          </w:tcPr>
          <w:p>
            <w:pPr>
              <w:spacing w:after="0"/>
              <w:rPr>
                <w:sz w:val="13"/>
                <w:szCs w:val="13"/>
                <w:color w:val="auto"/>
              </w:rPr>
            </w:pPr>
          </w:p>
        </w:tc>
        <w:tc>
          <w:tcPr>
            <w:tcW w:w="1440" w:type="dxa"/>
            <w:vAlign w:val="bottom"/>
            <w:gridSpan w:val="2"/>
            <w:shd w:val="clear" w:color="auto" w:fill="BF5B5A"/>
          </w:tcPr>
          <w:p>
            <w:pPr>
              <w:jc w:val="center"/>
              <w:ind w:right="69"/>
              <w:spacing w:after="0"/>
              <w:rPr>
                <w:sz w:val="20"/>
                <w:szCs w:val="20"/>
                <w:color w:val="auto"/>
              </w:rPr>
            </w:pPr>
            <w:r>
              <w:rPr>
                <w:rFonts w:ascii="Arial" w:cs="Arial" w:eastAsia="Arial" w:hAnsi="Arial"/>
                <w:sz w:val="13"/>
                <w:szCs w:val="13"/>
                <w:b w:val="1"/>
                <w:bCs w:val="1"/>
                <w:color w:val="FFFFFF"/>
              </w:rPr>
              <w:t>Remained Unvested</w:t>
            </w:r>
          </w:p>
        </w:tc>
        <w:tc>
          <w:tcPr>
            <w:tcW w:w="6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Last Day of Year of</w:t>
            </w:r>
          </w:p>
        </w:tc>
        <w:tc>
          <w:tcPr>
            <w:tcW w:w="8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Unvested Equity</w:t>
            </w:r>
          </w:p>
        </w:tc>
        <w:tc>
          <w:tcPr>
            <w:tcW w:w="6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1200" w:type="dxa"/>
            <w:vAlign w:val="bottom"/>
            <w:gridSpan w:val="2"/>
            <w:shd w:val="clear" w:color="auto" w:fill="BF5B5A"/>
          </w:tcPr>
          <w:p>
            <w:pPr>
              <w:jc w:val="center"/>
              <w:ind w:left="12"/>
              <w:spacing w:after="0"/>
              <w:rPr>
                <w:sz w:val="20"/>
                <w:szCs w:val="20"/>
                <w:color w:val="auto"/>
              </w:rPr>
            </w:pPr>
            <w:r>
              <w:rPr>
                <w:rFonts w:ascii="Arial" w:cs="Arial" w:eastAsia="Arial" w:hAnsi="Arial"/>
                <w:sz w:val="13"/>
                <w:szCs w:val="13"/>
                <w:b w:val="1"/>
                <w:bCs w:val="1"/>
                <w:color w:val="FFFFFF"/>
              </w:rPr>
              <w:t>Year of Equity</w:t>
            </w:r>
          </w:p>
        </w:tc>
        <w:tc>
          <w:tcPr>
            <w:tcW w:w="14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Total – Average</w:t>
            </w:r>
          </w:p>
        </w:tc>
        <w:tc>
          <w:tcPr>
            <w:tcW w:w="12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0" w:type="dxa"/>
            <w:vAlign w:val="bottom"/>
            <w:shd w:val="clear" w:color="auto" w:fill="BF5B5A"/>
          </w:tcPr>
          <w:p>
            <w:pPr>
              <w:spacing w:after="0"/>
              <w:rPr>
                <w:sz w:val="13"/>
                <w:szCs w:val="13"/>
                <w:color w:val="auto"/>
              </w:rPr>
            </w:pPr>
          </w:p>
        </w:tc>
        <w:tc>
          <w:tcPr>
            <w:tcW w:w="400" w:type="dxa"/>
            <w:vAlign w:val="bottom"/>
            <w:shd w:val="clear" w:color="auto" w:fill="BF5B5A"/>
          </w:tcPr>
          <w:p>
            <w:pPr>
              <w:spacing w:after="0"/>
              <w:rPr>
                <w:sz w:val="13"/>
                <w:szCs w:val="13"/>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as of Last Day of</w:t>
            </w:r>
          </w:p>
        </w:tc>
        <w:tc>
          <w:tcPr>
            <w:tcW w:w="18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60" w:type="dxa"/>
            <w:vAlign w:val="bottom"/>
            <w:shd w:val="clear" w:color="auto" w:fill="BF5B5A"/>
          </w:tcPr>
          <w:p>
            <w:pPr>
              <w:spacing w:after="0"/>
              <w:rPr>
                <w:sz w:val="13"/>
                <w:szCs w:val="13"/>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Unvested Equity</w:t>
            </w:r>
          </w:p>
        </w:tc>
        <w:tc>
          <w:tcPr>
            <w:tcW w:w="8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Awards that Vested</w:t>
            </w:r>
          </w:p>
        </w:tc>
        <w:tc>
          <w:tcPr>
            <w:tcW w:w="60" w:type="dxa"/>
            <w:vAlign w:val="bottom"/>
            <w:shd w:val="clear" w:color="auto" w:fill="BF5B5A"/>
          </w:tcPr>
          <w:p>
            <w:pPr>
              <w:spacing w:after="0"/>
              <w:rPr>
                <w:sz w:val="13"/>
                <w:szCs w:val="13"/>
                <w:color w:val="auto"/>
              </w:rPr>
            </w:pPr>
          </w:p>
        </w:tc>
        <w:tc>
          <w:tcPr>
            <w:tcW w:w="120" w:type="dxa"/>
            <w:vAlign w:val="bottom"/>
            <w:shd w:val="clear" w:color="auto" w:fill="BF5B5A"/>
          </w:tcPr>
          <w:p>
            <w:pPr>
              <w:spacing w:after="0"/>
              <w:rPr>
                <w:sz w:val="13"/>
                <w:szCs w:val="13"/>
                <w:color w:val="auto"/>
              </w:rPr>
            </w:pPr>
          </w:p>
        </w:tc>
        <w:tc>
          <w:tcPr>
            <w:tcW w:w="80" w:type="dxa"/>
            <w:vAlign w:val="bottom"/>
            <w:shd w:val="clear" w:color="auto" w:fill="BF5B5A"/>
          </w:tcPr>
          <w:p>
            <w:pPr>
              <w:spacing w:after="0"/>
              <w:rPr>
                <w:sz w:val="13"/>
                <w:szCs w:val="13"/>
                <w:color w:val="auto"/>
              </w:rPr>
            </w:pPr>
          </w:p>
        </w:tc>
        <w:tc>
          <w:tcPr>
            <w:tcW w:w="1200" w:type="dxa"/>
            <w:vAlign w:val="bottom"/>
            <w:gridSpan w:val="2"/>
            <w:shd w:val="clear" w:color="auto" w:fill="BF5B5A"/>
          </w:tcPr>
          <w:p>
            <w:pPr>
              <w:jc w:val="center"/>
              <w:ind w:left="32"/>
              <w:spacing w:after="0"/>
              <w:rPr>
                <w:sz w:val="20"/>
                <w:szCs w:val="20"/>
                <w:color w:val="auto"/>
              </w:rPr>
            </w:pPr>
            <w:r>
              <w:rPr>
                <w:rFonts w:ascii="Arial" w:cs="Arial" w:eastAsia="Arial" w:hAnsi="Arial"/>
                <w:sz w:val="13"/>
                <w:szCs w:val="13"/>
                <w:b w:val="1"/>
                <w:bCs w:val="1"/>
                <w:color w:val="FFFFFF"/>
                <w:w w:val="99"/>
              </w:rPr>
              <w:t>Awards Forfeited</w:t>
            </w:r>
          </w:p>
        </w:tc>
        <w:tc>
          <w:tcPr>
            <w:tcW w:w="14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00" w:type="dxa"/>
            <w:vAlign w:val="bottom"/>
            <w:shd w:val="clear" w:color="auto" w:fill="BF5B5A"/>
          </w:tcPr>
          <w:p>
            <w:pPr>
              <w:spacing w:after="0"/>
              <w:rPr>
                <w:sz w:val="13"/>
                <w:szCs w:val="13"/>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Inclusion of</w:t>
            </w:r>
          </w:p>
        </w:tc>
        <w:tc>
          <w:tcPr>
            <w:tcW w:w="120" w:type="dxa"/>
            <w:vAlign w:val="bottom"/>
            <w:shd w:val="clear" w:color="auto" w:fill="BF5B5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Year for Non-CEO</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Awards for Non-CEO</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During Year for</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shd w:val="clear" w:color="auto" w:fill="BF5B5A"/>
          </w:tcPr>
          <w:p>
            <w:pPr>
              <w:jc w:val="center"/>
              <w:ind w:left="32"/>
              <w:spacing w:after="0"/>
              <w:rPr>
                <w:sz w:val="20"/>
                <w:szCs w:val="20"/>
                <w:color w:val="auto"/>
              </w:rPr>
            </w:pPr>
            <w:r>
              <w:rPr>
                <w:rFonts w:ascii="Arial" w:cs="Arial" w:eastAsia="Arial" w:hAnsi="Arial"/>
                <w:sz w:val="13"/>
                <w:szCs w:val="13"/>
                <w:b w:val="1"/>
                <w:bCs w:val="1"/>
                <w:color w:val="FFFFFF"/>
                <w:w w:val="99"/>
              </w:rPr>
              <w:t>During Year for</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99"/>
              </w:rPr>
              <w:t>Equity Values for</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shd w:val="clear" w:color="auto" w:fill="BF5B5A"/>
          </w:tcPr>
          <w:p>
            <w:pPr>
              <w:spacing w:after="0"/>
              <w:rPr>
                <w:sz w:val="12"/>
                <w:szCs w:val="12"/>
                <w:color w:val="auto"/>
              </w:rPr>
            </w:pPr>
          </w:p>
        </w:tc>
        <w:tc>
          <w:tcPr>
            <w:tcW w:w="400" w:type="dxa"/>
            <w:vAlign w:val="bottom"/>
            <w:shd w:val="clear" w:color="auto" w:fill="BF5B5A"/>
          </w:tcPr>
          <w:p>
            <w:pPr>
              <w:spacing w:after="0"/>
              <w:rPr>
                <w:sz w:val="12"/>
                <w:szCs w:val="12"/>
                <w:color w:val="auto"/>
              </w:rPr>
            </w:pPr>
          </w:p>
        </w:tc>
        <w:tc>
          <w:tcPr>
            <w:tcW w:w="126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18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60" w:type="dxa"/>
            <w:vAlign w:val="bottom"/>
            <w:shd w:val="clear" w:color="auto" w:fill="BF5B5A"/>
          </w:tcPr>
          <w:p>
            <w:pPr>
              <w:spacing w:after="0"/>
              <w:rPr>
                <w:sz w:val="12"/>
                <w:szCs w:val="12"/>
                <w:color w:val="auto"/>
              </w:rPr>
            </w:pP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NEOs</w:t>
            </w:r>
          </w:p>
        </w:tc>
        <w:tc>
          <w:tcPr>
            <w:tcW w:w="8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Non-CEO NEOs</w:t>
            </w:r>
          </w:p>
        </w:tc>
        <w:tc>
          <w:tcPr>
            <w:tcW w:w="60" w:type="dxa"/>
            <w:vAlign w:val="bottom"/>
            <w:shd w:val="clear" w:color="auto" w:fill="BF5B5A"/>
          </w:tcPr>
          <w:p>
            <w:pPr>
              <w:spacing w:after="0"/>
              <w:rPr>
                <w:sz w:val="12"/>
                <w:szCs w:val="12"/>
                <w:color w:val="auto"/>
              </w:rPr>
            </w:pPr>
          </w:p>
        </w:tc>
        <w:tc>
          <w:tcPr>
            <w:tcW w:w="120" w:type="dxa"/>
            <w:vAlign w:val="bottom"/>
            <w:shd w:val="clear" w:color="auto" w:fill="BF5B5A"/>
          </w:tcPr>
          <w:p>
            <w:pPr>
              <w:spacing w:after="0"/>
              <w:rPr>
                <w:sz w:val="12"/>
                <w:szCs w:val="12"/>
                <w:color w:val="auto"/>
              </w:rPr>
            </w:pPr>
          </w:p>
        </w:tc>
        <w:tc>
          <w:tcPr>
            <w:tcW w:w="80" w:type="dxa"/>
            <w:vAlign w:val="bottom"/>
            <w:shd w:val="clear" w:color="auto" w:fill="BF5B5A"/>
          </w:tcPr>
          <w:p>
            <w:pPr>
              <w:spacing w:after="0"/>
              <w:rPr>
                <w:sz w:val="12"/>
                <w:szCs w:val="12"/>
                <w:color w:val="auto"/>
              </w:rPr>
            </w:pPr>
          </w:p>
        </w:tc>
        <w:tc>
          <w:tcPr>
            <w:tcW w:w="1200" w:type="dxa"/>
            <w:vAlign w:val="bottom"/>
            <w:gridSpan w:val="2"/>
            <w:shd w:val="clear" w:color="auto" w:fill="BF5B5A"/>
          </w:tcPr>
          <w:p>
            <w:pPr>
              <w:jc w:val="center"/>
              <w:ind w:left="32"/>
              <w:spacing w:after="0"/>
              <w:rPr>
                <w:sz w:val="20"/>
                <w:szCs w:val="20"/>
                <w:color w:val="auto"/>
              </w:rPr>
            </w:pPr>
            <w:r>
              <w:rPr>
                <w:rFonts w:ascii="Arial" w:cs="Arial" w:eastAsia="Arial" w:hAnsi="Arial"/>
                <w:sz w:val="13"/>
                <w:szCs w:val="13"/>
                <w:b w:val="1"/>
                <w:bCs w:val="1"/>
                <w:color w:val="FFFFFF"/>
              </w:rPr>
              <w:t>Non-CEO NEOs</w:t>
            </w:r>
          </w:p>
        </w:tc>
        <w:tc>
          <w:tcPr>
            <w:tcW w:w="14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00" w:type="dxa"/>
            <w:vAlign w:val="bottom"/>
            <w:shd w:val="clear" w:color="auto" w:fill="BF5B5A"/>
          </w:tcPr>
          <w:p>
            <w:pPr>
              <w:spacing w:after="0"/>
              <w:rPr>
                <w:sz w:val="12"/>
                <w:szCs w:val="12"/>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Non-CEO NEOs</w:t>
            </w:r>
          </w:p>
        </w:tc>
        <w:tc>
          <w:tcPr>
            <w:tcW w:w="120" w:type="dxa"/>
            <w:vAlign w:val="bottom"/>
            <w:shd w:val="clear" w:color="auto" w:fill="BF5B5A"/>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20" w:type="dxa"/>
            <w:vAlign w:val="bottom"/>
            <w:shd w:val="clear" w:color="auto" w:fill="BF5B5A"/>
          </w:tcPr>
          <w:p>
            <w:pPr>
              <w:ind w:left="40"/>
              <w:spacing w:after="0" w:line="203"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12"/>
                <w:szCs w:val="12"/>
                <w:b w:val="1"/>
                <w:bCs w:val="1"/>
                <w:color w:val="FFFFFF"/>
              </w:rPr>
              <w:t>Year</w:t>
            </w:r>
          </w:p>
        </w:tc>
        <w:tc>
          <w:tcPr>
            <w:tcW w:w="400" w:type="dxa"/>
            <w:vAlign w:val="bottom"/>
            <w:shd w:val="clear" w:color="auto" w:fill="BF5B5A"/>
          </w:tcPr>
          <w:p>
            <w:pPr>
              <w:ind w:left="240"/>
              <w:spacing w:after="0"/>
              <w:rPr>
                <w:sz w:val="20"/>
                <w:szCs w:val="20"/>
                <w:color w:val="auto"/>
              </w:rPr>
            </w:pPr>
            <w:r>
              <w:rPr>
                <w:rFonts w:ascii="Arial" w:cs="Arial" w:eastAsia="Arial" w:hAnsi="Arial"/>
                <w:sz w:val="13"/>
                <w:szCs w:val="13"/>
                <w:b w:val="1"/>
                <w:bCs w:val="1"/>
                <w:color w:val="FFFFFF"/>
              </w:rPr>
              <w:t>​ ​</w:t>
            </w:r>
          </w:p>
        </w:tc>
        <w:tc>
          <w:tcPr>
            <w:tcW w:w="1260" w:type="dxa"/>
            <w:vAlign w:val="bottom"/>
            <w:shd w:val="clear" w:color="auto" w:fill="BF5B5A"/>
          </w:tcPr>
          <w:p>
            <w:pPr>
              <w:jc w:val="center"/>
              <w:ind w:left="11"/>
              <w:spacing w:after="0"/>
              <w:rPr>
                <w:sz w:val="20"/>
                <w:szCs w:val="20"/>
                <w:color w:val="auto"/>
              </w:rPr>
            </w:pPr>
            <w:r>
              <w:rPr>
                <w:rFonts w:ascii="Arial" w:cs="Arial" w:eastAsia="Arial" w:hAnsi="Arial"/>
                <w:sz w:val="13"/>
                <w:szCs w:val="13"/>
                <w:b w:val="1"/>
                <w:bCs w:val="1"/>
                <w:color w:val="FFFFFF"/>
                <w:w w:val="87"/>
              </w:rPr>
              <w:t>($)</w:t>
            </w:r>
          </w:p>
        </w:tc>
        <w:tc>
          <w:tcPr>
            <w:tcW w:w="18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BF5B5A"/>
          </w:tcPr>
          <w:p>
            <w:pPr>
              <w:spacing w:after="0"/>
              <w:rPr>
                <w:sz w:val="17"/>
                <w:szCs w:val="17"/>
                <w:color w:val="auto"/>
              </w:rPr>
            </w:pPr>
          </w:p>
        </w:tc>
        <w:tc>
          <w:tcPr>
            <w:tcW w:w="60" w:type="dxa"/>
            <w:vAlign w:val="bottom"/>
            <w:shd w:val="clear" w:color="auto" w:fill="BF5B5A"/>
          </w:tcPr>
          <w:p>
            <w:pPr>
              <w:ind w:left="20"/>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spacing w:after="0"/>
              <w:rPr>
                <w:sz w:val="17"/>
                <w:szCs w:val="17"/>
                <w:color w:val="auto"/>
              </w:rPr>
            </w:pPr>
          </w:p>
        </w:tc>
        <w:tc>
          <w:tcPr>
            <w:tcW w:w="1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130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BF5B5A"/>
          </w:tcPr>
          <w:p>
            <w:pPr>
              <w:spacing w:after="0"/>
              <w:rPr>
                <w:sz w:val="17"/>
                <w:szCs w:val="17"/>
                <w:color w:val="auto"/>
              </w:rPr>
            </w:pP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460" w:type="dxa"/>
            <w:vAlign w:val="bottom"/>
            <w:shd w:val="clear" w:color="auto" w:fill="BF5B5A"/>
          </w:tcPr>
          <w:p>
            <w:pPr>
              <w:spacing w:after="0"/>
              <w:rPr>
                <w:sz w:val="17"/>
                <w:szCs w:val="17"/>
                <w:color w:val="auto"/>
              </w:rPr>
            </w:pPr>
          </w:p>
        </w:tc>
        <w:tc>
          <w:tcPr>
            <w:tcW w:w="740" w:type="dxa"/>
            <w:vAlign w:val="bottom"/>
            <w:shd w:val="clear" w:color="auto" w:fill="BF5B5A"/>
          </w:tcPr>
          <w:p>
            <w:pPr>
              <w:jc w:val="center"/>
              <w:ind w:right="270"/>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BF5B5A"/>
          </w:tcPr>
          <w:p>
            <w:pPr>
              <w:spacing w:after="0"/>
              <w:rPr>
                <w:sz w:val="17"/>
                <w:szCs w:val="17"/>
                <w:color w:val="auto"/>
              </w:rPr>
            </w:pPr>
          </w:p>
        </w:tc>
        <w:tc>
          <w:tcPr>
            <w:tcW w:w="10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shd w:val="clear" w:color="auto" w:fill="BF5B5A"/>
          </w:tcPr>
          <w:p>
            <w:pPr>
              <w:ind w:left="40"/>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BF5B5A"/>
          </w:tcPr>
          <w:p>
            <w:pPr>
              <w:jc w:val="center"/>
              <w:spacing w:after="0"/>
              <w:rPr>
                <w:sz w:val="20"/>
                <w:szCs w:val="20"/>
                <w:color w:val="auto"/>
              </w:rPr>
            </w:pPr>
            <w:r>
              <w:rPr>
                <w:rFonts w:ascii="Arial" w:cs="Arial" w:eastAsia="Arial" w:hAnsi="Arial"/>
                <w:sz w:val="13"/>
                <w:szCs w:val="13"/>
                <w:b w:val="1"/>
                <w:bCs w:val="1"/>
                <w:color w:val="FFFFFF"/>
                <w:w w:val="87"/>
              </w:rPr>
              <w:t>($)</w:t>
            </w:r>
          </w:p>
        </w:tc>
        <w:tc>
          <w:tcPr>
            <w:tcW w:w="120" w:type="dxa"/>
            <w:vAlign w:val="bottom"/>
            <w:shd w:val="clear" w:color="auto" w:fill="BF5B5A"/>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43"/>
        </w:trPr>
        <w:tc>
          <w:tcPr>
            <w:tcW w:w="520" w:type="dxa"/>
            <w:vAlign w:val="bottom"/>
            <w:tcBorders>
              <w:bottom w:val="single" w:sz="8" w:color="7F7F7F"/>
            </w:tcBorders>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2023</w:t>
            </w:r>
          </w:p>
        </w:tc>
        <w:tc>
          <w:tcPr>
            <w:tcW w:w="400" w:type="dxa"/>
            <w:vAlign w:val="bottom"/>
            <w:tcBorders>
              <w:bottom w:val="single" w:sz="8" w:color="7F7F7F"/>
            </w:tcBorders>
          </w:tcPr>
          <w:p>
            <w:pPr>
              <w:ind w:left="2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​527,687</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7F7F7F"/>
            </w:tcBorders>
          </w:tcPr>
          <w:p>
            <w:pPr>
              <w:spacing w:after="0"/>
              <w:rPr>
                <w:sz w:val="21"/>
                <w:szCs w:val="21"/>
                <w:color w:val="auto"/>
              </w:rPr>
            </w:pPr>
          </w:p>
        </w:tc>
        <w:tc>
          <w:tcPr>
            <w:tcW w:w="6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7F7F7F"/>
            </w:tcBorders>
          </w:tcPr>
          <w:p>
            <w:pPr>
              <w:ind w:left="40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(80,231)</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ind w:left="4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(76,589)</w:t>
            </w:r>
          </w:p>
        </w:tc>
        <w:tc>
          <w:tcPr>
            <w:tcW w:w="60" w:type="dxa"/>
            <w:vAlign w:val="bottom"/>
            <w:tcBorders>
              <w:bottom w:val="single" w:sz="8" w:color="7F7F7F"/>
            </w:tcBorders>
          </w:tcPr>
          <w:p>
            <w:pPr>
              <w:spacing w:after="0"/>
              <w:rPr>
                <w:sz w:val="21"/>
                <w:szCs w:val="21"/>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gridSpan w:val="2"/>
          </w:tcPr>
          <w:p>
            <w:pPr>
              <w:ind w:left="3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(38,129)</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​332,738</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52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400" w:type="dxa"/>
            <w:vAlign w:val="bottom"/>
            <w:tcBorders>
              <w:bottom w:val="single" w:sz="8" w:color="7F7F7F"/>
            </w:tcBorders>
          </w:tcPr>
          <w:p>
            <w:pPr>
              <w:ind w:left="2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​405,340</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7F7F7F"/>
            </w:tcBorders>
          </w:tcPr>
          <w:p>
            <w:pPr>
              <w:spacing w:after="0"/>
              <w:rPr>
                <w:sz w:val="20"/>
                <w:szCs w:val="20"/>
                <w:color w:val="auto"/>
              </w:rPr>
            </w:pPr>
          </w:p>
        </w:tc>
        <w:tc>
          <w:tcPr>
            <w:tcW w:w="6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7F7F7F"/>
            </w:tcBorders>
          </w:tcPr>
          <w:p>
            <w:pPr>
              <w:ind w:left="4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103,608</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ind w:left="4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16,590</w:t>
            </w:r>
          </w:p>
        </w:tc>
        <w:tc>
          <w:tcPr>
            <w:tcW w:w="60" w:type="dxa"/>
            <w:vAlign w:val="bottom"/>
            <w:tcBorders>
              <w:bottom w:val="single" w:sz="8" w:color="7F7F7F"/>
            </w:tcBorders>
          </w:tcPr>
          <w:p>
            <w:pPr>
              <w:spacing w:after="0"/>
              <w:rPr>
                <w:sz w:val="20"/>
                <w:szCs w:val="20"/>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gridSpan w:val="2"/>
          </w:tcPr>
          <w:p>
            <w:pPr>
              <w:ind w:left="3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​(418,437)</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​107,101</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20" w:type="dxa"/>
            <w:vAlign w:val="bottom"/>
            <w:tcBorders>
              <w:bottom w:val="single" w:sz="8" w:color="7F7F7F"/>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400" w:type="dxa"/>
            <w:vAlign w:val="bottom"/>
            <w:tcBorders>
              <w:bottom w:val="single" w:sz="8" w:color="7F7F7F"/>
            </w:tcBorders>
          </w:tcPr>
          <w:p>
            <w:pPr>
              <w:ind w:left="2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​389,490</w:t>
            </w:r>
          </w:p>
        </w:tc>
        <w:tc>
          <w:tcPr>
            <w:tcW w:w="18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7F7F7F"/>
            </w:tcBorders>
          </w:tcPr>
          <w:p>
            <w:pPr>
              <w:spacing w:after="0"/>
              <w:rPr>
                <w:sz w:val="20"/>
                <w:szCs w:val="20"/>
                <w:color w:val="auto"/>
              </w:rPr>
            </w:pPr>
          </w:p>
        </w:tc>
        <w:tc>
          <w:tcPr>
            <w:tcW w:w="60" w:type="dxa"/>
            <w:vAlign w:val="bottom"/>
            <w:tcBorders>
              <w:bottom w:val="single" w:sz="8" w:color="7F7F7F"/>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7F7F7F"/>
            </w:tcBorders>
          </w:tcPr>
          <w:p>
            <w:pPr>
              <w:ind w:left="4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66,030</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ind w:left="4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41,829</w:t>
            </w:r>
          </w:p>
        </w:tc>
        <w:tc>
          <w:tcPr>
            <w:tcW w:w="60" w:type="dxa"/>
            <w:vAlign w:val="bottom"/>
            <w:tcBorders>
              <w:bottom w:val="single" w:sz="8" w:color="7F7F7F"/>
            </w:tcBorders>
          </w:tcPr>
          <w:p>
            <w:pPr>
              <w:spacing w:after="0"/>
              <w:rPr>
                <w:sz w:val="20"/>
                <w:szCs w:val="20"/>
                <w:color w:val="auto"/>
              </w:rPr>
            </w:pP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F7F7F"/>
            </w:tcBorders>
            <w:gridSpan w:val="2"/>
          </w:tcPr>
          <w:p>
            <w:pPr>
              <w:ind w:left="3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(29,442)</w:t>
            </w:r>
          </w:p>
        </w:tc>
        <w:tc>
          <w:tcPr>
            <w:tcW w:w="240" w:type="dxa"/>
            <w:vAlign w:val="bottom"/>
            <w:tcBorders>
              <w:bottom w:val="single" w:sz="8" w:color="7F7F7F"/>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7F7F7F"/>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​467,907</w:t>
            </w:r>
          </w:p>
        </w:tc>
        <w:tc>
          <w:tcPr>
            <w:tcW w:w="1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520" w:type="dxa"/>
            <w:vAlign w:val="bottom"/>
            <w:tcBorders>
              <w:bottom w:val="single" w:sz="8" w:color="BF5B5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400" w:type="dxa"/>
            <w:vAlign w:val="bottom"/>
            <w:tcBorders>
              <w:bottom w:val="single" w:sz="8" w:color="BF5B5A"/>
            </w:tcBorders>
          </w:tcPr>
          <w:p>
            <w:pPr>
              <w:ind w:left="240"/>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​430,942</w:t>
            </w:r>
          </w:p>
        </w:tc>
        <w:tc>
          <w:tcPr>
            <w:tcW w:w="18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BF5B5A"/>
            </w:tcBorders>
          </w:tcPr>
          <w:p>
            <w:pPr>
              <w:spacing w:after="0"/>
              <w:rPr>
                <w:sz w:val="20"/>
                <w:szCs w:val="20"/>
                <w:color w:val="auto"/>
              </w:rPr>
            </w:pPr>
          </w:p>
        </w:tc>
        <w:tc>
          <w:tcPr>
            <w:tcW w:w="60" w:type="dxa"/>
            <w:vAlign w:val="bottom"/>
            <w:tcBorders>
              <w:bottom w:val="single" w:sz="8" w:color="BF5B5A"/>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BF5B5A"/>
            </w:tcBorders>
          </w:tcPr>
          <w:p>
            <w:pPr>
              <w:ind w:left="4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​(177,191)</w:t>
            </w:r>
          </w:p>
        </w:tc>
        <w:tc>
          <w:tcPr>
            <w:tcW w:w="180" w:type="dxa"/>
            <w:vAlign w:val="bottom"/>
            <w:tcBorders>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BF5B5A"/>
            </w:tcBorders>
          </w:tcPr>
          <w:p>
            <w:pPr>
              <w:ind w:left="4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(70,293)</w:t>
            </w:r>
          </w:p>
        </w:tc>
        <w:tc>
          <w:tcPr>
            <w:tcW w:w="60" w:type="dxa"/>
            <w:vAlign w:val="bottom"/>
            <w:tcBorders>
              <w:bottom w:val="single" w:sz="8" w:color="BF5B5A"/>
            </w:tcBorders>
          </w:tcPr>
          <w:p>
            <w:pPr>
              <w:spacing w:after="0"/>
              <w:rPr>
                <w:sz w:val="20"/>
                <w:szCs w:val="20"/>
                <w:color w:val="auto"/>
              </w:rPr>
            </w:pP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BF5B5A"/>
            </w:tcBorders>
          </w:tcPr>
          <w:p>
            <w:pPr>
              <w:ind w:left="3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40" w:type="dxa"/>
            <w:vAlign w:val="bottom"/>
            <w:tcBorders>
              <w:bottom w:val="single" w:sz="8" w:color="BF5B5A"/>
            </w:tcBorders>
          </w:tcPr>
          <w:p>
            <w:pPr>
              <w:ind w:left="3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F5B5A"/>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F5B5A"/>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F5B5A"/>
            </w:tcBorders>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​183,458</w:t>
            </w:r>
          </w:p>
        </w:tc>
        <w:tc>
          <w:tcPr>
            <w:tcW w:w="120" w:type="dxa"/>
            <w:vAlign w:val="bottom"/>
            <w:tcBorders>
              <w:bottom w:val="single" w:sz="8" w:color="BF5B5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1140" w:right="180" w:hanging="360"/>
        <w:spacing w:after="0" w:line="291" w:lineRule="auto"/>
        <w:tabs>
          <w:tab w:leader="none" w:pos="11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Peer Group TSR set forth in this table utilizes the KBW Regional Banking Index (“KRX”),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KRX, respectively. Historical stock performance is not necessarily indicative of future stock performance.</w:t>
      </w:r>
    </w:p>
    <w:p>
      <w:pPr>
        <w:spacing w:after="0" w:line="31" w:lineRule="exact"/>
        <w:rPr>
          <w:rFonts w:ascii="Arial" w:cs="Arial" w:eastAsia="Arial" w:hAnsi="Arial"/>
          <w:sz w:val="16"/>
          <w:szCs w:val="16"/>
          <w:color w:val="auto"/>
        </w:rPr>
      </w:pPr>
    </w:p>
    <w:p>
      <w:pPr>
        <w:ind w:left="1140" w:hanging="360"/>
        <w:spacing w:after="0" w:line="286" w:lineRule="auto"/>
        <w:tabs>
          <w:tab w:leader="none" w:pos="11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We determined Core Return on Average Tangible Stockholders’ Equity to be the most important financial performance measure used to link Company performance to Compensation Actually Paid to our CEO and Non-CEO NEOs in 2023, as required pursuant to Item 402(v) of Regulation S-K. This performance measure may not have been the most important financial performance measure for prior years and we may determine a different financial performance measure to be the most important financial performance measure in future years. Core Return on Average Tangible Stockholders’ Equity is a non-GAAP financial measure. We compute our Core Return on Average Tangible Stockholders’ Equity as the ratio of core net income to average tangible stockholders’ equity, which is calculated by subtracting (and thereby effectively excluding) amounts related to the effect of goodwill from our average total common equity. Please see Annex A for further explanation and a reconciliation.</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75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right="80"/>
        <w:spacing w:after="0" w:line="332" w:lineRule="auto"/>
        <w:rPr>
          <w:sz w:val="20"/>
          <w:szCs w:val="20"/>
          <w:color w:val="auto"/>
        </w:rPr>
      </w:pPr>
      <w:r>
        <w:rPr>
          <w:rFonts w:ascii="Arial" w:cs="Arial" w:eastAsia="Arial" w:hAnsi="Arial"/>
          <w:sz w:val="24"/>
          <w:szCs w:val="24"/>
          <w:b w:val="1"/>
          <w:bCs w:val="1"/>
          <w:color w:val="auto"/>
        </w:rPr>
        <w:t>Description of Relationship Between CEO and Non-CEO NEO Compensation Actually Paid and Company and Peer Group Total Shareholder Return (“TSR”)</w:t>
      </w:r>
    </w:p>
    <w:p>
      <w:pPr>
        <w:spacing w:after="0" w:line="12" w:lineRule="exact"/>
        <w:rPr>
          <w:sz w:val="20"/>
          <w:szCs w:val="20"/>
          <w:color w:val="auto"/>
        </w:rPr>
      </w:pPr>
    </w:p>
    <w:p>
      <w:pPr>
        <w:ind w:left="780" w:right="20"/>
        <w:spacing w:after="0" w:line="292" w:lineRule="auto"/>
        <w:rPr>
          <w:sz w:val="20"/>
          <w:szCs w:val="20"/>
          <w:color w:val="auto"/>
        </w:rPr>
      </w:pPr>
      <w:r>
        <w:rPr>
          <w:rFonts w:ascii="Arial" w:cs="Arial" w:eastAsia="Arial" w:hAnsi="Arial"/>
          <w:sz w:val="18"/>
          <w:szCs w:val="18"/>
          <w:color w:val="auto"/>
        </w:rPr>
        <w:t>The following chart sets forth the relationship between Compensation Actually Paid to our CEO, the average of Compensation Actually Paid to our Non-CEO NEOs, and the Company’s cumulative TSR over the four most recently completed fiscal years compared to that of the KBW Regional Banking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97790</wp:posOffset>
            </wp:positionV>
            <wp:extent cx="5194935" cy="288036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94935" cy="2880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76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right="380"/>
        <w:spacing w:after="0" w:line="309" w:lineRule="auto"/>
        <w:rPr>
          <w:sz w:val="20"/>
          <w:szCs w:val="20"/>
          <w:color w:val="auto"/>
        </w:rPr>
      </w:pPr>
      <w:r>
        <w:rPr>
          <w:rFonts w:ascii="Arial" w:cs="Arial" w:eastAsia="Arial" w:hAnsi="Arial"/>
          <w:sz w:val="25"/>
          <w:szCs w:val="25"/>
          <w:b w:val="1"/>
          <w:bCs w:val="1"/>
          <w:color w:val="auto"/>
        </w:rPr>
        <w:t>Description of Relationship Between CEO and Non-CEO NEO Compensation Actually Paid and Net Income</w:t>
      </w:r>
    </w:p>
    <w:p>
      <w:pPr>
        <w:spacing w:after="0" w:line="35" w:lineRule="exact"/>
        <w:rPr>
          <w:sz w:val="20"/>
          <w:szCs w:val="20"/>
          <w:color w:val="auto"/>
        </w:rPr>
      </w:pPr>
    </w:p>
    <w:p>
      <w:pPr>
        <w:ind w:left="780" w:right="20"/>
        <w:spacing w:after="0" w:line="292" w:lineRule="auto"/>
        <w:rPr>
          <w:sz w:val="20"/>
          <w:szCs w:val="20"/>
          <w:color w:val="auto"/>
        </w:rPr>
      </w:pPr>
      <w:r>
        <w:rPr>
          <w:rFonts w:ascii="Arial" w:cs="Arial" w:eastAsia="Arial" w:hAnsi="Arial"/>
          <w:sz w:val="18"/>
          <w:szCs w:val="18"/>
          <w:color w:val="auto"/>
        </w:rPr>
        <w:t>The following chart sets forth the relationship between Compensation Actually Paid to our CEO, the average of Compensation Actually Paid to our Non-CEO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97790</wp:posOffset>
            </wp:positionV>
            <wp:extent cx="5194935" cy="288036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94935" cy="2880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77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EXECUTIVE COMPENSATION</w:t>
      </w:r>
    </w:p>
    <w:p>
      <w:pPr>
        <w:spacing w:after="0" w:line="314" w:lineRule="exact"/>
        <w:rPr>
          <w:sz w:val="20"/>
          <w:szCs w:val="20"/>
          <w:color w:val="auto"/>
        </w:rPr>
      </w:pPr>
    </w:p>
    <w:p>
      <w:pPr>
        <w:ind w:left="780" w:right="380"/>
        <w:spacing w:after="0" w:line="332" w:lineRule="auto"/>
        <w:rPr>
          <w:sz w:val="20"/>
          <w:szCs w:val="20"/>
          <w:color w:val="auto"/>
        </w:rPr>
      </w:pPr>
      <w:r>
        <w:rPr>
          <w:rFonts w:ascii="Arial" w:cs="Arial" w:eastAsia="Arial" w:hAnsi="Arial"/>
          <w:sz w:val="24"/>
          <w:szCs w:val="24"/>
          <w:b w:val="1"/>
          <w:bCs w:val="1"/>
          <w:color w:val="auto"/>
        </w:rPr>
        <w:t>Description of Relationship Between CEO and Non-CEO NEO Compensation Actually Paid and Core Return on Average Tangible Stockholders’ Equity</w:t>
      </w:r>
    </w:p>
    <w:p>
      <w:pPr>
        <w:spacing w:after="0" w:line="12" w:lineRule="exact"/>
        <w:rPr>
          <w:sz w:val="20"/>
          <w:szCs w:val="20"/>
          <w:color w:val="auto"/>
        </w:rPr>
      </w:pPr>
    </w:p>
    <w:p>
      <w:pPr>
        <w:ind w:left="780" w:right="20"/>
        <w:spacing w:after="0" w:line="283" w:lineRule="auto"/>
        <w:rPr>
          <w:sz w:val="20"/>
          <w:szCs w:val="20"/>
          <w:color w:val="auto"/>
        </w:rPr>
      </w:pPr>
      <w:r>
        <w:rPr>
          <w:rFonts w:ascii="Arial" w:cs="Arial" w:eastAsia="Arial" w:hAnsi="Arial"/>
          <w:sz w:val="18"/>
          <w:szCs w:val="18"/>
          <w:color w:val="auto"/>
        </w:rPr>
        <w:t>The following chart sets forth the relationship between Compensation Actually Paid to our CEO, the average of Compensation Actually Paid to our Non-CEO NEOs, and our Core Return on Average Tangible Stockholders’ Equity during the four most recently completed fiscal years. Core Return on Average Tangible Stockholders’ Equity is a non-GAAP financial measure. Please see Annex A for further explanation and a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103505</wp:posOffset>
            </wp:positionV>
            <wp:extent cx="5194935" cy="28803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9493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Tabular List of Most Important Financial Performance Measures</w:t>
      </w:r>
    </w:p>
    <w:p>
      <w:pPr>
        <w:spacing w:after="0" w:line="177" w:lineRule="exact"/>
        <w:rPr>
          <w:sz w:val="20"/>
          <w:szCs w:val="20"/>
          <w:color w:val="auto"/>
        </w:rPr>
      </w:pPr>
    </w:p>
    <w:p>
      <w:pPr>
        <w:ind w:left="780"/>
        <w:spacing w:after="0" w:line="292" w:lineRule="auto"/>
        <w:rPr>
          <w:sz w:val="20"/>
          <w:szCs w:val="20"/>
          <w:color w:val="auto"/>
        </w:rPr>
      </w:pPr>
      <w:r>
        <w:rPr>
          <w:rFonts w:ascii="Arial" w:cs="Arial" w:eastAsia="Arial" w:hAnsi="Arial"/>
          <w:sz w:val="18"/>
          <w:szCs w:val="18"/>
          <w:color w:val="auto"/>
        </w:rPr>
        <w:t>The following table presents the financial performance measures that the Company considers to have been the most important in linking Compensation Actually Paid to our CEO and other NEOs for 2023 to Company performance. The measures in this table are not ranked.</w:t>
      </w:r>
    </w:p>
    <w:p>
      <w:pPr>
        <w:spacing w:after="0" w:line="9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Core Return on Average Tangible Stockholders’ Equity</w:t>
      </w:r>
    </w:p>
    <w:p>
      <w:pPr>
        <w:spacing w:after="0" w:line="32"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Core Return on Average Tangible Assets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Core Net Income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Asset Quality Metric</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Total Shareholder Return</w:t>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78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7F7F7F"/>
        </w:rPr>
        <w:t>EXECUTIVE COMPENSATION</w:t>
      </w:r>
    </w:p>
    <w:p>
      <w:pPr>
        <w:spacing w:after="0" w:line="325" w:lineRule="exact"/>
        <w:rPr>
          <w:sz w:val="20"/>
          <w:szCs w:val="20"/>
          <w:color w:val="auto"/>
        </w:rPr>
      </w:pPr>
    </w:p>
    <w:p>
      <w:pPr>
        <w:ind w:left="780" w:right="220"/>
        <w:spacing w:after="0" w:line="309" w:lineRule="auto"/>
        <w:rPr>
          <w:sz w:val="20"/>
          <w:szCs w:val="20"/>
          <w:color w:val="auto"/>
        </w:rPr>
      </w:pPr>
      <w:r>
        <w:rPr>
          <w:rFonts w:ascii="Arial" w:cs="Arial" w:eastAsia="Arial" w:hAnsi="Arial"/>
          <w:sz w:val="25"/>
          <w:szCs w:val="25"/>
          <w:b w:val="1"/>
          <w:bCs w:val="1"/>
          <w:color w:val="BF5B5A"/>
        </w:rPr>
        <w:t>PROPOSAL 3</w:t>
      </w:r>
      <w:r>
        <w:rPr>
          <w:rFonts w:ascii="Arial" w:cs="Arial" w:eastAsia="Arial" w:hAnsi="Arial"/>
          <w:sz w:val="25"/>
          <w:szCs w:val="25"/>
          <w:b w:val="1"/>
          <w:bCs w:val="1"/>
          <w:color w:val="000000"/>
        </w:rPr>
        <w:t>—ADVISORY VOTE ON THE FREQUENCY OF FUTURE VOTES ON</w:t>
      </w:r>
      <w:r>
        <w:rPr>
          <w:rFonts w:ascii="Arial" w:cs="Arial" w:eastAsia="Arial" w:hAnsi="Arial"/>
          <w:sz w:val="25"/>
          <w:szCs w:val="25"/>
          <w:b w:val="1"/>
          <w:bCs w:val="1"/>
          <w:color w:val="BF5B5A"/>
        </w:rPr>
        <w:t xml:space="preserve"> </w:t>
      </w:r>
      <w:r>
        <w:rPr>
          <w:rFonts w:ascii="Arial" w:cs="Arial" w:eastAsia="Arial" w:hAnsi="Arial"/>
          <w:sz w:val="25"/>
          <w:szCs w:val="25"/>
          <w:b w:val="1"/>
          <w:bCs w:val="1"/>
          <w:color w:val="000000"/>
        </w:rPr>
        <w:t>THE COMPENSATION OF OUR NAMED EXECUTIVE OFFICERS</w:t>
      </w:r>
    </w:p>
    <w:p>
      <w:pPr>
        <w:spacing w:after="0" w:line="74" w:lineRule="exact"/>
        <w:rPr>
          <w:sz w:val="20"/>
          <w:szCs w:val="20"/>
          <w:color w:val="auto"/>
        </w:rPr>
      </w:pPr>
    </w:p>
    <w:tbl>
      <w:tblPr>
        <w:tblLayout w:type="fixed"/>
        <w:tblInd w:w="790" w:type="dxa"/>
        <w:tblCellMar>
          <w:top w:w="0" w:type="dxa"/>
          <w:left w:w="0" w:type="dxa"/>
          <w:bottom w:w="0" w:type="dxa"/>
          <w:right w:w="0" w:type="dxa"/>
        </w:tblCellMar>
      </w:tblPr>
      <w:tr>
        <w:trPr>
          <w:trHeight w:val="189"/>
        </w:trPr>
        <w:tc>
          <w:tcPr>
            <w:tcW w:w="2660" w:type="dxa"/>
            <w:vAlign w:val="bottom"/>
            <w:tcBorders>
              <w:top w:val="single" w:sz="8" w:color="BF5B5A"/>
              <w:left w:val="single" w:sz="8" w:color="BF5B5A"/>
              <w:bottom w:val="single" w:sz="8" w:color="BF5B5A"/>
            </w:tcBorders>
            <w:vMerge w:val="restart"/>
            <w:shd w:val="clear" w:color="auto" w:fill="F2DEDE"/>
          </w:tcPr>
          <w:p>
            <w:pPr>
              <w:ind w:left="20"/>
              <w:spacing w:after="0" w:line="278" w:lineRule="exact"/>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Advisory vote on the frequency</w:t>
            </w:r>
          </w:p>
        </w:tc>
        <w:tc>
          <w:tcPr>
            <w:tcW w:w="160" w:type="dxa"/>
            <w:vAlign w:val="bottom"/>
            <w:tcBorders>
              <w:top w:val="single" w:sz="8" w:color="BF5B5A"/>
              <w:bottom w:val="single" w:sz="8" w:color="BF5B5A"/>
              <w:right w:val="single" w:sz="8" w:color="auto"/>
            </w:tcBorders>
            <w:vMerge w:val="restart"/>
            <w:shd w:val="clear" w:color="auto" w:fill="F2DEDE"/>
          </w:tcPr>
          <w:p>
            <w:pPr>
              <w:ind w:left="6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BF5B5A"/>
              <w:bottom w:val="single" w:sz="8" w:color="BF5B5A"/>
            </w:tcBorders>
            <w:vMerge w:val="restart"/>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BF5B5A"/>
              <w:bottom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w w:val="90"/>
              </w:rPr>
              <w:t>Proposal</w:t>
            </w:r>
          </w:p>
        </w:tc>
        <w:tc>
          <w:tcPr>
            <w:tcW w:w="5400" w:type="dxa"/>
            <w:vAlign w:val="bottom"/>
            <w:tcBorders>
              <w:top w:val="single" w:sz="8" w:color="BF5B5A"/>
              <w:bottom w:val="single" w:sz="8" w:color="BF5B5A"/>
            </w:tcBorders>
            <w:vMerge w:val="restart"/>
          </w:tcPr>
          <w:p>
            <w:pPr>
              <w:spacing w:after="0"/>
              <w:rPr>
                <w:sz w:val="16"/>
                <w:szCs w:val="16"/>
                <w:color w:val="auto"/>
              </w:rPr>
            </w:pPr>
          </w:p>
        </w:tc>
        <w:tc>
          <w:tcPr>
            <w:tcW w:w="140" w:type="dxa"/>
            <w:vAlign w:val="bottom"/>
            <w:tcBorders>
              <w:top w:val="single" w:sz="8" w:color="BF5B5A"/>
              <w:bottom w:val="single" w:sz="8" w:color="BF5B5A"/>
              <w:right w:val="single" w:sz="8" w:color="BF5B5A"/>
            </w:tcBorders>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9"/>
        </w:trPr>
        <w:tc>
          <w:tcPr>
            <w:tcW w:w="2660" w:type="dxa"/>
            <w:vAlign w:val="bottom"/>
            <w:tcBorders>
              <w:left w:val="single" w:sz="8" w:color="BF5B5A"/>
            </w:tcBorders>
            <w:vMerge w:val="continue"/>
            <w:shd w:val="clear" w:color="auto" w:fill="F2DEDE"/>
          </w:tcPr>
          <w:p>
            <w:pPr>
              <w:spacing w:after="0"/>
              <w:rPr>
                <w:sz w:val="6"/>
                <w:szCs w:val="6"/>
                <w:color w:val="auto"/>
              </w:rPr>
            </w:pPr>
          </w:p>
        </w:tc>
        <w:tc>
          <w:tcPr>
            <w:tcW w:w="160" w:type="dxa"/>
            <w:vAlign w:val="bottom"/>
            <w:tcBorders>
              <w:right w:val="single" w:sz="8" w:color="auto"/>
            </w:tcBorders>
            <w:vMerge w:val="continue"/>
            <w:shd w:val="clear" w:color="auto" w:fill="F2DEDE"/>
          </w:tcPr>
          <w:p>
            <w:pPr>
              <w:spacing w:after="0"/>
              <w:rPr>
                <w:sz w:val="6"/>
                <w:szCs w:val="6"/>
                <w:color w:val="auto"/>
              </w:rPr>
            </w:pPr>
          </w:p>
        </w:tc>
        <w:tc>
          <w:tcPr>
            <w:tcW w:w="8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5400" w:type="dxa"/>
            <w:vAlign w:val="bottom"/>
            <w:vMerge w:val="continue"/>
          </w:tcPr>
          <w:p>
            <w:pPr>
              <w:spacing w:after="0"/>
              <w:rPr>
                <w:sz w:val="6"/>
                <w:szCs w:val="6"/>
                <w:color w:val="auto"/>
              </w:rPr>
            </w:pPr>
          </w:p>
        </w:tc>
        <w:tc>
          <w:tcPr>
            <w:tcW w:w="140" w:type="dxa"/>
            <w:vAlign w:val="bottom"/>
            <w:tcBorders>
              <w:right w:val="single" w:sz="8" w:color="BF5B5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BF5B5A"/>
            </w:tcBorders>
            <w:shd w:val="clear" w:color="auto" w:fill="F2DEDE"/>
          </w:tcPr>
          <w:p>
            <w:pPr>
              <w:ind w:left="100"/>
              <w:spacing w:after="0"/>
              <w:rPr>
                <w:sz w:val="20"/>
                <w:szCs w:val="20"/>
                <w:color w:val="auto"/>
              </w:rPr>
            </w:pPr>
            <w:r>
              <w:rPr>
                <w:rFonts w:ascii="Arial" w:cs="Arial" w:eastAsia="Arial" w:hAnsi="Arial"/>
                <w:sz w:val="18"/>
                <w:szCs w:val="18"/>
                <w:b w:val="1"/>
                <w:bCs w:val="1"/>
                <w:color w:val="auto"/>
              </w:rPr>
              <w:t>of future votes on the</w:t>
            </w:r>
          </w:p>
        </w:tc>
        <w:tc>
          <w:tcPr>
            <w:tcW w:w="160" w:type="dxa"/>
            <w:vAlign w:val="bottom"/>
            <w:tcBorders>
              <w:right w:val="single" w:sz="8" w:color="auto"/>
            </w:tcBorders>
            <w:shd w:val="clear" w:color="auto" w:fill="F2DEDE"/>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BF5B5A"/>
              </w:rPr>
              <w:t xml:space="preserve">• </w:t>
            </w:r>
            <w:r>
              <w:rPr>
                <w:rFonts w:ascii="Arial" w:cs="Arial" w:eastAsia="Arial" w:hAnsi="Arial"/>
                <w:sz w:val="18"/>
                <w:szCs w:val="18"/>
                <w:color w:val="000000"/>
              </w:rPr>
              <w:t>We are asking stockholders to approve the frequency of future advisory</w:t>
            </w:r>
          </w:p>
        </w:tc>
        <w:tc>
          <w:tcPr>
            <w:tcW w:w="140" w:type="dxa"/>
            <w:vAlign w:val="bottom"/>
            <w:tcBorders>
              <w:right w:val="single" w:sz="8" w:color="BF5B5A"/>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BF5B5A"/>
            </w:tcBorders>
            <w:shd w:val="clear" w:color="auto" w:fill="F2DEDE"/>
          </w:tcPr>
          <w:p>
            <w:pPr>
              <w:ind w:left="100"/>
              <w:spacing w:after="0"/>
              <w:rPr>
                <w:sz w:val="20"/>
                <w:szCs w:val="20"/>
                <w:color w:val="auto"/>
              </w:rPr>
            </w:pPr>
            <w:r>
              <w:rPr>
                <w:rFonts w:ascii="Arial" w:cs="Arial" w:eastAsia="Arial" w:hAnsi="Arial"/>
                <w:sz w:val="18"/>
                <w:szCs w:val="18"/>
                <w:b w:val="1"/>
                <w:bCs w:val="1"/>
                <w:color w:val="auto"/>
              </w:rPr>
              <w:t>compensation of our named</w:t>
            </w:r>
          </w:p>
        </w:tc>
        <w:tc>
          <w:tcPr>
            <w:tcW w:w="160" w:type="dxa"/>
            <w:vAlign w:val="bottom"/>
            <w:tcBorders>
              <w:right w:val="single" w:sz="8" w:color="auto"/>
            </w:tcBorders>
            <w:shd w:val="clear" w:color="auto" w:fill="F2DEDE"/>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stockholder votes on the compensation of our named executive officers.</w:t>
            </w:r>
          </w:p>
        </w:tc>
        <w:tc>
          <w:tcPr>
            <w:tcW w:w="140" w:type="dxa"/>
            <w:vAlign w:val="bottom"/>
            <w:tcBorders>
              <w:right w:val="single" w:sz="8" w:color="BF5B5A"/>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660" w:type="dxa"/>
            <w:vAlign w:val="bottom"/>
            <w:tcBorders>
              <w:left w:val="single" w:sz="8" w:color="BF5B5A"/>
            </w:tcBorders>
            <w:shd w:val="clear" w:color="auto" w:fill="F2DEDE"/>
          </w:tcPr>
          <w:p>
            <w:pPr>
              <w:ind w:left="100"/>
              <w:spacing w:after="0"/>
              <w:rPr>
                <w:sz w:val="20"/>
                <w:szCs w:val="20"/>
                <w:color w:val="auto"/>
              </w:rPr>
            </w:pPr>
            <w:r>
              <w:rPr>
                <w:rFonts w:ascii="Arial" w:cs="Arial" w:eastAsia="Arial" w:hAnsi="Arial"/>
                <w:sz w:val="18"/>
                <w:szCs w:val="18"/>
                <w:b w:val="1"/>
                <w:bCs w:val="1"/>
                <w:color w:val="auto"/>
              </w:rPr>
              <w:t>executive officers</w:t>
            </w:r>
          </w:p>
        </w:tc>
        <w:tc>
          <w:tcPr>
            <w:tcW w:w="160" w:type="dxa"/>
            <w:vAlign w:val="bottom"/>
            <w:tcBorders>
              <w:right w:val="single" w:sz="8" w:color="auto"/>
            </w:tcBorders>
            <w:shd w:val="clear" w:color="auto" w:fill="F2DEDE"/>
          </w:tcPr>
          <w:p>
            <w:pPr>
              <w:spacing w:after="0"/>
              <w:rPr>
                <w:sz w:val="21"/>
                <w:szCs w:val="21"/>
                <w:color w:val="auto"/>
              </w:rPr>
            </w:pPr>
          </w:p>
        </w:tc>
        <w:tc>
          <w:tcPr>
            <w:tcW w:w="80" w:type="dxa"/>
            <w:vAlign w:val="bottom"/>
          </w:tcPr>
          <w:p>
            <w:pPr>
              <w:spacing w:after="0"/>
              <w:rPr>
                <w:sz w:val="21"/>
                <w:szCs w:val="21"/>
                <w:color w:val="auto"/>
              </w:rPr>
            </w:pPr>
          </w:p>
        </w:tc>
        <w:tc>
          <w:tcPr>
            <w:tcW w:w="614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w w:val="99"/>
              </w:rPr>
              <w:t>The Board of Directors unanimously recommends that you vote to hold</w:t>
            </w:r>
          </w:p>
        </w:tc>
        <w:tc>
          <w:tcPr>
            <w:tcW w:w="140" w:type="dxa"/>
            <w:vAlign w:val="bottom"/>
            <w:tcBorders>
              <w:right w:val="single" w:sz="8" w:color="BF5B5A"/>
            </w:tcBorders>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2660" w:type="dxa"/>
            <w:vAlign w:val="bottom"/>
            <w:tcBorders>
              <w:left w:val="single" w:sz="8" w:color="BF5B5A"/>
            </w:tcBorders>
            <w:shd w:val="clear" w:color="auto" w:fill="F2DEDE"/>
          </w:tcPr>
          <w:p>
            <w:pPr>
              <w:spacing w:after="0"/>
              <w:rPr>
                <w:sz w:val="6"/>
                <w:szCs w:val="6"/>
                <w:color w:val="auto"/>
              </w:rPr>
            </w:pPr>
          </w:p>
        </w:tc>
        <w:tc>
          <w:tcPr>
            <w:tcW w:w="160" w:type="dxa"/>
            <w:vAlign w:val="bottom"/>
            <w:tcBorders>
              <w:right w:val="single" w:sz="8" w:color="auto"/>
            </w:tcBorders>
            <w:shd w:val="clear" w:color="auto" w:fill="F2DEDE"/>
          </w:tcPr>
          <w:p>
            <w:pPr>
              <w:spacing w:after="0"/>
              <w:rPr>
                <w:sz w:val="6"/>
                <w:szCs w:val="6"/>
                <w:color w:val="auto"/>
              </w:rPr>
            </w:pPr>
          </w:p>
        </w:tc>
        <w:tc>
          <w:tcPr>
            <w:tcW w:w="80" w:type="dxa"/>
            <w:vAlign w:val="bottom"/>
          </w:tcPr>
          <w:p>
            <w:pPr>
              <w:spacing w:after="0"/>
              <w:rPr>
                <w:sz w:val="6"/>
                <w:szCs w:val="6"/>
                <w:color w:val="auto"/>
              </w:rPr>
            </w:pPr>
          </w:p>
        </w:tc>
        <w:tc>
          <w:tcPr>
            <w:tcW w:w="6140" w:type="dxa"/>
            <w:vAlign w:val="bottom"/>
            <w:gridSpan w:val="2"/>
            <w:vMerge w:val="continue"/>
          </w:tcPr>
          <w:p>
            <w:pPr>
              <w:spacing w:after="0"/>
              <w:rPr>
                <w:sz w:val="6"/>
                <w:szCs w:val="6"/>
                <w:color w:val="auto"/>
              </w:rPr>
            </w:pPr>
          </w:p>
        </w:tc>
        <w:tc>
          <w:tcPr>
            <w:tcW w:w="140" w:type="dxa"/>
            <w:vAlign w:val="bottom"/>
            <w:tcBorders>
              <w:right w:val="single" w:sz="8" w:color="BF5B5A"/>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BF5B5A"/>
            </w:tcBorders>
            <w:shd w:val="clear" w:color="auto" w:fill="F2DEDE"/>
          </w:tcPr>
          <w:p>
            <w:pPr>
              <w:spacing w:after="0"/>
              <w:rPr>
                <w:sz w:val="18"/>
                <w:szCs w:val="18"/>
                <w:color w:val="auto"/>
              </w:rPr>
            </w:pPr>
          </w:p>
        </w:tc>
        <w:tc>
          <w:tcPr>
            <w:tcW w:w="160" w:type="dxa"/>
            <w:vAlign w:val="bottom"/>
            <w:tcBorders>
              <w:right w:val="single" w:sz="8" w:color="auto"/>
            </w:tcBorders>
            <w:shd w:val="clear" w:color="auto" w:fill="F2DEDE"/>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 advisory vote on the compensation of our named executive officers</w:t>
            </w:r>
          </w:p>
        </w:tc>
        <w:tc>
          <w:tcPr>
            <w:tcW w:w="140" w:type="dxa"/>
            <w:vAlign w:val="bottom"/>
            <w:tcBorders>
              <w:right w:val="single" w:sz="8" w:color="BF5B5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660" w:type="dxa"/>
            <w:vAlign w:val="bottom"/>
            <w:tcBorders>
              <w:left w:val="single" w:sz="8" w:color="BF5B5A"/>
              <w:bottom w:val="single" w:sz="8" w:color="F2DEDE"/>
            </w:tcBorders>
            <w:shd w:val="clear" w:color="auto" w:fill="F2DEDE"/>
          </w:tcPr>
          <w:p>
            <w:pPr>
              <w:spacing w:after="0"/>
              <w:rPr>
                <w:sz w:val="23"/>
                <w:szCs w:val="23"/>
                <w:color w:val="auto"/>
              </w:rPr>
            </w:pPr>
          </w:p>
        </w:tc>
        <w:tc>
          <w:tcPr>
            <w:tcW w:w="160" w:type="dxa"/>
            <w:vAlign w:val="bottom"/>
            <w:tcBorders>
              <w:bottom w:val="single" w:sz="8" w:color="F2DEDE"/>
              <w:right w:val="single" w:sz="8" w:color="auto"/>
            </w:tcBorders>
            <w:shd w:val="clear" w:color="auto" w:fill="F2DEDE"/>
          </w:tcPr>
          <w:p>
            <w:pPr>
              <w:spacing w:after="0"/>
              <w:rPr>
                <w:sz w:val="23"/>
                <w:szCs w:val="23"/>
                <w:color w:val="auto"/>
              </w:rPr>
            </w:pPr>
          </w:p>
        </w:tc>
        <w:tc>
          <w:tcPr>
            <w:tcW w:w="80" w:type="dxa"/>
            <w:vAlign w:val="bottom"/>
          </w:tcPr>
          <w:p>
            <w:pPr>
              <w:spacing w:after="0"/>
              <w:rPr>
                <w:sz w:val="23"/>
                <w:szCs w:val="23"/>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‘‘EVERY YEAR.”</w:t>
            </w:r>
          </w:p>
        </w:tc>
        <w:tc>
          <w:tcPr>
            <w:tcW w:w="140" w:type="dxa"/>
            <w:vAlign w:val="bottom"/>
            <w:tcBorders>
              <w:right w:val="single" w:sz="8" w:color="BF5B5A"/>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60" w:type="dxa"/>
            <w:vAlign w:val="bottom"/>
            <w:tcBorders>
              <w:left w:val="single" w:sz="8" w:color="BF5B5A"/>
            </w:tcBorders>
            <w:shd w:val="clear" w:color="auto" w:fill="BF5B5A"/>
          </w:tcPr>
          <w:p>
            <w:pPr>
              <w:spacing w:after="0" w:line="20" w:lineRule="exact"/>
              <w:rPr>
                <w:sz w:val="1"/>
                <w:szCs w:val="1"/>
                <w:color w:val="auto"/>
              </w:rPr>
            </w:pPr>
          </w:p>
        </w:tc>
        <w:tc>
          <w:tcPr>
            <w:tcW w:w="160" w:type="dxa"/>
            <w:vAlign w:val="bottom"/>
            <w:tcBorders>
              <w:right w:val="single" w:sz="8" w:color="BF5B5A"/>
            </w:tcBorders>
            <w:shd w:val="clear" w:color="auto" w:fill="BF5B5A"/>
          </w:tcPr>
          <w:p>
            <w:pPr>
              <w:spacing w:after="0" w:line="20" w:lineRule="exact"/>
              <w:rPr>
                <w:sz w:val="1"/>
                <w:szCs w:val="1"/>
                <w:color w:val="auto"/>
              </w:rPr>
            </w:pPr>
          </w:p>
        </w:tc>
        <w:tc>
          <w:tcPr>
            <w:tcW w:w="80" w:type="dxa"/>
            <w:vAlign w:val="bottom"/>
            <w:shd w:val="clear" w:color="auto" w:fill="BF5B5A"/>
          </w:tcPr>
          <w:p>
            <w:pPr>
              <w:spacing w:after="0" w:line="20" w:lineRule="exact"/>
              <w:rPr>
                <w:sz w:val="1"/>
                <w:szCs w:val="1"/>
                <w:color w:val="auto"/>
              </w:rPr>
            </w:pPr>
          </w:p>
        </w:tc>
        <w:tc>
          <w:tcPr>
            <w:tcW w:w="740" w:type="dxa"/>
            <w:vAlign w:val="bottom"/>
            <w:shd w:val="clear" w:color="auto" w:fill="BF5B5A"/>
          </w:tcPr>
          <w:p>
            <w:pPr>
              <w:spacing w:after="0" w:line="20" w:lineRule="exact"/>
              <w:rPr>
                <w:sz w:val="1"/>
                <w:szCs w:val="1"/>
                <w:color w:val="auto"/>
              </w:rPr>
            </w:pPr>
          </w:p>
        </w:tc>
        <w:tc>
          <w:tcPr>
            <w:tcW w:w="5400" w:type="dxa"/>
            <w:vAlign w:val="bottom"/>
            <w:shd w:val="clear" w:color="auto" w:fill="BF5B5A"/>
          </w:tcPr>
          <w:p>
            <w:pPr>
              <w:spacing w:after="0" w:line="20" w:lineRule="exact"/>
              <w:rPr>
                <w:sz w:val="1"/>
                <w:szCs w:val="1"/>
                <w:color w:val="auto"/>
              </w:rPr>
            </w:pPr>
          </w:p>
        </w:tc>
        <w:tc>
          <w:tcPr>
            <w:tcW w:w="140" w:type="dxa"/>
            <w:vAlign w:val="bottom"/>
            <w:tcBorders>
              <w:right w:val="single" w:sz="8" w:color="BF5B5A"/>
            </w:tcBorders>
            <w:shd w:val="clear" w:color="auto" w:fill="BF5B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sectPr>
      </w:pPr>
    </w:p>
    <w:p>
      <w:pPr>
        <w:spacing w:after="0" w:line="105"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Pursuant to Section 14A of the Exchange Act, we are providing stockholders with the opportunity to recommend, in a non-binding advisory vote, whether future non-binding advisory votes on the compensation of our named executive officers as disclosed in accordance with the compensation disclosure rules of the SEC (commonly known as “say-on-pay” votes) should occur every one, two or three years. Stockholders have the option of recommending a say-on-pay vote every year, every two years, or every three years, or abstaining from making a recommendation. Following, and in accordance with, the result of our most recent advisory vote on the frequency of future say-on-pay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votes, which was conducted at our 2018 Annual Meeting of Stockholders, we have been holding say-on-pay votes every year. The Compensation Committee and the Board of Directors recognize the importance of receiving regular input from our stockholders on important issues such as executive compensation. As such, we believe that conducting an advisory vote on our executive compensation on an annual basis to be the most appropriate choice for our stockholders. Although your vote is non-binding, we will strongly consider the views of our stockholders when determining how often to hold a “say on pay” vote.</w:t>
      </w:r>
    </w:p>
    <w:p>
      <w:pPr>
        <w:spacing w:after="0" w:line="200"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spacing w:after="0" w:line="26"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Required Vote</w:t>
      </w:r>
    </w:p>
    <w:p>
      <w:pPr>
        <w:spacing w:after="0" w:line="258" w:lineRule="exact"/>
        <w:rPr>
          <w:sz w:val="20"/>
          <w:szCs w:val="20"/>
          <w:color w:val="auto"/>
        </w:rPr>
      </w:pPr>
    </w:p>
    <w:p>
      <w:pPr>
        <w:ind w:left="780"/>
        <w:spacing w:after="0" w:line="278" w:lineRule="auto"/>
        <w:rPr>
          <w:sz w:val="20"/>
          <w:szCs w:val="20"/>
          <w:color w:val="auto"/>
        </w:rPr>
      </w:pPr>
      <w:r>
        <w:rPr>
          <w:rFonts w:ascii="Arial" w:cs="Arial" w:eastAsia="Arial" w:hAnsi="Arial"/>
          <w:sz w:val="18"/>
          <w:szCs w:val="18"/>
          <w:color w:val="auto"/>
        </w:rPr>
        <w:t>The frequency (i.e., Every Year, Every Two Years or Every Three Years) that receives the highest number of votes cast by stockholders will be considered by us as the stockholders’ recommendation as to the frequency of future stockholder advisory notes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approve the compensation of our named executive officers. Abstentions and broker non-votes will not be included in the total votes cast and will not affect the results.</w:t>
      </w:r>
    </w:p>
    <w:p>
      <w:pPr>
        <w:spacing w:after="0" w:line="384" w:lineRule="exact"/>
        <w:rPr>
          <w:sz w:val="20"/>
          <w:szCs w:val="20"/>
          <w:color w:val="auto"/>
        </w:rPr>
      </w:pPr>
    </w:p>
    <w:p>
      <w:pPr>
        <w:sectPr>
          <w:pgSz w:w="11900" w:h="16838" w:orient="portrait"/>
          <w:cols w:equalWidth="0" w:num="2">
            <w:col w:w="5040" w:space="580"/>
            <w:col w:w="4340"/>
          </w:cols>
          <w:pgMar w:left="580" w:top="97" w:right="1359" w:bottom="1440" w:gutter="0" w:footer="0" w:header="0"/>
          <w:type w:val="continuous"/>
        </w:sectPr>
      </w:pPr>
    </w:p>
    <w:p>
      <w:pPr>
        <w:spacing w:after="0" w:line="261" w:lineRule="exact"/>
        <w:rPr>
          <w:sz w:val="20"/>
          <w:szCs w:val="20"/>
          <w:color w:val="auto"/>
        </w:rPr>
      </w:pPr>
    </w:p>
    <w:tbl>
      <w:tblPr>
        <w:tblLayout w:type="fixed"/>
        <w:tblInd w:w="790" w:type="dxa"/>
        <w:tblCellMar>
          <w:top w:w="0" w:type="dxa"/>
          <w:left w:w="0" w:type="dxa"/>
          <w:bottom w:w="0" w:type="dxa"/>
          <w:right w:w="0" w:type="dxa"/>
        </w:tblCellMar>
      </w:tblPr>
      <w:tr>
        <w:trPr>
          <w:trHeight w:val="175"/>
        </w:trPr>
        <w:tc>
          <w:tcPr>
            <w:tcW w:w="480" w:type="dxa"/>
            <w:vAlign w:val="bottom"/>
            <w:tcBorders>
              <w:top w:val="single" w:sz="8" w:color="BF5B5A"/>
              <w:left w:val="single" w:sz="8" w:color="BF5B5A"/>
            </w:tcBorders>
          </w:tcPr>
          <w:p>
            <w:pPr>
              <w:ind w:left="20"/>
              <w:spacing w:after="0" w:line="176" w:lineRule="exact"/>
              <w:rPr>
                <w:sz w:val="20"/>
                <w:szCs w:val="20"/>
                <w:color w:val="auto"/>
              </w:rPr>
            </w:pPr>
            <w:r>
              <w:rPr>
                <w:rFonts w:ascii="Arial" w:cs="Arial" w:eastAsia="Arial" w:hAnsi="Arial"/>
                <w:sz w:val="18"/>
                <w:szCs w:val="18"/>
                <w:b w:val="1"/>
                <w:bCs w:val="1"/>
                <w:color w:val="auto"/>
              </w:rPr>
              <w:t>​</w:t>
            </w:r>
          </w:p>
        </w:tc>
        <w:tc>
          <w:tcPr>
            <w:tcW w:w="8380" w:type="dxa"/>
            <w:vAlign w:val="bottom"/>
            <w:tcBorders>
              <w:top w:val="single" w:sz="8" w:color="BF5B5A"/>
            </w:tcBorders>
          </w:tcPr>
          <w:p>
            <w:pPr>
              <w:ind w:left="400"/>
              <w:spacing w:after="0" w:line="176" w:lineRule="exact"/>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BF5B5A"/>
              <w:right w:val="single" w:sz="8" w:color="BF5B5A"/>
            </w:tcBorders>
          </w:tcPr>
          <w:p>
            <w:pPr>
              <w:ind w:left="260"/>
              <w:spacing w:after="0" w:line="176" w:lineRule="exact"/>
              <w:rPr>
                <w:sz w:val="20"/>
                <w:szCs w:val="20"/>
                <w:color w:val="auto"/>
              </w:rPr>
            </w:pPr>
            <w:r>
              <w:rPr>
                <w:rFonts w:ascii="Arial" w:cs="Arial" w:eastAsia="Arial" w:hAnsi="Arial"/>
                <w:sz w:val="18"/>
                <w:szCs w:val="18"/>
                <w:b w:val="1"/>
                <w:bCs w:val="1"/>
                <w:color w:val="auto"/>
              </w:rPr>
              <w:t>​</w:t>
            </w:r>
          </w:p>
        </w:tc>
      </w:tr>
      <w:tr>
        <w:trPr>
          <w:trHeight w:val="165"/>
        </w:trPr>
        <w:tc>
          <w:tcPr>
            <w:tcW w:w="480" w:type="dxa"/>
            <w:vAlign w:val="bottom"/>
            <w:tcBorders>
              <w:left w:val="single" w:sz="8" w:color="BF5B5A"/>
            </w:tcBorders>
          </w:tcPr>
          <w:p>
            <w:pPr>
              <w:spacing w:after="0"/>
              <w:rPr>
                <w:sz w:val="14"/>
                <w:szCs w:val="14"/>
                <w:color w:val="auto"/>
              </w:rPr>
            </w:pPr>
          </w:p>
        </w:tc>
        <w:tc>
          <w:tcPr>
            <w:tcW w:w="8380" w:type="dxa"/>
            <w:vAlign w:val="bottom"/>
          </w:tcPr>
          <w:p>
            <w:pPr>
              <w:ind w:left="400"/>
              <w:spacing w:after="0" w:line="165" w:lineRule="exact"/>
              <w:rPr>
                <w:sz w:val="20"/>
                <w:szCs w:val="20"/>
                <w:color w:val="auto"/>
              </w:rPr>
            </w:pPr>
            <w:r>
              <w:rPr>
                <w:rFonts w:ascii="Arial" w:cs="Arial" w:eastAsia="Arial" w:hAnsi="Arial"/>
                <w:sz w:val="18"/>
                <w:szCs w:val="18"/>
                <w:b w:val="1"/>
                <w:bCs w:val="1"/>
                <w:color w:val="auto"/>
                <w:w w:val="97"/>
              </w:rPr>
              <w:t xml:space="preserve">THE BOARD OF DIRECTORS RECOMMENDS THAT YOU VOTE FOR A FREQUENCY OF </w:t>
            </w:r>
            <w:r>
              <w:rPr>
                <w:rFonts w:ascii="Arial" w:cs="Arial" w:eastAsia="Arial" w:hAnsi="Arial"/>
                <w:sz w:val="19"/>
                <w:szCs w:val="19"/>
                <w:b w:val="1"/>
                <w:bCs w:val="1"/>
                <w:color w:val="BF5B5A"/>
                <w:w w:val="97"/>
              </w:rPr>
              <w:t>EVERY</w:t>
            </w:r>
          </w:p>
        </w:tc>
        <w:tc>
          <w:tcPr>
            <w:tcW w:w="320" w:type="dxa"/>
            <w:vAlign w:val="bottom"/>
            <w:tcBorders>
              <w:right w:val="single" w:sz="8" w:color="BF5B5A"/>
            </w:tcBorders>
          </w:tcPr>
          <w:p>
            <w:pPr>
              <w:spacing w:after="0"/>
              <w:rPr>
                <w:sz w:val="14"/>
                <w:szCs w:val="14"/>
                <w:color w:val="auto"/>
              </w:rPr>
            </w:pPr>
          </w:p>
        </w:tc>
      </w:tr>
      <w:tr>
        <w:trPr>
          <w:trHeight w:val="261"/>
        </w:trPr>
        <w:tc>
          <w:tcPr>
            <w:tcW w:w="480" w:type="dxa"/>
            <w:vAlign w:val="bottom"/>
            <w:tcBorders>
              <w:left w:val="single" w:sz="8" w:color="BF5B5A"/>
            </w:tcBorders>
          </w:tcPr>
          <w:p>
            <w:pPr>
              <w:spacing w:after="0"/>
              <w:rPr>
                <w:sz w:val="22"/>
                <w:szCs w:val="22"/>
                <w:color w:val="auto"/>
              </w:rPr>
            </w:pPr>
          </w:p>
        </w:tc>
        <w:tc>
          <w:tcPr>
            <w:tcW w:w="8380" w:type="dxa"/>
            <w:vAlign w:val="bottom"/>
          </w:tcPr>
          <w:p>
            <w:pPr>
              <w:ind w:left="400"/>
              <w:spacing w:after="0"/>
              <w:rPr>
                <w:sz w:val="20"/>
                <w:szCs w:val="20"/>
                <w:color w:val="auto"/>
              </w:rPr>
            </w:pPr>
            <w:r>
              <w:rPr>
                <w:rFonts w:ascii="Arial" w:cs="Arial" w:eastAsia="Arial" w:hAnsi="Arial"/>
                <w:sz w:val="20"/>
                <w:szCs w:val="20"/>
                <w:b w:val="1"/>
                <w:bCs w:val="1"/>
                <w:color w:val="BF5B5A"/>
              </w:rPr>
              <w:t>YEAR</w:t>
            </w:r>
            <w:r>
              <w:rPr>
                <w:rFonts w:ascii="Arial" w:cs="Arial" w:eastAsia="Arial" w:hAnsi="Arial"/>
                <w:sz w:val="20"/>
                <w:szCs w:val="20"/>
                <w:b w:val="1"/>
                <w:bCs w:val="1"/>
                <w:color w:val="000000"/>
              </w:rPr>
              <w:t>​</w:t>
            </w:r>
            <w:r>
              <w:rPr>
                <w:rFonts w:ascii="Arial" w:cs="Arial" w:eastAsia="Arial" w:hAnsi="Arial"/>
                <w:sz w:val="17"/>
                <w:szCs w:val="17"/>
                <w:b w:val="1"/>
                <w:bCs w:val="1"/>
                <w:color w:val="000000"/>
              </w:rPr>
              <w:t>FOR FUTURE ADVISORY VOTES ON THE COMPENSATION OF OUR NAMED EXECUTIVE</w:t>
            </w:r>
          </w:p>
        </w:tc>
        <w:tc>
          <w:tcPr>
            <w:tcW w:w="320" w:type="dxa"/>
            <w:vAlign w:val="bottom"/>
            <w:tcBorders>
              <w:right w:val="single" w:sz="8" w:color="BF5B5A"/>
            </w:tcBorders>
          </w:tcPr>
          <w:p>
            <w:pPr>
              <w:spacing w:after="0"/>
              <w:rPr>
                <w:sz w:val="22"/>
                <w:szCs w:val="22"/>
                <w:color w:val="auto"/>
              </w:rPr>
            </w:pPr>
          </w:p>
        </w:tc>
      </w:tr>
      <w:tr>
        <w:trPr>
          <w:trHeight w:val="247"/>
        </w:trPr>
        <w:tc>
          <w:tcPr>
            <w:tcW w:w="480" w:type="dxa"/>
            <w:vAlign w:val="bottom"/>
            <w:tcBorders>
              <w:left w:val="single" w:sz="8" w:color="BF5B5A"/>
            </w:tcBorders>
          </w:tcPr>
          <w:p>
            <w:pPr>
              <w:spacing w:after="0"/>
              <w:rPr>
                <w:sz w:val="21"/>
                <w:szCs w:val="21"/>
                <w:color w:val="auto"/>
              </w:rPr>
            </w:pPr>
          </w:p>
        </w:tc>
        <w:tc>
          <w:tcPr>
            <w:tcW w:w="8380" w:type="dxa"/>
            <w:vAlign w:val="bottom"/>
          </w:tcPr>
          <w:p>
            <w:pPr>
              <w:ind w:left="400"/>
              <w:spacing w:after="0"/>
              <w:rPr>
                <w:sz w:val="20"/>
                <w:szCs w:val="20"/>
                <w:color w:val="auto"/>
              </w:rPr>
            </w:pPr>
            <w:r>
              <w:rPr>
                <w:rFonts w:ascii="Arial" w:cs="Arial" w:eastAsia="Arial" w:hAnsi="Arial"/>
                <w:sz w:val="18"/>
                <w:szCs w:val="18"/>
                <w:b w:val="1"/>
                <w:bCs w:val="1"/>
                <w:color w:val="auto"/>
              </w:rPr>
              <w:t>OFFICERS.</w:t>
            </w:r>
          </w:p>
        </w:tc>
        <w:tc>
          <w:tcPr>
            <w:tcW w:w="320" w:type="dxa"/>
            <w:vAlign w:val="bottom"/>
            <w:tcBorders>
              <w:right w:val="single" w:sz="8" w:color="BF5B5A"/>
            </w:tcBorders>
          </w:tcPr>
          <w:p>
            <w:pPr>
              <w:spacing w:after="0"/>
              <w:rPr>
                <w:sz w:val="21"/>
                <w:szCs w:val="21"/>
                <w:color w:val="auto"/>
              </w:rPr>
            </w:pPr>
          </w:p>
        </w:tc>
      </w:tr>
      <w:tr>
        <w:trPr>
          <w:trHeight w:val="96"/>
        </w:trPr>
        <w:tc>
          <w:tcPr>
            <w:tcW w:w="480" w:type="dxa"/>
            <w:vAlign w:val="bottom"/>
            <w:tcBorders>
              <w:left w:val="single" w:sz="8" w:color="BF5B5A"/>
              <w:bottom w:val="single" w:sz="8" w:color="BF5B5A"/>
            </w:tcBorders>
          </w:tcPr>
          <w:p>
            <w:pPr>
              <w:spacing w:after="0"/>
              <w:rPr>
                <w:sz w:val="8"/>
                <w:szCs w:val="8"/>
                <w:color w:val="auto"/>
              </w:rPr>
            </w:pPr>
          </w:p>
        </w:tc>
        <w:tc>
          <w:tcPr>
            <w:tcW w:w="8380" w:type="dxa"/>
            <w:vAlign w:val="bottom"/>
            <w:tcBorders>
              <w:bottom w:val="single" w:sz="8" w:color="BF5B5A"/>
            </w:tcBorders>
          </w:tcPr>
          <w:p>
            <w:pPr>
              <w:spacing w:after="0"/>
              <w:rPr>
                <w:sz w:val="8"/>
                <w:szCs w:val="8"/>
                <w:color w:val="auto"/>
              </w:rPr>
            </w:pPr>
          </w:p>
        </w:tc>
        <w:tc>
          <w:tcPr>
            <w:tcW w:w="320" w:type="dxa"/>
            <w:vAlign w:val="bottom"/>
            <w:tcBorders>
              <w:bottom w:val="single" w:sz="8" w:color="BF5B5A"/>
              <w:right w:val="single" w:sz="8" w:color="BF5B5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-522605</wp:posOffset>
            </wp:positionV>
            <wp:extent cx="248285" cy="2489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79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4883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628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AUDIT MATTERS</w:t>
      </w:r>
    </w:p>
    <w:p>
      <w:pPr>
        <w:spacing w:after="0" w:line="200" w:lineRule="exact"/>
        <w:rPr>
          <w:sz w:val="20"/>
          <w:szCs w:val="20"/>
          <w:color w:val="auto"/>
        </w:rPr>
      </w:pPr>
    </w:p>
    <w:p>
      <w:pPr>
        <w:spacing w:after="0" w:line="352" w:lineRule="exact"/>
        <w:rPr>
          <w:sz w:val="20"/>
          <w:szCs w:val="20"/>
          <w:color w:val="auto"/>
        </w:rPr>
      </w:pPr>
    </w:p>
    <w:p>
      <w:pPr>
        <w:ind w:left="780" w:right="1040"/>
        <w:spacing w:after="0" w:line="298" w:lineRule="auto"/>
        <w:rPr>
          <w:sz w:val="20"/>
          <w:szCs w:val="20"/>
          <w:color w:val="auto"/>
        </w:rPr>
      </w:pPr>
      <w:r>
        <w:rPr>
          <w:rFonts w:ascii="Arial" w:cs="Arial" w:eastAsia="Arial" w:hAnsi="Arial"/>
          <w:sz w:val="25"/>
          <w:szCs w:val="25"/>
          <w:b w:val="1"/>
          <w:bCs w:val="1"/>
          <w:color w:val="BF5B5A"/>
        </w:rPr>
        <w:t>PROPOSAL 4</w:t>
      </w:r>
      <w:r>
        <w:rPr>
          <w:rFonts w:ascii="Arial" w:cs="Arial" w:eastAsia="Arial" w:hAnsi="Arial"/>
          <w:sz w:val="25"/>
          <w:szCs w:val="25"/>
          <w:b w:val="1"/>
          <w:bCs w:val="1"/>
          <w:color w:val="000000"/>
        </w:rPr>
        <w:t>—RATIFICATION OF INDEPENDENT REGISTERED PUBLIC</w:t>
      </w:r>
      <w:r>
        <w:rPr>
          <w:rFonts w:ascii="Arial" w:cs="Arial" w:eastAsia="Arial" w:hAnsi="Arial"/>
          <w:sz w:val="25"/>
          <w:szCs w:val="25"/>
          <w:b w:val="1"/>
          <w:bCs w:val="1"/>
          <w:color w:val="BF5B5A"/>
        </w:rPr>
        <w:t xml:space="preserve"> </w:t>
      </w:r>
      <w:r>
        <w:rPr>
          <w:rFonts w:ascii="Arial" w:cs="Arial" w:eastAsia="Arial" w:hAnsi="Arial"/>
          <w:sz w:val="25"/>
          <w:szCs w:val="25"/>
          <w:b w:val="1"/>
          <w:bCs w:val="1"/>
          <w:color w:val="000000"/>
        </w:rPr>
        <w:t>ACCOUNTING FIRM</w:t>
      </w:r>
    </w:p>
    <w:p>
      <w:pPr>
        <w:sectPr>
          <w:pgSz w:w="11900" w:h="16838" w:orient="portrait"/>
          <w:cols w:equalWidth="0" w:num="1">
            <w:col w:w="9960"/>
          </w:cols>
          <w:pgMar w:left="580" w:top="97" w:right="1359" w:bottom="1440" w:gutter="0" w:footer="0" w:header="0"/>
        </w:sectPr>
      </w:pPr>
    </w:p>
    <w:p>
      <w:pPr>
        <w:spacing w:after="0" w:line="183" w:lineRule="exact"/>
        <w:rPr>
          <w:sz w:val="20"/>
          <w:szCs w:val="20"/>
          <w:color w:val="auto"/>
        </w:rPr>
      </w:pPr>
    </w:p>
    <w:p>
      <w:pPr>
        <w:ind w:left="880" w:hanging="86"/>
        <w:spacing w:after="0" w:line="201" w:lineRule="auto"/>
        <w:tabs>
          <w:tab w:leader="none" w:pos="880" w:val="left"/>
        </w:tabs>
        <w:numPr>
          <w:ilvl w:val="0"/>
          <w:numId w:val="154"/>
        </w:numPr>
        <w:rPr>
          <w:rFonts w:ascii="Arial" w:cs="Arial" w:eastAsia="Arial" w:hAnsi="Arial"/>
          <w:sz w:val="32"/>
          <w:szCs w:val="32"/>
          <w:color w:val="auto"/>
          <w:vertAlign w:val="superscript"/>
        </w:rPr>
      </w:pPr>
      <w:r>
        <w:rPr>
          <w:rFonts w:ascii="Arial" w:cs="Arial" w:eastAsia="Arial" w:hAnsi="Arial"/>
          <w:sz w:val="16"/>
          <w:szCs w:val="16"/>
          <w:b w:val="1"/>
          <w:bCs w:val="1"/>
          <w:color w:val="auto"/>
        </w:rPr>
        <w:t>Ratification of the Appointment of Deloitte &amp; Touche LLP</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u w:val="single" w:color="auto"/>
          <w:color w:val="auto"/>
        </w:rPr>
        <w:t>Proposal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-127635</wp:posOffset>
            </wp:positionV>
            <wp:extent cx="5829300" cy="11226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829300" cy="1122680"/>
                    </a:xfrm>
                    <a:prstGeom prst="rect">
                      <a:avLst/>
                    </a:prstGeom>
                    <a:noFill/>
                  </pic:spPr>
                </pic:pic>
              </a:graphicData>
            </a:graphic>
          </wp:anchor>
        </w:drawing>
      </w:r>
    </w:p>
    <w:p>
      <w:pPr>
        <w:spacing w:after="0" w:line="70" w:lineRule="exact"/>
        <w:rPr>
          <w:sz w:val="20"/>
          <w:szCs w:val="20"/>
          <w:color w:val="auto"/>
        </w:rPr>
      </w:pPr>
    </w:p>
    <w:p>
      <w:pPr>
        <w:ind w:left="380" w:right="200" w:hanging="184"/>
        <w:spacing w:after="0" w:line="268" w:lineRule="auto"/>
        <w:tabs>
          <w:tab w:leader="none" w:pos="380" w:val="left"/>
        </w:tabs>
        <w:numPr>
          <w:ilvl w:val="0"/>
          <w:numId w:val="155"/>
        </w:numPr>
        <w:rPr>
          <w:rFonts w:ascii="Arial" w:cs="Arial" w:eastAsia="Arial" w:hAnsi="Arial"/>
          <w:sz w:val="18"/>
          <w:szCs w:val="18"/>
          <w:color w:val="BF5B5A"/>
        </w:rPr>
      </w:pPr>
      <w:r>
        <w:rPr>
          <w:rFonts w:ascii="Arial" w:cs="Arial" w:eastAsia="Arial" w:hAnsi="Arial"/>
          <w:sz w:val="18"/>
          <w:szCs w:val="18"/>
          <w:color w:val="auto"/>
        </w:rPr>
        <w:t>We are asking stockholders to ratify the Audit Committee’s appointment of Deloitte &amp; Touche LLP as our independent registered public accountants for the year ending December 31, 2024.</w:t>
      </w:r>
    </w:p>
    <w:p>
      <w:pPr>
        <w:spacing w:after="0" w:line="51" w:lineRule="exact"/>
        <w:rPr>
          <w:sz w:val="20"/>
          <w:szCs w:val="20"/>
          <w:color w:val="auto"/>
        </w:rPr>
      </w:pPr>
    </w:p>
    <w:p>
      <w:pPr>
        <w:jc w:val="both"/>
        <w:ind w:left="200" w:right="180"/>
        <w:spacing w:after="0" w:line="295" w:lineRule="auto"/>
        <w:rPr>
          <w:sz w:val="20"/>
          <w:szCs w:val="20"/>
          <w:color w:val="auto"/>
        </w:rPr>
      </w:pPr>
      <w:r>
        <w:rPr>
          <w:rFonts w:ascii="Arial" w:cs="Arial" w:eastAsia="Arial" w:hAnsi="Arial"/>
          <w:sz w:val="17"/>
          <w:szCs w:val="17"/>
          <w:b w:val="1"/>
          <w:bCs w:val="1"/>
          <w:i w:val="1"/>
          <w:iCs w:val="1"/>
          <w:color w:val="auto"/>
        </w:rPr>
        <w:t>The Board of Directors unanimously recommends that you vote “FOR” the ratification of the appointment of Deloitte &amp; Touche LLP to serve as our independent registered public accounting firm for fiscal year 2024.</w:t>
      </w:r>
    </w:p>
    <w:p>
      <w:pPr>
        <w:spacing w:after="0" w:line="200" w:lineRule="exact"/>
        <w:rPr>
          <w:sz w:val="20"/>
          <w:szCs w:val="20"/>
          <w:color w:val="auto"/>
        </w:rPr>
      </w:pPr>
    </w:p>
    <w:p>
      <w:pPr>
        <w:sectPr>
          <w:pgSz w:w="11900" w:h="16838" w:orient="portrait"/>
          <w:cols w:equalWidth="0" w:num="2">
            <w:col w:w="3380" w:space="120"/>
            <w:col w:w="6460"/>
          </w:cols>
          <w:pgMar w:left="580" w:top="97" w:right="1359" w:bottom="1440" w:gutter="0" w:footer="0" w:header="0"/>
          <w:type w:val="continuous"/>
        </w:sectPr>
      </w:pPr>
    </w:p>
    <w:p>
      <w:pPr>
        <w:spacing w:after="0" w:line="117"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color w:val="auto"/>
        </w:rPr>
        <w:t>Deloitte &amp; Touche LLP, independent registered public accounting firm, served as the independent registered public accounting firm for the Company for the fiscal year ended December 31, 2023, and the Audit Committee has appointed Deloitte &amp; Touche LLP as auditors for the Company for the fiscal year ending December 31, 2024. The Board and the Audit Committee recommend that stockholders ratify the appointment of Deloitte &amp; Touche LLP as independent auditors for the Company for the fiscal year ending December 31, 2024. The Company’s organizational documents do</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7" w:right="20"/>
        <w:spacing w:after="0" w:line="261" w:lineRule="auto"/>
        <w:rPr>
          <w:sz w:val="20"/>
          <w:szCs w:val="20"/>
          <w:color w:val="auto"/>
        </w:rPr>
      </w:pPr>
      <w:r>
        <w:rPr>
          <w:rFonts w:ascii="Arial" w:cs="Arial" w:eastAsia="Arial" w:hAnsi="Arial"/>
          <w:sz w:val="18"/>
          <w:szCs w:val="18"/>
          <w:color w:val="auto"/>
        </w:rPr>
        <w:t>not require that stockholders ratify the selection of Deloitte &amp; Touche LLP as the Company’s independent registered public accounting firm. However, the Board believes such ratification is a matter of good corporate practice. If stockholders do not ratify the appointment, the Audit Committee will reconsider its selection but may still retain Deloitte &amp; Touche LLP. One or more representatives of Deloitte</w:t>
      </w:r>
    </w:p>
    <w:p>
      <w:pPr>
        <w:spacing w:after="0" w:line="4" w:lineRule="exact"/>
        <w:rPr>
          <w:sz w:val="20"/>
          <w:szCs w:val="20"/>
          <w:color w:val="auto"/>
        </w:rPr>
      </w:pPr>
    </w:p>
    <w:p>
      <w:pPr>
        <w:ind w:left="7" w:right="20" w:hanging="7"/>
        <w:spacing w:after="0" w:line="269" w:lineRule="auto"/>
        <w:tabs>
          <w:tab w:leader="none" w:pos="1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Touche LLP are expected to be present at the Annual Meeting and afforded an opportunity to make a statement, if they desire to do so, and to be available to respond to questions from stockholders.</w:t>
      </w:r>
    </w:p>
    <w:p>
      <w:pPr>
        <w:spacing w:after="0" w:line="200" w:lineRule="exact"/>
        <w:rPr>
          <w:sz w:val="20"/>
          <w:szCs w:val="20"/>
          <w:color w:val="auto"/>
        </w:rPr>
      </w:pPr>
    </w:p>
    <w:p>
      <w:pPr>
        <w:sectPr>
          <w:pgSz w:w="11900" w:h="16838" w:orient="portrait"/>
          <w:cols w:equalWidth="0" w:num="2">
            <w:col w:w="5020" w:space="593"/>
            <w:col w:w="4347"/>
          </w:cols>
          <w:pgMar w:left="580" w:top="97" w:right="1359" w:bottom="1440" w:gutter="0" w:footer="0" w:header="0"/>
          <w:type w:val="continuous"/>
        </w:sectPr>
      </w:pPr>
    </w:p>
    <w:p>
      <w:pPr>
        <w:spacing w:after="0" w:line="1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Required Vote</w:t>
      </w:r>
    </w:p>
    <w:p>
      <w:pPr>
        <w:spacing w:after="0" w:line="258"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Ratification of the appointment of Deloitte &amp; Touche LLP as the Company’s independent registered public accounting firm for the fiscal year ending December 31, 2024 requires the affirmative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vote of a majority of the shares of common stock represented at the Annual Meeting, in person or by proxy, and entitled to vote thereon. Abstentions will have the effect of voting against this proposal.</w:t>
      </w:r>
    </w:p>
    <w:p>
      <w:pPr>
        <w:spacing w:after="0" w:line="200" w:lineRule="exact"/>
        <w:rPr>
          <w:sz w:val="20"/>
          <w:szCs w:val="20"/>
          <w:color w:val="auto"/>
        </w:rPr>
      </w:pPr>
    </w:p>
    <w:p>
      <w:pPr>
        <w:sectPr>
          <w:pgSz w:w="11900" w:h="16838" w:orient="portrait"/>
          <w:cols w:equalWidth="0" w:num="2">
            <w:col w:w="5020" w:space="600"/>
            <w:col w:w="4340"/>
          </w:cols>
          <w:pgMar w:left="580" w:top="97" w:right="1359" w:bottom="1440" w:gutter="0" w:footer="0" w:header="0"/>
          <w:type w:val="continuous"/>
        </w:sectPr>
      </w:pPr>
    </w:p>
    <w:p>
      <w:pPr>
        <w:spacing w:after="0" w:line="11" w:lineRule="exact"/>
        <w:rPr>
          <w:sz w:val="20"/>
          <w:szCs w:val="20"/>
          <w:color w:val="auto"/>
        </w:rPr>
      </w:pPr>
    </w:p>
    <w:tbl>
      <w:tblPr>
        <w:tblLayout w:type="fixed"/>
        <w:tblInd w:w="790" w:type="dxa"/>
        <w:tblCellMar>
          <w:top w:w="0" w:type="dxa"/>
          <w:left w:w="0" w:type="dxa"/>
          <w:bottom w:w="0" w:type="dxa"/>
          <w:right w:w="0" w:type="dxa"/>
        </w:tblCellMar>
      </w:tblPr>
      <w:tr>
        <w:trPr>
          <w:trHeight w:val="175"/>
        </w:trPr>
        <w:tc>
          <w:tcPr>
            <w:tcW w:w="460" w:type="dxa"/>
            <w:vAlign w:val="bottom"/>
            <w:tcBorders>
              <w:top w:val="single" w:sz="8" w:color="BF5B5A"/>
              <w:left w:val="single" w:sz="8" w:color="BF5B5A"/>
            </w:tcBorders>
          </w:tcPr>
          <w:p>
            <w:pPr>
              <w:ind w:left="20"/>
              <w:spacing w:after="0" w:line="176" w:lineRule="exact"/>
              <w:rPr>
                <w:sz w:val="20"/>
                <w:szCs w:val="20"/>
                <w:color w:val="auto"/>
              </w:rPr>
            </w:pPr>
            <w:r>
              <w:rPr>
                <w:rFonts w:ascii="Arial" w:cs="Arial" w:eastAsia="Arial" w:hAnsi="Arial"/>
                <w:sz w:val="18"/>
                <w:szCs w:val="18"/>
                <w:b w:val="1"/>
                <w:bCs w:val="1"/>
                <w:color w:val="auto"/>
              </w:rPr>
              <w:t>​</w:t>
            </w:r>
          </w:p>
        </w:tc>
        <w:tc>
          <w:tcPr>
            <w:tcW w:w="8360" w:type="dxa"/>
            <w:vAlign w:val="bottom"/>
            <w:tcBorders>
              <w:top w:val="single" w:sz="8" w:color="BF5B5A"/>
            </w:tcBorders>
          </w:tcPr>
          <w:p>
            <w:pPr>
              <w:ind w:left="420"/>
              <w:spacing w:after="0" w:line="176" w:lineRule="exact"/>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BF5B5A"/>
              <w:right w:val="single" w:sz="8" w:color="BF5B5A"/>
            </w:tcBorders>
          </w:tcPr>
          <w:p>
            <w:pPr>
              <w:ind w:left="300"/>
              <w:spacing w:after="0" w:line="176" w:lineRule="exact"/>
              <w:rPr>
                <w:sz w:val="20"/>
                <w:szCs w:val="20"/>
                <w:color w:val="auto"/>
              </w:rPr>
            </w:pPr>
            <w:r>
              <w:rPr>
                <w:rFonts w:ascii="Arial" w:cs="Arial" w:eastAsia="Arial" w:hAnsi="Arial"/>
                <w:sz w:val="18"/>
                <w:szCs w:val="18"/>
                <w:b w:val="1"/>
                <w:bCs w:val="1"/>
                <w:color w:val="auto"/>
              </w:rPr>
              <w:t>​</w:t>
            </w:r>
          </w:p>
        </w:tc>
      </w:tr>
      <w:tr>
        <w:trPr>
          <w:trHeight w:val="192"/>
        </w:trPr>
        <w:tc>
          <w:tcPr>
            <w:tcW w:w="460" w:type="dxa"/>
            <w:vAlign w:val="bottom"/>
            <w:tcBorders>
              <w:left w:val="single" w:sz="8" w:color="BF5B5A"/>
            </w:tcBorders>
          </w:tcPr>
          <w:p>
            <w:pPr>
              <w:spacing w:after="0"/>
              <w:rPr>
                <w:sz w:val="16"/>
                <w:szCs w:val="16"/>
                <w:color w:val="auto"/>
              </w:rPr>
            </w:pPr>
          </w:p>
        </w:tc>
        <w:tc>
          <w:tcPr>
            <w:tcW w:w="8360" w:type="dxa"/>
            <w:vAlign w:val="bottom"/>
          </w:tcPr>
          <w:p>
            <w:pPr>
              <w:ind w:left="420"/>
              <w:spacing w:after="0" w:line="193" w:lineRule="exact"/>
              <w:rPr>
                <w:sz w:val="20"/>
                <w:szCs w:val="20"/>
                <w:color w:val="auto"/>
              </w:rPr>
            </w:pPr>
            <w:r>
              <w:rPr>
                <w:rFonts w:ascii="Arial" w:cs="Arial" w:eastAsia="Arial" w:hAnsi="Arial"/>
                <w:sz w:val="18"/>
                <w:szCs w:val="18"/>
                <w:b w:val="1"/>
                <w:bCs w:val="1"/>
                <w:color w:val="auto"/>
              </w:rPr>
              <w:t>The Board of Directors and the Audit Committee unanimously recommend that you vote</w:t>
            </w:r>
          </w:p>
        </w:tc>
        <w:tc>
          <w:tcPr>
            <w:tcW w:w="360" w:type="dxa"/>
            <w:vAlign w:val="bottom"/>
            <w:tcBorders>
              <w:right w:val="single" w:sz="8" w:color="BF5B5A"/>
            </w:tcBorders>
          </w:tcPr>
          <w:p>
            <w:pPr>
              <w:spacing w:after="0"/>
              <w:rPr>
                <w:sz w:val="16"/>
                <w:szCs w:val="16"/>
                <w:color w:val="auto"/>
              </w:rPr>
            </w:pPr>
          </w:p>
        </w:tc>
      </w:tr>
      <w:tr>
        <w:trPr>
          <w:trHeight w:val="261"/>
        </w:trPr>
        <w:tc>
          <w:tcPr>
            <w:tcW w:w="460" w:type="dxa"/>
            <w:vAlign w:val="bottom"/>
            <w:tcBorders>
              <w:left w:val="single" w:sz="8" w:color="BF5B5A"/>
            </w:tcBorders>
          </w:tcPr>
          <w:p>
            <w:pPr>
              <w:spacing w:after="0"/>
              <w:rPr>
                <w:sz w:val="22"/>
                <w:szCs w:val="22"/>
                <w:color w:val="auto"/>
              </w:rPr>
            </w:pPr>
          </w:p>
        </w:tc>
        <w:tc>
          <w:tcPr>
            <w:tcW w:w="8360" w:type="dxa"/>
            <w:vAlign w:val="bottom"/>
          </w:tcPr>
          <w:p>
            <w:pPr>
              <w:ind w:left="420"/>
              <w:spacing w:after="0"/>
              <w:rPr>
                <w:sz w:val="20"/>
                <w:szCs w:val="20"/>
                <w:color w:val="auto"/>
              </w:rPr>
            </w:pPr>
            <w:r>
              <w:rPr>
                <w:rFonts w:ascii="Arial" w:cs="Arial" w:eastAsia="Arial" w:hAnsi="Arial"/>
                <w:sz w:val="20"/>
                <w:szCs w:val="20"/>
                <w:b w:val="1"/>
                <w:bCs w:val="1"/>
                <w:color w:val="BF5B5A"/>
              </w:rPr>
              <w:t xml:space="preserve">FOR </w:t>
            </w:r>
            <w:r>
              <w:rPr>
                <w:rFonts w:ascii="Arial" w:cs="Arial" w:eastAsia="Arial" w:hAnsi="Arial"/>
                <w:sz w:val="17"/>
                <w:szCs w:val="17"/>
                <w:b w:val="1"/>
                <w:bCs w:val="1"/>
                <w:color w:val="000000"/>
              </w:rPr>
              <w:t>the ratification of the appointment of Deloitte &amp; Touche LLP to serve as the Company’s</w:t>
            </w:r>
          </w:p>
        </w:tc>
        <w:tc>
          <w:tcPr>
            <w:tcW w:w="360" w:type="dxa"/>
            <w:vAlign w:val="bottom"/>
            <w:tcBorders>
              <w:right w:val="single" w:sz="8" w:color="BF5B5A"/>
            </w:tcBorders>
          </w:tcPr>
          <w:p>
            <w:pPr>
              <w:spacing w:after="0"/>
              <w:rPr>
                <w:sz w:val="22"/>
                <w:szCs w:val="22"/>
                <w:color w:val="auto"/>
              </w:rPr>
            </w:pPr>
          </w:p>
        </w:tc>
      </w:tr>
      <w:tr>
        <w:trPr>
          <w:trHeight w:val="247"/>
        </w:trPr>
        <w:tc>
          <w:tcPr>
            <w:tcW w:w="460" w:type="dxa"/>
            <w:vAlign w:val="bottom"/>
            <w:tcBorders>
              <w:left w:val="single" w:sz="8" w:color="BF5B5A"/>
            </w:tcBorders>
          </w:tcPr>
          <w:p>
            <w:pPr>
              <w:spacing w:after="0"/>
              <w:rPr>
                <w:sz w:val="21"/>
                <w:szCs w:val="21"/>
                <w:color w:val="auto"/>
              </w:rPr>
            </w:pPr>
          </w:p>
        </w:tc>
        <w:tc>
          <w:tcPr>
            <w:tcW w:w="8360" w:type="dxa"/>
            <w:vAlign w:val="bottom"/>
          </w:tcPr>
          <w:p>
            <w:pPr>
              <w:ind w:left="420"/>
              <w:spacing w:after="0"/>
              <w:rPr>
                <w:sz w:val="20"/>
                <w:szCs w:val="20"/>
                <w:color w:val="auto"/>
              </w:rPr>
            </w:pPr>
            <w:r>
              <w:rPr>
                <w:rFonts w:ascii="Arial" w:cs="Arial" w:eastAsia="Arial" w:hAnsi="Arial"/>
                <w:sz w:val="18"/>
                <w:szCs w:val="18"/>
                <w:b w:val="1"/>
                <w:bCs w:val="1"/>
                <w:color w:val="auto"/>
              </w:rPr>
              <w:t>independent registered public accounting firm for fiscal year 2024.</w:t>
            </w:r>
          </w:p>
        </w:tc>
        <w:tc>
          <w:tcPr>
            <w:tcW w:w="360" w:type="dxa"/>
            <w:vAlign w:val="bottom"/>
            <w:tcBorders>
              <w:right w:val="single" w:sz="8" w:color="BF5B5A"/>
            </w:tcBorders>
          </w:tcPr>
          <w:p>
            <w:pPr>
              <w:spacing w:after="0"/>
              <w:rPr>
                <w:sz w:val="21"/>
                <w:szCs w:val="21"/>
                <w:color w:val="auto"/>
              </w:rPr>
            </w:pPr>
          </w:p>
        </w:tc>
      </w:tr>
      <w:tr>
        <w:trPr>
          <w:trHeight w:val="96"/>
        </w:trPr>
        <w:tc>
          <w:tcPr>
            <w:tcW w:w="460" w:type="dxa"/>
            <w:vAlign w:val="bottom"/>
            <w:tcBorders>
              <w:left w:val="single" w:sz="8" w:color="BF5B5A"/>
              <w:bottom w:val="single" w:sz="8" w:color="BF5B5A"/>
            </w:tcBorders>
          </w:tcPr>
          <w:p>
            <w:pPr>
              <w:spacing w:after="0"/>
              <w:rPr>
                <w:sz w:val="8"/>
                <w:szCs w:val="8"/>
                <w:color w:val="auto"/>
              </w:rPr>
            </w:pPr>
          </w:p>
        </w:tc>
        <w:tc>
          <w:tcPr>
            <w:tcW w:w="8360" w:type="dxa"/>
            <w:vAlign w:val="bottom"/>
            <w:tcBorders>
              <w:bottom w:val="single" w:sz="8" w:color="BF5B5A"/>
            </w:tcBorders>
          </w:tcPr>
          <w:p>
            <w:pPr>
              <w:spacing w:after="0"/>
              <w:rPr>
                <w:sz w:val="8"/>
                <w:szCs w:val="8"/>
                <w:color w:val="auto"/>
              </w:rPr>
            </w:pPr>
          </w:p>
        </w:tc>
        <w:tc>
          <w:tcPr>
            <w:tcW w:w="360" w:type="dxa"/>
            <w:vAlign w:val="bottom"/>
            <w:tcBorders>
              <w:bottom w:val="single" w:sz="8" w:color="BF5B5A"/>
              <w:right w:val="single" w:sz="8" w:color="BF5B5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-530860</wp:posOffset>
            </wp:positionV>
            <wp:extent cx="248285" cy="2482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AUDIT COMMITTEE REPORT</w:t>
      </w:r>
    </w:p>
    <w:p>
      <w:pPr>
        <w:spacing w:after="0" w:line="258" w:lineRule="exact"/>
        <w:rPr>
          <w:sz w:val="20"/>
          <w:szCs w:val="20"/>
          <w:color w:val="auto"/>
        </w:rPr>
      </w:pPr>
    </w:p>
    <w:p>
      <w:pPr>
        <w:ind w:left="780" w:right="60"/>
        <w:spacing w:after="0" w:line="279" w:lineRule="auto"/>
        <w:rPr>
          <w:sz w:val="20"/>
          <w:szCs w:val="20"/>
          <w:color w:val="auto"/>
        </w:rPr>
      </w:pPr>
      <w:r>
        <w:rPr>
          <w:rFonts w:ascii="Arial" w:cs="Arial" w:eastAsia="Arial" w:hAnsi="Arial"/>
          <w:sz w:val="18"/>
          <w:szCs w:val="18"/>
          <w:color w:val="auto"/>
        </w:rPr>
        <w:t>The Audit Committee of the Board, which consists entirely of directors who meet the independence requirements of applicable SEC regulations and the NASDAQ listing standards for audit committee members, has furnished the following report:</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Report of the Audit Committee</w:t>
      </w:r>
    </w:p>
    <w:p>
      <w:pPr>
        <w:spacing w:after="0" w:line="175"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The Company’s management is responsible for the Company’s internal controls and financial reporting process. The Company’s independent registered public accounting firm is responsible for performing an independent audit of the Company’s consolidated financial statements and issuing an opinion on the conformity of those financial statements with accounting principles generally accepted in the U.S. (“GAAP”). The Audit Committee oversees the Company’s internal controls and financial reporting process on behalf of the Board of Directors and in accordance with the Audit Committee Charter.</w:t>
      </w:r>
    </w:p>
    <w:p>
      <w:pPr>
        <w:spacing w:after="0" w:line="110"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In this context, the Audit Committee has met and held discussions with management and the independent registered public accounting firm. Management represented to the Audit Committee that the Company’s consolidated financial statements were prepared in accordance with GAAP and the Audit Committee has reviewed and discussed the consolidated financial statements with management and the independent registered public accounting firm. The Audit Committee discussed with the independent registered public accounting firm the matters required to be discussed by the applicable requirements of the Public Company Accounting Oversight Board and the Securities and Exchange Commission.</w:t>
      </w:r>
    </w:p>
    <w:p>
      <w:pPr>
        <w:spacing w:after="0" w:line="113" w:lineRule="exact"/>
        <w:rPr>
          <w:sz w:val="20"/>
          <w:szCs w:val="20"/>
          <w:color w:val="auto"/>
        </w:rPr>
      </w:pPr>
    </w:p>
    <w:p>
      <w:pPr>
        <w:ind w:left="780" w:right="260"/>
        <w:spacing w:after="0" w:line="277" w:lineRule="auto"/>
        <w:rPr>
          <w:sz w:val="20"/>
          <w:szCs w:val="20"/>
          <w:color w:val="auto"/>
        </w:rPr>
      </w:pPr>
      <w:r>
        <w:rPr>
          <w:rFonts w:ascii="Arial" w:cs="Arial" w:eastAsia="Arial" w:hAnsi="Arial"/>
          <w:sz w:val="18"/>
          <w:szCs w:val="18"/>
          <w:color w:val="auto"/>
        </w:rPr>
        <w:t>In addition, 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7F7F7F"/>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Committee concerning independence and has discussed with the independent registered public accounting firm the firm’s independence from the Company and its management. In concluding that the registered public accounting firm is independent, the Audit Committee considered, among other factors, whether the non-audit services provided by the firm were compatible with its independence.</w:t>
      </w:r>
    </w:p>
    <w:p>
      <w:pPr>
        <w:spacing w:after="0" w:line="11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Audit Committee discussed with the Company’s independent registered public accounting firm the overall scope and plans for their audit. The Audit Committee meets with the independent registered public accounting firm, with and without management present, to discuss the results of their examination, their evaluation of the Company’s internal controls, and the overall quality of the Company’s financial reporting.</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performing all of these functions, the Audit Committee acts only in an oversight capacity. In its oversight role, the Audit Committee relies on the work and assurances of the Company’s management, which has the primary responsibility for financial statements and reports, and of the independent registered public accounting firm who, in its report, expresses an opinion on the conformity of the Company’s financial statements to GAAP. The Audit Committee’s oversight does not provide it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the Audit Committee’s considerations and discussions with management and the independent registered public accounting firm do not assure that the Company’s financial statements are presented in accordance with GAAP, that the audit of the Company’s financial statements has been carried out in accordance with auditing standards generally accepted in the U.S. or that the Company’s independent registered public accounting firm is “independent.”</w:t>
      </w:r>
    </w:p>
    <w:p>
      <w:pPr>
        <w:spacing w:after="0" w:line="246" w:lineRule="exact"/>
        <w:rPr>
          <w:sz w:val="20"/>
          <w:szCs w:val="20"/>
          <w:color w:val="auto"/>
        </w:rPr>
      </w:pPr>
    </w:p>
    <w:p>
      <w:pPr>
        <w:sectPr>
          <w:pgSz w:w="11900" w:h="16838" w:orient="portrait"/>
          <w:cols w:equalWidth="0" w:num="2">
            <w:col w:w="5100" w:space="520"/>
            <w:col w:w="432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81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AUDIT MATTERS</w:t>
      </w:r>
    </w:p>
    <w:p>
      <w:pPr>
        <w:spacing w:after="0" w:line="279" w:lineRule="exact"/>
        <w:rPr>
          <w:sz w:val="20"/>
          <w:szCs w:val="20"/>
          <w:color w:val="auto"/>
        </w:rPr>
      </w:pPr>
    </w:p>
    <w:p>
      <w:pPr>
        <w:ind w:left="780"/>
        <w:spacing w:after="0" w:line="272"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Company’s Annual Report on</w:t>
      </w:r>
    </w:p>
    <w:p>
      <w:pPr>
        <w:spacing w:after="0" w:line="2"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Form 10-K for the fiscal year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2023 for filing with the SEC. The Audit Committee also has approved, subject to stockholder ratification, the selection of the Company’s independent registered public accounting firm for the fiscal year ending December 31, 2024.</w:t>
      </w:r>
    </w:p>
    <w:p>
      <w:pPr>
        <w:spacing w:after="0" w:line="326" w:lineRule="exact"/>
        <w:rPr>
          <w:sz w:val="20"/>
          <w:szCs w:val="20"/>
          <w:color w:val="auto"/>
        </w:rPr>
      </w:pPr>
    </w:p>
    <w:p>
      <w:pPr>
        <w:sectPr>
          <w:pgSz w:w="11900" w:h="16838" w:orient="portrait"/>
          <w:cols w:equalWidth="0" w:num="2">
            <w:col w:w="5120" w:space="500"/>
            <w:col w:w="4400"/>
          </w:cols>
          <w:pgMar w:left="580" w:top="97" w:right="1299" w:bottom="1440" w:gutter="0" w:footer="0" w:header="0"/>
        </w:sectPr>
      </w:pPr>
    </w:p>
    <w:p>
      <w:pPr>
        <w:spacing w:after="0" w:line="9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Audit Committee Members</w:t>
      </w:r>
    </w:p>
    <w:p>
      <w:pPr>
        <w:spacing w:after="0" w:line="198" w:lineRule="exact"/>
        <w:rPr>
          <w:sz w:val="20"/>
          <w:szCs w:val="20"/>
          <w:color w:val="auto"/>
        </w:rPr>
      </w:pPr>
    </w:p>
    <w:p>
      <w:pPr>
        <w:ind w:left="780"/>
        <w:spacing w:after="0"/>
        <w:tabs>
          <w:tab w:leader="none" w:pos="1420" w:val="left"/>
          <w:tab w:leader="none" w:pos="3740" w:val="left"/>
          <w:tab w:leader="none" w:pos="4540" w:val="left"/>
          <w:tab w:leader="none" w:pos="6860" w:val="left"/>
          <w:tab w:leader="none" w:pos="7840" w:val="left"/>
          <w:tab w:leader="none" w:pos="9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 Scott Wo (Chair)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Michael K. Fujimoto</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Faye W. Kurren</w:t>
      </w:r>
      <w:r>
        <w:rPr>
          <w:sz w:val="20"/>
          <w:szCs w:val="20"/>
          <w:color w:val="auto"/>
        </w:rPr>
        <w:tab/>
      </w:r>
      <w:r>
        <w:rPr>
          <w:rFonts w:ascii="Arial" w:cs="Arial" w:eastAsia="Arial" w:hAnsi="Arial"/>
          <w:sz w:val="18"/>
          <w:szCs w:val="18"/>
          <w:color w:val="auto"/>
        </w:rPr>
        <w:t>​</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PRINCIPAL ACCOUNTANT FEES</w:t>
      </w:r>
    </w:p>
    <w:p>
      <w:pPr>
        <w:spacing w:after="0" w:line="177" w:lineRule="exact"/>
        <w:rPr>
          <w:sz w:val="20"/>
          <w:szCs w:val="20"/>
          <w:color w:val="auto"/>
        </w:rPr>
      </w:pPr>
    </w:p>
    <w:p>
      <w:pPr>
        <w:ind w:left="780" w:right="480"/>
        <w:spacing w:after="0" w:line="289" w:lineRule="auto"/>
        <w:rPr>
          <w:sz w:val="20"/>
          <w:szCs w:val="20"/>
          <w:color w:val="auto"/>
        </w:rPr>
      </w:pPr>
      <w:r>
        <w:rPr>
          <w:rFonts w:ascii="Arial" w:cs="Arial" w:eastAsia="Arial" w:hAnsi="Arial"/>
          <w:sz w:val="18"/>
          <w:szCs w:val="18"/>
          <w:color w:val="auto"/>
        </w:rPr>
        <w:t>The following table presents fees for professional audit services rendered by Deloitte &amp; Touche LLP for the audit of the Company’s annual consolidated financial statements at and for the fiscal years ended December 31, 2023 and 2022 and fees billed for other services rendered by Deloitte &amp; Touche LLP during those periods.</w:t>
      </w:r>
    </w:p>
    <w:p>
      <w:pPr>
        <w:spacing w:after="0" w:line="392"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428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3100" w:type="dxa"/>
            <w:vAlign w:val="bottom"/>
            <w:shd w:val="clear" w:color="auto" w:fill="BF5B5A"/>
          </w:tcPr>
          <w:p>
            <w:pPr>
              <w:ind w:left="2740"/>
              <w:spacing w:after="0"/>
              <w:rPr>
                <w:sz w:val="20"/>
                <w:szCs w:val="20"/>
                <w:color w:val="auto"/>
              </w:rPr>
            </w:pPr>
            <w:r>
              <w:rPr>
                <w:rFonts w:ascii="Arial" w:cs="Arial" w:eastAsia="Arial" w:hAnsi="Arial"/>
                <w:sz w:val="16"/>
                <w:szCs w:val="16"/>
                <w:b w:val="1"/>
                <w:bCs w:val="1"/>
                <w:color w:val="FFFFFF"/>
              </w:rPr>
              <w:t>​ ​</w:t>
            </w:r>
          </w:p>
        </w:tc>
        <w:tc>
          <w:tcPr>
            <w:tcW w:w="4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2023</w:t>
            </w:r>
          </w:p>
        </w:tc>
        <w:tc>
          <w:tcPr>
            <w:tcW w:w="104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   2022</w:t>
            </w:r>
          </w:p>
        </w:tc>
        <w:tc>
          <w:tcPr>
            <w:tcW w:w="32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r>
      <w:tr>
        <w:trPr>
          <w:trHeight w:val="284"/>
        </w:trPr>
        <w:tc>
          <w:tcPr>
            <w:tcW w:w="4280" w:type="dxa"/>
            <w:vAlign w:val="bottom"/>
            <w:tcBorders>
              <w:bottom w:val="single" w:sz="8" w:color="7F7F7F"/>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Audit Fees</w:t>
            </w:r>
            <w:r>
              <w:rPr>
                <w:rFonts w:ascii="Arial" w:cs="Arial" w:eastAsia="Arial" w:hAnsi="Arial"/>
                <w:sz w:val="19"/>
                <w:szCs w:val="19"/>
                <w:color w:val="auto"/>
                <w:vertAlign w:val="superscript"/>
              </w:rPr>
              <w:t>(1)</w:t>
            </w:r>
          </w:p>
        </w:tc>
        <w:tc>
          <w:tcPr>
            <w:tcW w:w="4900" w:type="dxa"/>
            <w:vAlign w:val="bottom"/>
            <w:tcBorders>
              <w:bottom w:val="single" w:sz="8" w:color="7F7F7F"/>
            </w:tcBorders>
            <w:gridSpan w:val="4"/>
          </w:tcPr>
          <w:p>
            <w:pPr>
              <w:jc w:val="right"/>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$2,532,000</w:t>
            </w:r>
            <w:r>
              <w:rPr>
                <w:rFonts w:ascii="Arial" w:cs="Arial" w:eastAsia="Arial" w:hAnsi="Arial"/>
                <w:sz w:val="32"/>
                <w:szCs w:val="32"/>
                <w:color w:val="auto"/>
                <w:vertAlign w:val="subscript"/>
              </w:rPr>
              <w:t>​​ ​​</w:t>
            </w:r>
            <w:r>
              <w:rPr>
                <w:rFonts w:ascii="Arial" w:cs="Arial" w:eastAsia="Arial" w:hAnsi="Arial"/>
                <w:sz w:val="16"/>
                <w:szCs w:val="16"/>
                <w:color w:val="auto"/>
              </w:rPr>
              <w:t>$2,273,000</w:t>
            </w:r>
            <w:r>
              <w:rPr>
                <w:rFonts w:ascii="Arial" w:cs="Arial" w:eastAsia="Arial" w:hAnsi="Arial"/>
                <w:sz w:val="32"/>
                <w:szCs w:val="32"/>
                <w:color w:val="auto"/>
                <w:vertAlign w:val="subscript"/>
              </w:rPr>
              <w:t>​​</w:t>
            </w:r>
          </w:p>
        </w:tc>
      </w:tr>
      <w:tr>
        <w:trPr>
          <w:trHeight w:val="250"/>
        </w:trPr>
        <w:tc>
          <w:tcPr>
            <w:tcW w:w="4280" w:type="dxa"/>
            <w:vAlign w:val="bottom"/>
            <w:tcBorders>
              <w:bottom w:val="single" w:sz="8" w:color="7F7F7F"/>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Related Fees</w:t>
            </w:r>
          </w:p>
        </w:tc>
        <w:tc>
          <w:tcPr>
            <w:tcW w:w="3100" w:type="dxa"/>
            <w:vAlign w:val="bottom"/>
            <w:tcBorders>
              <w:bottom w:val="single" w:sz="8" w:color="7F7F7F"/>
            </w:tcBorders>
          </w:tcPr>
          <w:p>
            <w:pPr>
              <w:ind w:left="274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440" w:type="dxa"/>
            <w:vAlign w:val="bottom"/>
            <w:tcBorders>
              <w:bottom w:val="single" w:sz="8" w:color="7F7F7F"/>
            </w:tcBorders>
          </w:tcPr>
          <w:p>
            <w:pPr>
              <w:spacing w:after="0"/>
              <w:rPr>
                <w:sz w:val="21"/>
                <w:szCs w:val="21"/>
                <w:color w:val="auto"/>
              </w:rPr>
            </w:pPr>
          </w:p>
        </w:tc>
        <w:tc>
          <w:tcPr>
            <w:tcW w:w="1040" w:type="dxa"/>
            <w:vAlign w:val="bottom"/>
            <w:tcBorders>
              <w:bottom w:val="single" w:sz="8" w:color="7F7F7F"/>
            </w:tcBorders>
          </w:tcPr>
          <w:p>
            <w:pPr>
              <w:jc w:val="right"/>
              <w:ind w:right="402"/>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320" w:type="dxa"/>
            <w:vAlign w:val="bottom"/>
            <w:tcBorders>
              <w:bottom w:val="single" w:sz="8" w:color="7F7F7F"/>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r>
      <w:tr>
        <w:trPr>
          <w:trHeight w:val="290"/>
        </w:trPr>
        <w:tc>
          <w:tcPr>
            <w:tcW w:w="4280" w:type="dxa"/>
            <w:vAlign w:val="bottom"/>
            <w:tcBorders>
              <w:bottom w:val="single" w:sz="8" w:color="7F7F7F"/>
            </w:tcBorders>
          </w:tcPr>
          <w:p>
            <w:pPr>
              <w:ind w:left="6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Tax Fees</w:t>
            </w:r>
            <w:r>
              <w:rPr>
                <w:rFonts w:ascii="Arial" w:cs="Arial" w:eastAsia="Arial" w:hAnsi="Arial"/>
                <w:sz w:val="19"/>
                <w:szCs w:val="19"/>
                <w:color w:val="auto"/>
                <w:vertAlign w:val="superscript"/>
              </w:rPr>
              <w:t>(2)</w:t>
            </w:r>
          </w:p>
        </w:tc>
        <w:tc>
          <w:tcPr>
            <w:tcW w:w="3100" w:type="dxa"/>
            <w:vAlign w:val="bottom"/>
            <w:tcBorders>
              <w:bottom w:val="single" w:sz="8" w:color="7F7F7F"/>
            </w:tcBorders>
          </w:tcPr>
          <w:p>
            <w:pPr>
              <w:ind w:left="274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1480" w:type="dxa"/>
            <w:vAlign w:val="bottom"/>
            <w:tcBorders>
              <w:bottom w:val="single" w:sz="8" w:color="7F7F7F"/>
            </w:tcBorders>
            <w:gridSpan w:val="2"/>
          </w:tcPr>
          <w:p>
            <w:pPr>
              <w:jc w:val="right"/>
              <w:ind w:right="402"/>
              <w:spacing w:after="0" w:line="290" w:lineRule="exact"/>
              <w:rPr>
                <w:sz w:val="20"/>
                <w:szCs w:val="20"/>
                <w:color w:val="auto"/>
              </w:rPr>
            </w:pPr>
            <w:r>
              <w:rPr>
                <w:rFonts w:ascii="Arial" w:cs="Arial" w:eastAsia="Arial" w:hAnsi="Arial"/>
                <w:sz w:val="16"/>
                <w:szCs w:val="16"/>
                <w:color w:val="auto"/>
              </w:rPr>
              <w:t>178,000</w:t>
            </w:r>
            <w:r>
              <w:rPr>
                <w:rFonts w:ascii="Arial" w:cs="Arial" w:eastAsia="Arial" w:hAnsi="Arial"/>
                <w:sz w:val="32"/>
                <w:szCs w:val="32"/>
                <w:color w:val="auto"/>
                <w:vertAlign w:val="subscript"/>
              </w:rPr>
              <w:t>​​ ​​</w:t>
            </w:r>
            <w:r>
              <w:rPr>
                <w:rFonts w:ascii="Arial" w:cs="Arial" w:eastAsia="Arial" w:hAnsi="Arial"/>
                <w:sz w:val="16"/>
                <w:szCs w:val="16"/>
                <w:color w:val="auto"/>
              </w:rPr>
              <w:t xml:space="preserve"> ​</w:t>
            </w:r>
          </w:p>
        </w:tc>
        <w:tc>
          <w:tcPr>
            <w:tcW w:w="320" w:type="dxa"/>
            <w:vAlign w:val="bottom"/>
            <w:tcBorders>
              <w:bottom w:val="single" w:sz="8" w:color="7F7F7F"/>
            </w:tcBorders>
          </w:tcPr>
          <w:p>
            <w:pPr>
              <w:jc w:val="right"/>
              <w:spacing w:after="0" w:line="29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r>
      <w:tr>
        <w:trPr>
          <w:trHeight w:val="291"/>
        </w:trPr>
        <w:tc>
          <w:tcPr>
            <w:tcW w:w="4280" w:type="dxa"/>
            <w:vAlign w:val="bottom"/>
            <w:tcBorders>
              <w:bottom w:val="single" w:sz="8" w:color="7F7F7F"/>
            </w:tcBorders>
          </w:tcPr>
          <w:p>
            <w:pPr>
              <w:ind w:left="6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All Other Fees</w:t>
            </w:r>
            <w:r>
              <w:rPr>
                <w:rFonts w:ascii="Arial" w:cs="Arial" w:eastAsia="Arial" w:hAnsi="Arial"/>
                <w:sz w:val="19"/>
                <w:szCs w:val="19"/>
                <w:color w:val="auto"/>
                <w:vertAlign w:val="superscript"/>
              </w:rPr>
              <w:t>(3)</w:t>
            </w:r>
          </w:p>
        </w:tc>
        <w:tc>
          <w:tcPr>
            <w:tcW w:w="3100" w:type="dxa"/>
            <w:vAlign w:val="bottom"/>
            <w:tcBorders>
              <w:bottom w:val="single" w:sz="8" w:color="7F7F7F"/>
            </w:tcBorders>
          </w:tcPr>
          <w:p>
            <w:pPr>
              <w:ind w:left="274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1480" w:type="dxa"/>
            <w:vAlign w:val="bottom"/>
            <w:tcBorders>
              <w:bottom w:val="single" w:sz="8" w:color="7F7F7F"/>
            </w:tcBorders>
            <w:gridSpan w:val="2"/>
          </w:tcPr>
          <w:p>
            <w:pPr>
              <w:jc w:val="right"/>
              <w:ind w:right="402"/>
              <w:spacing w:after="0" w:line="290" w:lineRule="exact"/>
              <w:rPr>
                <w:sz w:val="20"/>
                <w:szCs w:val="20"/>
                <w:color w:val="auto"/>
              </w:rPr>
            </w:pPr>
            <w:r>
              <w:rPr>
                <w:rFonts w:ascii="Arial" w:cs="Arial" w:eastAsia="Arial" w:hAnsi="Arial"/>
                <w:sz w:val="16"/>
                <w:szCs w:val="16"/>
                <w:color w:val="auto"/>
              </w:rPr>
              <w:t>16,000</w:t>
            </w:r>
            <w:r>
              <w:rPr>
                <w:rFonts w:ascii="Arial" w:cs="Arial" w:eastAsia="Arial" w:hAnsi="Arial"/>
                <w:sz w:val="32"/>
                <w:szCs w:val="32"/>
                <w:color w:val="auto"/>
                <w:vertAlign w:val="subscript"/>
              </w:rPr>
              <w:t>​​ ​​</w:t>
            </w:r>
            <w:r>
              <w:rPr>
                <w:rFonts w:ascii="Arial" w:cs="Arial" w:eastAsia="Arial" w:hAnsi="Arial"/>
                <w:sz w:val="16"/>
                <w:szCs w:val="16"/>
                <w:color w:val="auto"/>
              </w:rPr>
              <w:t xml:space="preserve"> ​</w:t>
            </w:r>
          </w:p>
        </w:tc>
        <w:tc>
          <w:tcPr>
            <w:tcW w:w="320" w:type="dxa"/>
            <w:vAlign w:val="bottom"/>
            <w:tcBorders>
              <w:bottom w:val="single" w:sz="8" w:color="7F7F7F"/>
            </w:tcBorders>
          </w:tcPr>
          <w:p>
            <w:pPr>
              <w:jc w:val="right"/>
              <w:spacing w:after="0" w:line="29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r>
      <w:tr>
        <w:trPr>
          <w:trHeight w:val="250"/>
        </w:trPr>
        <w:tc>
          <w:tcPr>
            <w:tcW w:w="4280" w:type="dxa"/>
            <w:vAlign w:val="bottom"/>
            <w:tcBorders>
              <w:bottom w:val="single" w:sz="8" w:color="BF5B5A"/>
            </w:tcBorders>
          </w:tcPr>
          <w:p>
            <w:pPr>
              <w:ind w:left="6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Total</w:t>
            </w:r>
          </w:p>
        </w:tc>
        <w:tc>
          <w:tcPr>
            <w:tcW w:w="4900" w:type="dxa"/>
            <w:vAlign w:val="bottom"/>
            <w:tcBorders>
              <w:bottom w:val="single" w:sz="8" w:color="BF5B5A"/>
            </w:tcBorders>
            <w:gridSpan w:val="4"/>
          </w:tcPr>
          <w:p>
            <w:pPr>
              <w:jc w:val="right"/>
              <w:spacing w:after="0" w:line="250"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5"/>
                <w:szCs w:val="15"/>
                <w:b w:val="1"/>
                <w:bCs w:val="1"/>
                <w:color w:val="auto"/>
              </w:rPr>
              <w:t>$2,726,000</w:t>
            </w:r>
            <w:r>
              <w:rPr>
                <w:rFonts w:ascii="Arial" w:cs="Arial" w:eastAsia="Arial" w:hAnsi="Arial"/>
                <w:sz w:val="28"/>
                <w:szCs w:val="28"/>
                <w:b w:val="1"/>
                <w:bCs w:val="1"/>
                <w:color w:val="auto"/>
                <w:vertAlign w:val="subscript"/>
              </w:rPr>
              <w:t>​​ ​​</w:t>
            </w:r>
            <w:r>
              <w:rPr>
                <w:rFonts w:ascii="Arial" w:cs="Arial" w:eastAsia="Arial" w:hAnsi="Arial"/>
                <w:sz w:val="15"/>
                <w:szCs w:val="15"/>
                <w:b w:val="1"/>
                <w:bCs w:val="1"/>
                <w:color w:val="auto"/>
              </w:rPr>
              <w:t>$2,273,000</w:t>
            </w:r>
            <w:r>
              <w:rPr>
                <w:rFonts w:ascii="Arial" w:cs="Arial" w:eastAsia="Arial" w:hAnsi="Arial"/>
                <w:sz w:val="28"/>
                <w:szCs w:val="28"/>
                <w:b w:val="1"/>
                <w:bCs w:val="1"/>
                <w:color w:val="auto"/>
                <w:vertAlign w:val="subscript"/>
              </w:rPr>
              <w:t>​​</w:t>
            </w:r>
          </w:p>
        </w:tc>
      </w:tr>
    </w:tbl>
    <w:p>
      <w:pPr>
        <w:spacing w:after="0" w:line="148" w:lineRule="exact"/>
        <w:rPr>
          <w:sz w:val="20"/>
          <w:szCs w:val="20"/>
          <w:color w:val="auto"/>
        </w:rPr>
      </w:pPr>
    </w:p>
    <w:p>
      <w:pPr>
        <w:ind w:left="1140" w:right="140" w:hanging="360"/>
        <w:spacing w:after="0" w:line="301" w:lineRule="auto"/>
        <w:tabs>
          <w:tab w:leader="none" w:pos="11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Consists of fees for professional services rendered for the audit of our consolidated financial statements, including the audit of internal controls over financial reporting, and reviews of our quarterly financial statements, including registration statements and offerings, or for services provided in connection with statutory and regulatory filings.</w:t>
      </w:r>
    </w:p>
    <w:p>
      <w:pPr>
        <w:spacing w:after="0" w:line="23" w:lineRule="exact"/>
        <w:rPr>
          <w:rFonts w:ascii="Arial" w:cs="Arial" w:eastAsia="Arial" w:hAnsi="Arial"/>
          <w:sz w:val="16"/>
          <w:szCs w:val="16"/>
          <w:color w:val="auto"/>
        </w:rPr>
      </w:pPr>
    </w:p>
    <w:p>
      <w:pPr>
        <w:ind w:left="1140" w:hanging="360"/>
        <w:spacing w:after="0"/>
        <w:tabs>
          <w:tab w:leader="none" w:pos="11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Consists of consultations related to excise tax matters.</w:t>
      </w:r>
    </w:p>
    <w:p>
      <w:pPr>
        <w:spacing w:after="0" w:line="113" w:lineRule="exact"/>
        <w:rPr>
          <w:rFonts w:ascii="Arial" w:cs="Arial" w:eastAsia="Arial" w:hAnsi="Arial"/>
          <w:sz w:val="16"/>
          <w:szCs w:val="16"/>
          <w:color w:val="auto"/>
        </w:rPr>
      </w:pPr>
    </w:p>
    <w:p>
      <w:pPr>
        <w:ind w:left="1140" w:hanging="360"/>
        <w:spacing w:after="0"/>
        <w:tabs>
          <w:tab w:leader="none" w:pos="11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Consists of fees related to Board education events.</w:t>
      </w:r>
    </w:p>
    <w:p>
      <w:pPr>
        <w:spacing w:after="0" w:line="332"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PREAPPROVAL POLICIES AND PROCEDURES</w:t>
      </w:r>
    </w:p>
    <w:p>
      <w:pPr>
        <w:sectPr>
          <w:pgSz w:w="11900" w:h="16838" w:orient="portrait"/>
          <w:cols w:equalWidth="0" w:num="1">
            <w:col w:w="10020"/>
          </w:cols>
          <w:pgMar w:left="580" w:top="97" w:right="1299" w:bottom="1440" w:gutter="0" w:footer="0" w:header="0"/>
          <w:type w:val="continuous"/>
        </w:sectPr>
      </w:pPr>
    </w:p>
    <w:p>
      <w:pPr>
        <w:spacing w:after="0" w:line="245" w:lineRule="exact"/>
        <w:rPr>
          <w:sz w:val="20"/>
          <w:szCs w:val="20"/>
          <w:color w:val="auto"/>
        </w:rPr>
      </w:pPr>
    </w:p>
    <w:p>
      <w:pPr>
        <w:ind w:left="780"/>
        <w:spacing w:after="0" w:line="279" w:lineRule="auto"/>
        <w:rPr>
          <w:sz w:val="20"/>
          <w:szCs w:val="20"/>
          <w:color w:val="auto"/>
        </w:rPr>
      </w:pPr>
      <w:r>
        <w:rPr>
          <w:rFonts w:ascii="Arial" w:cs="Arial" w:eastAsia="Arial" w:hAnsi="Arial"/>
          <w:sz w:val="18"/>
          <w:szCs w:val="18"/>
          <w:color w:val="auto"/>
        </w:rPr>
        <w:t>The Audit Committee Charter requires the preapproval of all fees and services to be provided by the Company’s independent auditors. These services may include audit services, audit-related services, tax services and other services. The Audit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Committee has sole authority, without action by the Board, for the review and approval of such services and fees. In 2023 and 2022, all such fees and services were preapproved by the Audit Committee in accordance with these procedures.</w:t>
      </w:r>
    </w:p>
    <w:p>
      <w:pPr>
        <w:spacing w:after="0" w:line="200" w:lineRule="exact"/>
        <w:rPr>
          <w:sz w:val="20"/>
          <w:szCs w:val="20"/>
          <w:color w:val="auto"/>
        </w:rPr>
      </w:pPr>
    </w:p>
    <w:p>
      <w:pPr>
        <w:sectPr>
          <w:pgSz w:w="11900" w:h="16838" w:orient="portrait"/>
          <w:cols w:equalWidth="0" w:num="2">
            <w:col w:w="5020" w:space="600"/>
            <w:col w:w="440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643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628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BIOGRAPHIES OF</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brief biography of each person who serves as an executive officer of First Hawaiian at March 14, 2024, other</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than Mr. Harrison, is set forth below. For information about Mr. Harrison, please see his biography in the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Governance and Board Matters―Director Nominees</w:t>
      </w:r>
      <w:r>
        <w:rPr>
          <w:rFonts w:ascii="Arial" w:cs="Arial" w:eastAsia="Arial" w:hAnsi="Arial"/>
          <w:sz w:val="18"/>
          <w:szCs w:val="18"/>
          <w:color w:val="auto"/>
        </w:rPr>
        <w:t>” section on page 18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146050</wp:posOffset>
            </wp:positionV>
            <wp:extent cx="5829300" cy="8483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4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Vice Chairman,</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Wealth</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Management</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Group</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8"/>
        </w:trPr>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60" w:type="dxa"/>
            <w:vAlign w:val="bottom"/>
          </w:tcPr>
          <w:p>
            <w:pPr>
              <w:spacing w:after="0"/>
              <w:rPr>
                <w:sz w:val="20"/>
                <w:szCs w:val="20"/>
                <w:color w:val="auto"/>
              </w:rPr>
            </w:pPr>
            <w:r>
              <w:rPr>
                <w:rFonts w:ascii="Arial" w:cs="Arial" w:eastAsia="Arial" w:hAnsi="Arial"/>
                <w:sz w:val="25"/>
                <w:szCs w:val="25"/>
                <w:b w:val="1"/>
                <w:bCs w:val="1"/>
                <w:color w:val="FFFFFF"/>
              </w:rPr>
              <w:t>Alan H. Arizumi</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 ​</w:t>
            </w:r>
          </w:p>
        </w:tc>
      </w:tr>
      <w:tr>
        <w:trPr>
          <w:trHeight w:val="304"/>
        </w:trPr>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3460" w:type="dxa"/>
            <w:vAlign w:val="bottom"/>
          </w:tcPr>
          <w:p>
            <w:pPr>
              <w:spacing w:after="0"/>
              <w:rPr>
                <w:sz w:val="20"/>
                <w:szCs w:val="20"/>
                <w:color w:val="auto"/>
              </w:rPr>
            </w:pPr>
            <w:r>
              <w:rPr>
                <w:rFonts w:ascii="Arial" w:cs="Arial" w:eastAsia="Arial" w:hAnsi="Arial"/>
                <w:sz w:val="16"/>
                <w:szCs w:val="16"/>
                <w:b w:val="1"/>
                <w:bCs w:val="1"/>
                <w:color w:val="BF5B5A"/>
              </w:rPr>
              <w:t>BACKGROUND</w:t>
            </w:r>
          </w:p>
        </w:tc>
        <w:tc>
          <w:tcPr>
            <w:tcW w:w="260" w:type="dxa"/>
            <w:vAlign w:val="bottom"/>
          </w:tcPr>
          <w:p>
            <w:pPr>
              <w:ind w:left="100"/>
              <w:spacing w:after="0"/>
              <w:rPr>
                <w:sz w:val="20"/>
                <w:szCs w:val="20"/>
                <w:color w:val="auto"/>
              </w:rPr>
            </w:pPr>
            <w:r>
              <w:rPr>
                <w:rFonts w:ascii="Arial" w:cs="Arial" w:eastAsia="Arial" w:hAnsi="Arial"/>
                <w:sz w:val="16"/>
                <w:szCs w:val="16"/>
                <w:color w:val="auto"/>
              </w:rPr>
              <w:t>​ ​</w:t>
            </w:r>
          </w:p>
        </w:tc>
      </w:tr>
      <w:tr>
        <w:trPr>
          <w:trHeight w:val="209"/>
        </w:trPr>
        <w:tc>
          <w:tcPr>
            <w:tcW w:w="10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6"/>
                <w:szCs w:val="16"/>
                <w:b w:val="1"/>
                <w:bCs w:val="1"/>
                <w:color w:val="auto"/>
                <w:w w:val="96"/>
              </w:rPr>
              <w:t>FIRST HAWAIIAN, INC. AND FIRST HAWAIIAN</w:t>
            </w:r>
          </w:p>
        </w:tc>
        <w:tc>
          <w:tcPr>
            <w:tcW w:w="260" w:type="dxa"/>
            <w:vAlign w:val="bottom"/>
          </w:tcPr>
          <w:p>
            <w:pPr>
              <w:spacing w:after="0"/>
              <w:rPr>
                <w:sz w:val="18"/>
                <w:szCs w:val="18"/>
                <w:color w:val="auto"/>
              </w:rPr>
            </w:pPr>
          </w:p>
        </w:tc>
      </w:tr>
      <w:tr>
        <w:trPr>
          <w:trHeight w:val="223"/>
        </w:trPr>
        <w:tc>
          <w:tcPr>
            <w:tcW w:w="100" w:type="dxa"/>
            <w:vAlign w:val="bottom"/>
          </w:tcPr>
          <w:p>
            <w:pPr>
              <w:spacing w:after="0"/>
              <w:rPr>
                <w:sz w:val="19"/>
                <w:szCs w:val="19"/>
                <w:color w:val="auto"/>
              </w:rPr>
            </w:pPr>
          </w:p>
        </w:tc>
        <w:tc>
          <w:tcPr>
            <w:tcW w:w="3460" w:type="dxa"/>
            <w:vAlign w:val="bottom"/>
          </w:tcPr>
          <w:p>
            <w:pPr>
              <w:ind w:left="80"/>
              <w:spacing w:after="0"/>
              <w:rPr>
                <w:sz w:val="20"/>
                <w:szCs w:val="20"/>
                <w:color w:val="auto"/>
              </w:rPr>
            </w:pPr>
            <w:r>
              <w:rPr>
                <w:rFonts w:ascii="Arial" w:cs="Arial" w:eastAsia="Arial" w:hAnsi="Arial"/>
                <w:sz w:val="16"/>
                <w:szCs w:val="16"/>
                <w:b w:val="1"/>
                <w:bCs w:val="1"/>
                <w:color w:val="auto"/>
              </w:rPr>
              <w:t>BANK</w:t>
            </w:r>
          </w:p>
        </w:tc>
        <w:tc>
          <w:tcPr>
            <w:tcW w:w="260" w:type="dxa"/>
            <w:vAlign w:val="bottom"/>
          </w:tcPr>
          <w:p>
            <w:pPr>
              <w:spacing w:after="0"/>
              <w:rPr>
                <w:sz w:val="19"/>
                <w:szCs w:val="19"/>
                <w:color w:val="auto"/>
              </w:rPr>
            </w:pPr>
          </w:p>
        </w:tc>
      </w:tr>
    </w:tbl>
    <w:p>
      <w:pPr>
        <w:spacing w:after="0" w:line="47" w:lineRule="exact"/>
        <w:rPr>
          <w:sz w:val="20"/>
          <w:szCs w:val="20"/>
          <w:color w:val="auto"/>
        </w:rPr>
      </w:pPr>
    </w:p>
    <w:p>
      <w:pPr>
        <w:ind w:left="420" w:right="440" w:hanging="158"/>
        <w:spacing w:after="0" w:line="281" w:lineRule="auto"/>
        <w:tabs>
          <w:tab w:leader="none" w:pos="420" w:val="left"/>
        </w:tabs>
        <w:numPr>
          <w:ilvl w:val="0"/>
          <w:numId w:val="158"/>
        </w:numPr>
        <w:rPr>
          <w:rFonts w:ascii="Arial" w:cs="Arial" w:eastAsia="Arial" w:hAnsi="Arial"/>
          <w:sz w:val="16"/>
          <w:szCs w:val="16"/>
          <w:color w:val="BF5B5A"/>
        </w:rPr>
      </w:pPr>
      <w:r>
        <w:rPr>
          <w:rFonts w:ascii="Arial" w:cs="Arial" w:eastAsia="Arial" w:hAnsi="Arial"/>
          <w:sz w:val="16"/>
          <w:szCs w:val="16"/>
          <w:color w:val="auto"/>
        </w:rPr>
        <w:t>As Vice Chairman, Wealth Management Group (2013 to present)</w:t>
      </w:r>
    </w:p>
    <w:p>
      <w:pPr>
        <w:spacing w:after="0" w:line="1" w:lineRule="exact"/>
        <w:rPr>
          <w:rFonts w:ascii="Arial" w:cs="Arial" w:eastAsia="Arial" w:hAnsi="Arial"/>
          <w:sz w:val="16"/>
          <w:szCs w:val="16"/>
          <w:color w:val="BF5B5A"/>
        </w:rPr>
      </w:pPr>
    </w:p>
    <w:p>
      <w:pPr>
        <w:jc w:val="both"/>
        <w:ind w:left="420" w:right="200" w:hanging="158"/>
        <w:spacing w:after="0" w:line="286" w:lineRule="auto"/>
        <w:tabs>
          <w:tab w:leader="none" w:pos="420" w:val="left"/>
        </w:tabs>
        <w:numPr>
          <w:ilvl w:val="0"/>
          <w:numId w:val="158"/>
        </w:numPr>
        <w:rPr>
          <w:rFonts w:ascii="Arial" w:cs="Arial" w:eastAsia="Arial" w:hAnsi="Arial"/>
          <w:sz w:val="16"/>
          <w:szCs w:val="16"/>
          <w:color w:val="BF5B5A"/>
        </w:rPr>
      </w:pPr>
      <w:r>
        <w:rPr>
          <w:rFonts w:ascii="Arial" w:cs="Arial" w:eastAsia="Arial" w:hAnsi="Arial"/>
          <w:sz w:val="16"/>
          <w:szCs w:val="16"/>
          <w:color w:val="auto"/>
        </w:rPr>
        <w:t>Responsible for overseeing all areas of the Wealth Management Group, which include:</w:t>
      </w:r>
    </w:p>
    <w:p>
      <w:pPr>
        <w:spacing w:after="0" w:line="7"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Personal Trust</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Private Banking</w:t>
      </w:r>
    </w:p>
    <w:p>
      <w:pPr>
        <w:spacing w:after="0" w:line="59"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Wealth Advisory</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Institutional Advisory Services</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Investment Services</w:t>
      </w:r>
    </w:p>
    <w:p>
      <w:pPr>
        <w:spacing w:after="0" w:line="59"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Wealth Management Service Center</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Trust Compliance</w:t>
      </w:r>
    </w:p>
    <w:p>
      <w:pPr>
        <w:spacing w:after="0" w:line="32" w:lineRule="exact"/>
        <w:rPr>
          <w:rFonts w:ascii="Arial" w:cs="Arial" w:eastAsia="Arial" w:hAnsi="Arial"/>
          <w:sz w:val="16"/>
          <w:szCs w:val="16"/>
          <w:color w:val="BF5B5A"/>
        </w:rPr>
      </w:pPr>
    </w:p>
    <w:p>
      <w:pPr>
        <w:ind w:left="580" w:right="640" w:hanging="162"/>
        <w:spacing w:after="0" w:line="286" w:lineRule="auto"/>
        <w:rPr>
          <w:rFonts w:ascii="Arial" w:cs="Arial" w:eastAsia="Arial" w:hAnsi="Arial"/>
          <w:sz w:val="16"/>
          <w:szCs w:val="16"/>
          <w:color w:val="BF5B5A"/>
        </w:rPr>
      </w:pPr>
      <w:r>
        <w:rPr>
          <w:rFonts w:ascii="Arial" w:cs="Arial" w:eastAsia="Arial" w:hAnsi="Arial"/>
          <w:sz w:val="16"/>
          <w:szCs w:val="16"/>
          <w:color w:val="auto"/>
        </w:rPr>
        <w:t>– Bishop Street Capital Management Corporation</w:t>
      </w:r>
    </w:p>
    <w:p>
      <w:pPr>
        <w:spacing w:after="0" w:line="7" w:lineRule="exact"/>
        <w:rPr>
          <w:rFonts w:ascii="Arial" w:cs="Arial" w:eastAsia="Arial" w:hAnsi="Arial"/>
          <w:sz w:val="16"/>
          <w:szCs w:val="16"/>
          <w:color w:val="BF5B5A"/>
        </w:rPr>
      </w:pPr>
    </w:p>
    <w:p>
      <w:pPr>
        <w:ind w:left="420" w:right="260" w:hanging="158"/>
        <w:spacing w:after="0" w:line="290" w:lineRule="auto"/>
        <w:tabs>
          <w:tab w:leader="none" w:pos="420" w:val="left"/>
        </w:tabs>
        <w:numPr>
          <w:ilvl w:val="0"/>
          <w:numId w:val="158"/>
        </w:numPr>
        <w:rPr>
          <w:rFonts w:ascii="Arial" w:cs="Arial" w:eastAsia="Arial" w:hAnsi="Arial"/>
          <w:sz w:val="16"/>
          <w:szCs w:val="16"/>
          <w:color w:val="BF5B5A"/>
        </w:rPr>
      </w:pPr>
      <w:r>
        <w:rPr>
          <w:rFonts w:ascii="Arial" w:cs="Arial" w:eastAsia="Arial" w:hAnsi="Arial"/>
          <w:sz w:val="16"/>
          <w:szCs w:val="16"/>
          <w:color w:val="auto"/>
        </w:rPr>
        <w:t>Serves on the Bank’s Senior Management Committee (December 2009 to present)</w:t>
      </w:r>
    </w:p>
    <w:p>
      <w:pPr>
        <w:ind w:left="420" w:right="280" w:hanging="158"/>
        <w:spacing w:after="0" w:line="281" w:lineRule="auto"/>
        <w:tabs>
          <w:tab w:leader="none" w:pos="420" w:val="left"/>
        </w:tabs>
        <w:numPr>
          <w:ilvl w:val="0"/>
          <w:numId w:val="158"/>
        </w:numPr>
        <w:rPr>
          <w:rFonts w:ascii="Arial" w:cs="Arial" w:eastAsia="Arial" w:hAnsi="Arial"/>
          <w:sz w:val="16"/>
          <w:szCs w:val="16"/>
          <w:color w:val="BF5B5A"/>
        </w:rPr>
      </w:pPr>
      <w:r>
        <w:rPr>
          <w:rFonts w:ascii="Arial" w:cs="Arial" w:eastAsia="Arial" w:hAnsi="Arial"/>
          <w:sz w:val="16"/>
          <w:szCs w:val="16"/>
          <w:color w:val="auto"/>
        </w:rPr>
        <w:t>Oversaw Consumer Banking Group (2014 to 2017)</w:t>
      </w:r>
    </w:p>
    <w:p>
      <w:pPr>
        <w:spacing w:after="0" w:line="1" w:lineRule="exact"/>
        <w:rPr>
          <w:rFonts w:ascii="Arial" w:cs="Arial" w:eastAsia="Arial" w:hAnsi="Arial"/>
          <w:sz w:val="16"/>
          <w:szCs w:val="16"/>
          <w:color w:val="BF5B5A"/>
        </w:rPr>
      </w:pPr>
    </w:p>
    <w:p>
      <w:pPr>
        <w:ind w:left="420" w:right="160" w:hanging="158"/>
        <w:spacing w:after="0" w:line="271" w:lineRule="auto"/>
        <w:tabs>
          <w:tab w:leader="none" w:pos="420" w:val="left"/>
        </w:tabs>
        <w:numPr>
          <w:ilvl w:val="0"/>
          <w:numId w:val="158"/>
        </w:numPr>
        <w:rPr>
          <w:rFonts w:ascii="Arial" w:cs="Arial" w:eastAsia="Arial" w:hAnsi="Arial"/>
          <w:sz w:val="16"/>
          <w:szCs w:val="16"/>
          <w:color w:val="BF5B5A"/>
        </w:rPr>
      </w:pPr>
      <w:r>
        <w:rPr>
          <w:rFonts w:ascii="Arial" w:cs="Arial" w:eastAsia="Arial" w:hAnsi="Arial"/>
          <w:sz w:val="16"/>
          <w:szCs w:val="16"/>
          <w:color w:val="auto"/>
        </w:rPr>
        <w:t>Chairman and Chief Executive Officer of Bishop Street Capital Management Corporation, a subsidiary of the Bank (2013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73025</wp:posOffset>
            </wp:positionV>
            <wp:extent cx="58293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w:t>
      </w:r>
    </w:p>
    <w:p>
      <w:pPr>
        <w:spacing w:after="0" w:line="34"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400" w:type="dxa"/>
            <w:vAlign w:val="bottom"/>
          </w:tcPr>
          <w:p>
            <w:pPr>
              <w:ind w:left="2900"/>
              <w:spacing w:after="0"/>
              <w:rPr>
                <w:sz w:val="20"/>
                <w:szCs w:val="20"/>
                <w:color w:val="auto"/>
              </w:rPr>
            </w:pPr>
            <w:r>
              <w:rPr>
                <w:rFonts w:ascii="Arial" w:cs="Arial" w:eastAsia="Arial" w:hAnsi="Arial"/>
                <w:sz w:val="16"/>
                <w:szCs w:val="16"/>
                <w:b w:val="1"/>
                <w:bCs w:val="1"/>
                <w:color w:val="FFFFFF"/>
                <w:w w:val="91"/>
              </w:rPr>
              <w:t>Age 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400" w:type="dxa"/>
            <w:vAlign w:val="bottom"/>
            <w:vMerge w:val="restart"/>
          </w:tcPr>
          <w:p>
            <w:pPr>
              <w:spacing w:after="0"/>
              <w:rPr>
                <w:sz w:val="20"/>
                <w:szCs w:val="20"/>
                <w:color w:val="auto"/>
              </w:rPr>
            </w:pPr>
            <w:r>
              <w:rPr>
                <w:rFonts w:ascii="Arial" w:cs="Arial" w:eastAsia="Arial" w:hAnsi="Arial"/>
                <w:sz w:val="16"/>
                <w:szCs w:val="16"/>
                <w:color w:val="BF5B5A"/>
              </w:rPr>
              <w:t xml:space="preserve">• </w:t>
            </w:r>
            <w:r>
              <w:rPr>
                <w:rFonts w:ascii="Arial" w:cs="Arial" w:eastAsia="Arial" w:hAnsi="Arial"/>
                <w:sz w:val="16"/>
                <w:szCs w:val="16"/>
                <w:color w:val="000000"/>
              </w:rPr>
              <w:t>Executive Vice President of the Bank’s</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
        </w:trPr>
        <w:tc>
          <w:tcPr>
            <w:tcW w:w="3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60"/>
              <w:spacing w:after="0"/>
              <w:rPr>
                <w:sz w:val="20"/>
                <w:szCs w:val="20"/>
                <w:color w:val="auto"/>
              </w:rPr>
            </w:pPr>
            <w:r>
              <w:rPr>
                <w:rFonts w:ascii="Arial" w:cs="Arial" w:eastAsia="Arial" w:hAnsi="Arial"/>
                <w:sz w:val="16"/>
                <w:szCs w:val="16"/>
                <w:color w:val="auto"/>
              </w:rPr>
              <w:t>Business, Dealer and Card Services Group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160"/>
              <w:spacing w:after="0"/>
              <w:rPr>
                <w:sz w:val="20"/>
                <w:szCs w:val="20"/>
                <w:color w:val="auto"/>
              </w:rPr>
            </w:pPr>
            <w:r>
              <w:rPr>
                <w:rFonts w:ascii="Arial" w:cs="Arial" w:eastAsia="Arial" w:hAnsi="Arial"/>
                <w:sz w:val="16"/>
                <w:szCs w:val="16"/>
                <w:color w:val="auto"/>
              </w:rPr>
              <w:t>(2010 to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right="420" w:hanging="158"/>
        <w:spacing w:after="0" w:line="284" w:lineRule="auto"/>
        <w:tabs>
          <w:tab w:leader="none" w:pos="320" w:val="left"/>
        </w:tabs>
        <w:numPr>
          <w:ilvl w:val="0"/>
          <w:numId w:val="159"/>
        </w:numPr>
        <w:rPr>
          <w:rFonts w:ascii="Arial" w:cs="Arial" w:eastAsia="Arial" w:hAnsi="Arial"/>
          <w:sz w:val="16"/>
          <w:szCs w:val="16"/>
          <w:color w:val="BF5B5A"/>
        </w:rPr>
      </w:pPr>
      <w:r>
        <w:rPr>
          <w:rFonts w:ascii="Arial" w:cs="Arial" w:eastAsia="Arial" w:hAnsi="Arial"/>
          <w:sz w:val="16"/>
          <w:szCs w:val="16"/>
          <w:color w:val="auto"/>
        </w:rPr>
        <w:t>Executive Vice President and Chief Risk Officer of the Bank’s Risk Management Group (2009 to 2010)</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BF5B5A"/>
        </w:rPr>
        <w:t>OTHER ENGAGEMENTS</w:t>
      </w:r>
    </w:p>
    <w:p>
      <w:pPr>
        <w:spacing w:after="0" w:line="59" w:lineRule="exact"/>
        <w:rPr>
          <w:sz w:val="20"/>
          <w:szCs w:val="20"/>
          <w:color w:val="auto"/>
        </w:rPr>
      </w:pPr>
    </w:p>
    <w:p>
      <w:pPr>
        <w:ind w:left="320" w:right="720" w:hanging="158"/>
        <w:spacing w:after="0" w:line="281" w:lineRule="auto"/>
        <w:tabs>
          <w:tab w:leader="none" w:pos="320" w:val="left"/>
        </w:tabs>
        <w:numPr>
          <w:ilvl w:val="0"/>
          <w:numId w:val="160"/>
        </w:numPr>
        <w:rPr>
          <w:rFonts w:ascii="Arial" w:cs="Arial" w:eastAsia="Arial" w:hAnsi="Arial"/>
          <w:sz w:val="16"/>
          <w:szCs w:val="16"/>
          <w:color w:val="BF5B5A"/>
        </w:rPr>
      </w:pPr>
      <w:r>
        <w:rPr>
          <w:rFonts w:ascii="Arial" w:cs="Arial" w:eastAsia="Arial" w:hAnsi="Arial"/>
          <w:sz w:val="16"/>
          <w:szCs w:val="16"/>
          <w:color w:val="auto"/>
        </w:rPr>
        <w:t>Member of the Board and Treasurer, Hawaii Community Foundation</w:t>
      </w:r>
    </w:p>
    <w:p>
      <w:pPr>
        <w:spacing w:after="0" w:line="1" w:lineRule="exact"/>
        <w:rPr>
          <w:rFonts w:ascii="Arial" w:cs="Arial" w:eastAsia="Arial" w:hAnsi="Arial"/>
          <w:sz w:val="16"/>
          <w:szCs w:val="16"/>
          <w:color w:val="BF5B5A"/>
        </w:rPr>
      </w:pPr>
    </w:p>
    <w:p>
      <w:pPr>
        <w:ind w:left="320" w:right="660" w:hanging="158"/>
        <w:spacing w:after="0" w:line="281" w:lineRule="auto"/>
        <w:tabs>
          <w:tab w:leader="none" w:pos="320" w:val="left"/>
        </w:tabs>
        <w:numPr>
          <w:ilvl w:val="0"/>
          <w:numId w:val="160"/>
        </w:numPr>
        <w:rPr>
          <w:rFonts w:ascii="Arial" w:cs="Arial" w:eastAsia="Arial" w:hAnsi="Arial"/>
          <w:sz w:val="16"/>
          <w:szCs w:val="16"/>
          <w:color w:val="BF5B5A"/>
        </w:rPr>
      </w:pPr>
      <w:r>
        <w:rPr>
          <w:rFonts w:ascii="Arial" w:cs="Arial" w:eastAsia="Arial" w:hAnsi="Arial"/>
          <w:sz w:val="16"/>
          <w:szCs w:val="16"/>
          <w:color w:val="auto"/>
        </w:rPr>
        <w:t>Member of the McKinley High School Foundation.</w:t>
      </w:r>
    </w:p>
    <w:p>
      <w:pPr>
        <w:spacing w:after="0" w:line="1" w:lineRule="exact"/>
        <w:rPr>
          <w:rFonts w:ascii="Arial" w:cs="Arial" w:eastAsia="Arial" w:hAnsi="Arial"/>
          <w:sz w:val="16"/>
          <w:szCs w:val="16"/>
          <w:color w:val="BF5B5A"/>
        </w:rPr>
      </w:pPr>
    </w:p>
    <w:p>
      <w:pPr>
        <w:ind w:left="320" w:right="240" w:hanging="158"/>
        <w:spacing w:after="0" w:line="281" w:lineRule="auto"/>
        <w:tabs>
          <w:tab w:leader="none" w:pos="320" w:val="left"/>
        </w:tabs>
        <w:numPr>
          <w:ilvl w:val="0"/>
          <w:numId w:val="160"/>
        </w:numPr>
        <w:rPr>
          <w:rFonts w:ascii="Arial" w:cs="Arial" w:eastAsia="Arial" w:hAnsi="Arial"/>
          <w:sz w:val="16"/>
          <w:szCs w:val="16"/>
          <w:color w:val="BF5B5A"/>
        </w:rPr>
      </w:pPr>
      <w:r>
        <w:rPr>
          <w:rFonts w:ascii="Arial" w:cs="Arial" w:eastAsia="Arial" w:hAnsi="Arial"/>
          <w:sz w:val="16"/>
          <w:szCs w:val="16"/>
          <w:color w:val="auto"/>
        </w:rPr>
        <w:t>Member of the Board, KCAA Preschools of Hawaii</w:t>
      </w:r>
    </w:p>
    <w:p>
      <w:pPr>
        <w:spacing w:after="0" w:line="1" w:lineRule="exact"/>
        <w:rPr>
          <w:rFonts w:ascii="Arial" w:cs="Arial" w:eastAsia="Arial" w:hAnsi="Arial"/>
          <w:sz w:val="16"/>
          <w:szCs w:val="16"/>
          <w:color w:val="BF5B5A"/>
        </w:rPr>
      </w:pPr>
    </w:p>
    <w:p>
      <w:pPr>
        <w:ind w:left="320" w:right="560" w:hanging="158"/>
        <w:spacing w:after="0" w:line="304" w:lineRule="auto"/>
        <w:tabs>
          <w:tab w:leader="none" w:pos="320" w:val="left"/>
        </w:tabs>
        <w:numPr>
          <w:ilvl w:val="0"/>
          <w:numId w:val="160"/>
        </w:numPr>
        <w:rPr>
          <w:rFonts w:ascii="Arial" w:cs="Arial" w:eastAsia="Arial" w:hAnsi="Arial"/>
          <w:sz w:val="16"/>
          <w:szCs w:val="16"/>
          <w:color w:val="BF5B5A"/>
        </w:rPr>
      </w:pPr>
      <w:r>
        <w:rPr>
          <w:rFonts w:ascii="Arial" w:cs="Arial" w:eastAsia="Arial" w:hAnsi="Arial"/>
          <w:sz w:val="16"/>
          <w:szCs w:val="16"/>
          <w:color w:val="auto"/>
        </w:rPr>
        <w:t>Special Advisor to the Oahu Economic Development Board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BF5B5A"/>
        </w:rPr>
        <w:t>EDUCATION</w:t>
      </w:r>
    </w:p>
    <w:p>
      <w:pPr>
        <w:spacing w:after="0" w:line="59" w:lineRule="exact"/>
        <w:rPr>
          <w:sz w:val="20"/>
          <w:szCs w:val="20"/>
          <w:color w:val="auto"/>
        </w:rPr>
      </w:pPr>
    </w:p>
    <w:p>
      <w:pPr>
        <w:ind w:left="320" w:right="780" w:hanging="158"/>
        <w:spacing w:after="0" w:line="281" w:lineRule="auto"/>
        <w:tabs>
          <w:tab w:leader="none" w:pos="320" w:val="left"/>
        </w:tabs>
        <w:numPr>
          <w:ilvl w:val="0"/>
          <w:numId w:val="161"/>
        </w:numPr>
        <w:rPr>
          <w:rFonts w:ascii="Arial" w:cs="Arial" w:eastAsia="Arial" w:hAnsi="Arial"/>
          <w:sz w:val="16"/>
          <w:szCs w:val="16"/>
          <w:color w:val="BF5B5A"/>
        </w:rPr>
      </w:pPr>
      <w:r>
        <w:rPr>
          <w:rFonts w:ascii="Arial" w:cs="Arial" w:eastAsia="Arial" w:hAnsi="Arial"/>
          <w:sz w:val="16"/>
          <w:szCs w:val="16"/>
          <w:color w:val="auto"/>
        </w:rPr>
        <w:t>Bachelor’s degree in Business Administration, University of Hawaii</w:t>
      </w:r>
    </w:p>
    <w:p>
      <w:pPr>
        <w:spacing w:after="0" w:line="1" w:lineRule="exact"/>
        <w:rPr>
          <w:rFonts w:ascii="Arial" w:cs="Arial" w:eastAsia="Arial" w:hAnsi="Arial"/>
          <w:sz w:val="16"/>
          <w:szCs w:val="16"/>
          <w:color w:val="BF5B5A"/>
        </w:rPr>
      </w:pPr>
    </w:p>
    <w:p>
      <w:pPr>
        <w:ind w:left="320" w:right="580" w:hanging="158"/>
        <w:spacing w:after="0" w:line="304" w:lineRule="auto"/>
        <w:tabs>
          <w:tab w:leader="none" w:pos="320" w:val="left"/>
        </w:tabs>
        <w:numPr>
          <w:ilvl w:val="0"/>
          <w:numId w:val="161"/>
        </w:numPr>
        <w:rPr>
          <w:rFonts w:ascii="Arial" w:cs="Arial" w:eastAsia="Arial" w:hAnsi="Arial"/>
          <w:sz w:val="16"/>
          <w:szCs w:val="16"/>
          <w:color w:val="BF5B5A"/>
        </w:rPr>
      </w:pPr>
      <w:r>
        <w:rPr>
          <w:rFonts w:ascii="Arial" w:cs="Arial" w:eastAsia="Arial" w:hAnsi="Arial"/>
          <w:sz w:val="16"/>
          <w:szCs w:val="16"/>
          <w:color w:val="auto"/>
        </w:rPr>
        <w:t>Graduate of the Pacific Coast Banking School</w:t>
      </w:r>
    </w:p>
    <w:p>
      <w:pPr>
        <w:spacing w:after="0" w:line="996" w:lineRule="exact"/>
        <w:rPr>
          <w:sz w:val="20"/>
          <w:szCs w:val="20"/>
          <w:color w:val="auto"/>
        </w:rPr>
      </w:pPr>
    </w:p>
    <w:p>
      <w:pPr>
        <w:sectPr>
          <w:pgSz w:w="11900" w:h="16838" w:orient="portrait"/>
          <w:cols w:equalWidth="0" w:num="3">
            <w:col w:w="1860" w:space="440"/>
            <w:col w:w="3820" w:space="60"/>
            <w:col w:w="374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83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5760"/>
        <w:spacing w:after="0"/>
        <w:rPr>
          <w:sz w:val="20"/>
          <w:szCs w:val="20"/>
          <w:color w:val="auto"/>
        </w:rPr>
      </w:pPr>
      <w:r>
        <w:rPr>
          <w:rFonts w:ascii="Arial" w:cs="Arial" w:eastAsia="Arial" w:hAnsi="Arial"/>
          <w:sz w:val="18"/>
          <w:szCs w:val="18"/>
          <w:b w:val="1"/>
          <w:bCs w:val="1"/>
          <w:color w:val="7F7F7F"/>
        </w:rPr>
        <w:t>BIOGRAPHIES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214630</wp:posOffset>
            </wp:positionV>
            <wp:extent cx="5829300" cy="84836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35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Executive Vice</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President,</w:t>
      </w:r>
    </w:p>
    <w:p>
      <w:pPr>
        <w:spacing w:after="0" w:line="5" w:lineRule="exact"/>
        <w:rPr>
          <w:sz w:val="20"/>
          <w:szCs w:val="20"/>
          <w:color w:val="auto"/>
        </w:rPr>
      </w:pPr>
    </w:p>
    <w:p>
      <w:pPr>
        <w:ind w:left="780"/>
        <w:spacing w:after="0" w:line="293" w:lineRule="auto"/>
        <w:rPr>
          <w:sz w:val="20"/>
          <w:szCs w:val="20"/>
          <w:color w:val="auto"/>
        </w:rPr>
      </w:pPr>
      <w:r>
        <w:rPr>
          <w:rFonts w:ascii="Arial" w:cs="Arial" w:eastAsia="Arial" w:hAnsi="Arial"/>
          <w:sz w:val="16"/>
          <w:szCs w:val="16"/>
          <w:b w:val="1"/>
          <w:bCs w:val="1"/>
          <w:color w:val="auto"/>
        </w:rPr>
        <w:t>Wholesale Banking Group</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25"/>
          <w:szCs w:val="25"/>
          <w:b w:val="1"/>
          <w:bCs w:val="1"/>
          <w:color w:val="FFFFFF"/>
        </w:rPr>
        <w:t>Darlene N. Blakeney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BF5B5A"/>
        </w:rPr>
        <w:t>BACKGROUND</w:t>
      </w:r>
    </w:p>
    <w:p>
      <w:pPr>
        <w:spacing w:after="0" w:line="73" w:lineRule="exact"/>
        <w:rPr>
          <w:sz w:val="20"/>
          <w:szCs w:val="20"/>
          <w:color w:val="auto"/>
        </w:rPr>
      </w:pPr>
    </w:p>
    <w:p>
      <w:pPr>
        <w:ind w:left="180" w:right="120"/>
        <w:spacing w:after="0" w:line="308" w:lineRule="auto"/>
        <w:rPr>
          <w:sz w:val="20"/>
          <w:szCs w:val="20"/>
          <w:color w:val="auto"/>
        </w:rPr>
      </w:pPr>
      <w:r>
        <w:rPr>
          <w:rFonts w:ascii="Arial" w:cs="Arial" w:eastAsia="Arial" w:hAnsi="Arial"/>
          <w:sz w:val="16"/>
          <w:szCs w:val="16"/>
          <w:b w:val="1"/>
          <w:bCs w:val="1"/>
          <w:color w:val="auto"/>
        </w:rPr>
        <w:t>FIRST HAWAIIAN, INC. AND FIRST HAWAIIAN BANK</w:t>
      </w:r>
    </w:p>
    <w:p>
      <w:pPr>
        <w:ind w:left="420" w:hanging="158"/>
        <w:spacing w:after="0" w:line="275" w:lineRule="auto"/>
        <w:tabs>
          <w:tab w:leader="none" w:pos="420" w:val="left"/>
        </w:tabs>
        <w:numPr>
          <w:ilvl w:val="0"/>
          <w:numId w:val="162"/>
        </w:numPr>
        <w:rPr>
          <w:rFonts w:ascii="Arial" w:cs="Arial" w:eastAsia="Arial" w:hAnsi="Arial"/>
          <w:sz w:val="16"/>
          <w:szCs w:val="16"/>
          <w:color w:val="BF5B5A"/>
        </w:rPr>
      </w:pPr>
      <w:r>
        <w:rPr>
          <w:rFonts w:ascii="Arial" w:cs="Arial" w:eastAsia="Arial" w:hAnsi="Arial"/>
          <w:sz w:val="16"/>
          <w:szCs w:val="16"/>
          <w:color w:val="auto"/>
        </w:rPr>
        <w:t>Executive Vice President and Chief Lending Officer, Wholesale Banking Group (October 2023 to present)</w:t>
      </w:r>
    </w:p>
    <w:p>
      <w:pPr>
        <w:spacing w:after="0" w:line="29" w:lineRule="exact"/>
        <w:rPr>
          <w:rFonts w:ascii="Arial" w:cs="Arial" w:eastAsia="Arial" w:hAnsi="Arial"/>
          <w:sz w:val="16"/>
          <w:szCs w:val="16"/>
          <w:color w:val="BF5B5A"/>
        </w:rPr>
      </w:pPr>
    </w:p>
    <w:p>
      <w:pPr>
        <w:ind w:left="420" w:right="20" w:hanging="158"/>
        <w:spacing w:after="0" w:line="299" w:lineRule="auto"/>
        <w:tabs>
          <w:tab w:leader="none" w:pos="420" w:val="left"/>
        </w:tabs>
        <w:numPr>
          <w:ilvl w:val="0"/>
          <w:numId w:val="162"/>
        </w:numPr>
        <w:rPr>
          <w:rFonts w:ascii="Arial" w:cs="Arial" w:eastAsia="Arial" w:hAnsi="Arial"/>
          <w:sz w:val="16"/>
          <w:szCs w:val="16"/>
          <w:color w:val="BF5B5A"/>
        </w:rPr>
      </w:pPr>
      <w:r>
        <w:rPr>
          <w:rFonts w:ascii="Arial" w:cs="Arial" w:eastAsia="Arial" w:hAnsi="Arial"/>
          <w:sz w:val="16"/>
          <w:szCs w:val="16"/>
          <w:color w:val="auto"/>
        </w:rPr>
        <w:t>Responsible for all areas of the Wholesale Banking Group, including:</w:t>
      </w:r>
    </w:p>
    <w:p>
      <w:pPr>
        <w:ind w:left="420"/>
        <w:spacing w:after="0"/>
        <w:rPr>
          <w:rFonts w:ascii="Arial" w:cs="Arial" w:eastAsia="Arial" w:hAnsi="Arial"/>
          <w:sz w:val="16"/>
          <w:szCs w:val="16"/>
          <w:color w:val="BF5B5A"/>
        </w:rPr>
      </w:pPr>
      <w:r>
        <w:rPr>
          <w:rFonts w:ascii="Arial" w:cs="Arial" w:eastAsia="Arial" w:hAnsi="Arial"/>
          <w:sz w:val="16"/>
          <w:szCs w:val="16"/>
          <w:color w:val="auto"/>
        </w:rPr>
        <w:t>– Corporate Banking Division</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Trade Finance Department</w:t>
      </w:r>
    </w:p>
    <w:p>
      <w:pPr>
        <w:spacing w:after="0" w:line="59"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Commercial Real Estate Division</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Commercial Loan Center</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Business Services Division</w:t>
      </w:r>
    </w:p>
    <w:p>
      <w:pPr>
        <w:spacing w:after="0" w:line="59"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Hawaii Dealer Division</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Western Region Dealer Center</w:t>
      </w:r>
    </w:p>
    <w:p>
      <w:pPr>
        <w:spacing w:after="0" w:line="45" w:lineRule="exact"/>
        <w:rPr>
          <w:rFonts w:ascii="Arial" w:cs="Arial" w:eastAsia="Arial" w:hAnsi="Arial"/>
          <w:sz w:val="16"/>
          <w:szCs w:val="16"/>
          <w:color w:val="BF5B5A"/>
        </w:rPr>
      </w:pPr>
    </w:p>
    <w:p>
      <w:pPr>
        <w:ind w:left="420"/>
        <w:spacing w:after="0"/>
        <w:rPr>
          <w:rFonts w:ascii="Arial" w:cs="Arial" w:eastAsia="Arial" w:hAnsi="Arial"/>
          <w:sz w:val="16"/>
          <w:szCs w:val="16"/>
          <w:color w:val="BF5B5A"/>
        </w:rPr>
      </w:pPr>
      <w:r>
        <w:rPr>
          <w:rFonts w:ascii="Arial" w:cs="Arial" w:eastAsia="Arial" w:hAnsi="Arial"/>
          <w:sz w:val="16"/>
          <w:szCs w:val="16"/>
          <w:color w:val="auto"/>
        </w:rPr>
        <w:t>– First Hawaiian Leasing, Inc.</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2460" w:type="dxa"/>
            <w:vAlign w:val="bottom"/>
          </w:tcPr>
          <w:p>
            <w:pPr>
              <w:spacing w:after="0"/>
              <w:rPr>
                <w:sz w:val="17"/>
                <w:szCs w:val="17"/>
                <w:color w:val="auto"/>
              </w:rPr>
            </w:pPr>
          </w:p>
        </w:tc>
        <w:tc>
          <w:tcPr>
            <w:tcW w:w="1180" w:type="dxa"/>
            <w:vAlign w:val="bottom"/>
          </w:tcPr>
          <w:p>
            <w:pPr>
              <w:ind w:left="1140"/>
              <w:spacing w:after="0"/>
              <w:rPr>
                <w:sz w:val="20"/>
                <w:szCs w:val="20"/>
                <w:color w:val="auto"/>
              </w:rPr>
            </w:pPr>
            <w:r>
              <w:rPr>
                <w:rFonts w:ascii="Arial" w:cs="Arial" w:eastAsia="Arial" w:hAnsi="Arial"/>
                <w:sz w:val="16"/>
                <w:szCs w:val="16"/>
                <w:b w:val="1"/>
                <w:bCs w:val="1"/>
                <w:color w:val="auto"/>
              </w:rPr>
              <w:t>​</w:t>
            </w:r>
          </w:p>
        </w:tc>
      </w:tr>
      <w:tr>
        <w:trPr>
          <w:trHeight w:val="223"/>
        </w:trPr>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6"/>
                <w:szCs w:val="16"/>
                <w:b w:val="1"/>
                <w:bCs w:val="1"/>
                <w:color w:val="FFFFFF"/>
              </w:rPr>
              <w:t>Age 61</w:t>
            </w:r>
          </w:p>
        </w:tc>
      </w:tr>
      <w:tr>
        <w:trPr>
          <w:trHeight w:val="284"/>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b w:val="1"/>
                <w:bCs w:val="1"/>
                <w:color w:val="BF5B5A"/>
              </w:rPr>
              <w:t>OTHER ENGAGEMENTS</w:t>
            </w:r>
          </w:p>
        </w:tc>
        <w:tc>
          <w:tcPr>
            <w:tcW w:w="1180" w:type="dxa"/>
            <w:vAlign w:val="bottom"/>
          </w:tcPr>
          <w:p>
            <w:pPr>
              <w:ind w:left="1140"/>
              <w:spacing w:after="0"/>
              <w:rPr>
                <w:sz w:val="20"/>
                <w:szCs w:val="20"/>
                <w:color w:val="auto"/>
              </w:rPr>
            </w:pPr>
            <w:r>
              <w:rPr>
                <w:rFonts w:ascii="Arial" w:cs="Arial" w:eastAsia="Arial" w:hAnsi="Arial"/>
                <w:sz w:val="16"/>
                <w:szCs w:val="16"/>
                <w:color w:val="auto"/>
              </w:rPr>
              <w:t>​</w:t>
            </w:r>
          </w:p>
        </w:tc>
      </w:tr>
    </w:tbl>
    <w:p>
      <w:pPr>
        <w:spacing w:after="0" w:line="34" w:lineRule="exact"/>
        <w:rPr>
          <w:sz w:val="20"/>
          <w:szCs w:val="20"/>
          <w:color w:val="auto"/>
        </w:rPr>
      </w:pPr>
    </w:p>
    <w:p>
      <w:pPr>
        <w:ind w:left="540" w:hanging="158"/>
        <w:spacing w:after="0"/>
        <w:tabs>
          <w:tab w:leader="none" w:pos="540" w:val="left"/>
        </w:tabs>
        <w:numPr>
          <w:ilvl w:val="0"/>
          <w:numId w:val="163"/>
        </w:numPr>
        <w:rPr>
          <w:rFonts w:ascii="Arial" w:cs="Arial" w:eastAsia="Arial" w:hAnsi="Arial"/>
          <w:sz w:val="16"/>
          <w:szCs w:val="16"/>
          <w:color w:val="BF5B5A"/>
        </w:rPr>
      </w:pPr>
      <w:r>
        <w:rPr>
          <w:rFonts w:ascii="Arial" w:cs="Arial" w:eastAsia="Arial" w:hAnsi="Arial"/>
          <w:sz w:val="16"/>
          <w:szCs w:val="16"/>
          <w:color w:val="auto"/>
        </w:rPr>
        <w:t>Director, YWCA of Oahu</w:t>
      </w:r>
    </w:p>
    <w:p>
      <w:pPr>
        <w:spacing w:after="0" w:line="59" w:lineRule="exact"/>
        <w:rPr>
          <w:rFonts w:ascii="Arial" w:cs="Arial" w:eastAsia="Arial" w:hAnsi="Arial"/>
          <w:sz w:val="16"/>
          <w:szCs w:val="16"/>
          <w:color w:val="BF5B5A"/>
        </w:rPr>
      </w:pPr>
    </w:p>
    <w:p>
      <w:pPr>
        <w:ind w:left="540" w:right="180" w:hanging="158"/>
        <w:spacing w:after="0" w:line="304" w:lineRule="auto"/>
        <w:tabs>
          <w:tab w:leader="none" w:pos="540" w:val="left"/>
        </w:tabs>
        <w:numPr>
          <w:ilvl w:val="0"/>
          <w:numId w:val="163"/>
        </w:numPr>
        <w:rPr>
          <w:rFonts w:ascii="Arial" w:cs="Arial" w:eastAsia="Arial" w:hAnsi="Arial"/>
          <w:sz w:val="16"/>
          <w:szCs w:val="16"/>
          <w:color w:val="BF5B5A"/>
        </w:rPr>
      </w:pPr>
      <w:r>
        <w:rPr>
          <w:rFonts w:ascii="Arial" w:cs="Arial" w:eastAsia="Arial" w:hAnsi="Arial"/>
          <w:sz w:val="16"/>
          <w:szCs w:val="16"/>
          <w:color w:val="auto"/>
        </w:rPr>
        <w:t>Member of the Board of Trustees, Le Jardin Academy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BF5B5A"/>
        </w:rPr>
        <w:t>EDUCATION</w:t>
      </w:r>
    </w:p>
    <w:p>
      <w:pPr>
        <w:spacing w:after="0" w:line="73" w:lineRule="exact"/>
        <w:rPr>
          <w:sz w:val="20"/>
          <w:szCs w:val="20"/>
          <w:color w:val="auto"/>
        </w:rPr>
      </w:pPr>
    </w:p>
    <w:p>
      <w:pPr>
        <w:ind w:left="540" w:right="300" w:hanging="158"/>
        <w:spacing w:after="0" w:line="286" w:lineRule="auto"/>
        <w:tabs>
          <w:tab w:leader="none" w:pos="540" w:val="left"/>
        </w:tabs>
        <w:numPr>
          <w:ilvl w:val="0"/>
          <w:numId w:val="164"/>
        </w:numPr>
        <w:rPr>
          <w:rFonts w:ascii="Arial" w:cs="Arial" w:eastAsia="Arial" w:hAnsi="Arial"/>
          <w:sz w:val="16"/>
          <w:szCs w:val="16"/>
          <w:color w:val="BF5B5A"/>
        </w:rPr>
      </w:pPr>
      <w:r>
        <w:rPr>
          <w:rFonts w:ascii="Arial" w:cs="Arial" w:eastAsia="Arial" w:hAnsi="Arial"/>
          <w:sz w:val="16"/>
          <w:szCs w:val="16"/>
          <w:color w:val="auto"/>
        </w:rPr>
        <w:t>Bachelor’s Degree and MBA, University of Hawaii at Manoa</w:t>
      </w:r>
    </w:p>
    <w:p>
      <w:pPr>
        <w:spacing w:after="0" w:line="20" w:lineRule="exact"/>
        <w:rPr>
          <w:rFonts w:ascii="Arial" w:cs="Arial" w:eastAsia="Arial" w:hAnsi="Arial"/>
          <w:sz w:val="16"/>
          <w:szCs w:val="16"/>
          <w:color w:val="BF5B5A"/>
        </w:rPr>
      </w:pPr>
    </w:p>
    <w:p>
      <w:pPr>
        <w:ind w:left="540" w:right="580" w:hanging="158"/>
        <w:spacing w:after="0" w:line="304" w:lineRule="auto"/>
        <w:tabs>
          <w:tab w:leader="none" w:pos="540" w:val="left"/>
        </w:tabs>
        <w:numPr>
          <w:ilvl w:val="0"/>
          <w:numId w:val="164"/>
        </w:numPr>
        <w:rPr>
          <w:rFonts w:ascii="Arial" w:cs="Arial" w:eastAsia="Arial" w:hAnsi="Arial"/>
          <w:sz w:val="16"/>
          <w:szCs w:val="16"/>
          <w:color w:val="BF5B5A"/>
        </w:rPr>
      </w:pPr>
      <w:r>
        <w:rPr>
          <w:rFonts w:ascii="Arial" w:cs="Arial" w:eastAsia="Arial" w:hAnsi="Arial"/>
          <w:sz w:val="16"/>
          <w:szCs w:val="16"/>
          <w:color w:val="auto"/>
        </w:rPr>
        <w:t>Graduate of the Pacific Coast Banking School</w:t>
      </w:r>
    </w:p>
    <w:p>
      <w:pPr>
        <w:spacing w:after="0" w:line="6" w:lineRule="exact"/>
        <w:rPr>
          <w:rFonts w:ascii="Arial" w:cs="Arial" w:eastAsia="Arial" w:hAnsi="Arial"/>
          <w:sz w:val="16"/>
          <w:szCs w:val="16"/>
          <w:color w:val="BF5B5A"/>
        </w:rPr>
      </w:pPr>
    </w:p>
    <w:p>
      <w:pPr>
        <w:ind w:left="540" w:right="660" w:hanging="158"/>
        <w:spacing w:after="0" w:line="304" w:lineRule="auto"/>
        <w:tabs>
          <w:tab w:leader="none" w:pos="540" w:val="left"/>
        </w:tabs>
        <w:numPr>
          <w:ilvl w:val="0"/>
          <w:numId w:val="164"/>
        </w:numPr>
        <w:rPr>
          <w:rFonts w:ascii="Arial" w:cs="Arial" w:eastAsia="Arial" w:hAnsi="Arial"/>
          <w:sz w:val="16"/>
          <w:szCs w:val="16"/>
          <w:color w:val="BF5B5A"/>
        </w:rPr>
      </w:pPr>
      <w:r>
        <w:rPr>
          <w:rFonts w:ascii="Arial" w:cs="Arial" w:eastAsia="Arial" w:hAnsi="Arial"/>
          <w:sz w:val="16"/>
          <w:szCs w:val="16"/>
          <w:color w:val="auto"/>
        </w:rPr>
        <w:t>Graduate of the National Commercial Lending Graduate School</w:t>
      </w:r>
    </w:p>
    <w:p>
      <w:pPr>
        <w:spacing w:after="0" w:line="1018" w:lineRule="exact"/>
        <w:rPr>
          <w:sz w:val="20"/>
          <w:szCs w:val="20"/>
          <w:color w:val="auto"/>
        </w:rPr>
      </w:pPr>
    </w:p>
    <w:p>
      <w:pPr>
        <w:sectPr>
          <w:pgSz w:w="11900" w:h="16838" w:orient="portrait"/>
          <w:cols w:equalWidth="0" w:num="3">
            <w:col w:w="2160" w:space="140"/>
            <w:col w:w="3580" w:space="80"/>
            <w:col w:w="3960"/>
          </w:cols>
          <w:pgMar w:left="580" w:top="97" w:right="1399" w:bottom="1440" w:gutter="0" w:footer="0" w:header="0"/>
          <w:type w:val="continuous"/>
        </w:sectPr>
      </w:pPr>
    </w:p>
    <w:p>
      <w:pPr>
        <w:ind w:left="2720" w:right="4120" w:hanging="158"/>
        <w:spacing w:after="0" w:line="304" w:lineRule="auto"/>
        <w:tabs>
          <w:tab w:leader="none" w:pos="2720" w:val="left"/>
        </w:tabs>
        <w:numPr>
          <w:ilvl w:val="0"/>
          <w:numId w:val="165"/>
        </w:numPr>
        <w:rPr>
          <w:rFonts w:ascii="Arial" w:cs="Arial" w:eastAsia="Arial" w:hAnsi="Arial"/>
          <w:sz w:val="16"/>
          <w:szCs w:val="16"/>
          <w:color w:val="BF5B5A"/>
        </w:rPr>
      </w:pPr>
      <w:r>
        <w:rPr>
          <w:rFonts w:ascii="Arial" w:cs="Arial" w:eastAsia="Arial" w:hAnsi="Arial"/>
          <w:sz w:val="16"/>
          <w:szCs w:val="16"/>
          <w:color w:val="auto"/>
        </w:rPr>
        <w:t>Serves as a member of the Bank’s Senior Management Committee</w:t>
      </w:r>
    </w:p>
    <w:p>
      <w:pPr>
        <w:spacing w:after="0" w:line="6" w:lineRule="exact"/>
        <w:rPr>
          <w:rFonts w:ascii="Arial" w:cs="Arial" w:eastAsia="Arial" w:hAnsi="Arial"/>
          <w:sz w:val="16"/>
          <w:szCs w:val="16"/>
          <w:color w:val="BF5B5A"/>
        </w:rPr>
      </w:pPr>
    </w:p>
    <w:p>
      <w:pPr>
        <w:ind w:left="2720" w:right="4140" w:hanging="158"/>
        <w:spacing w:after="0" w:line="265" w:lineRule="auto"/>
        <w:tabs>
          <w:tab w:leader="none" w:pos="2720" w:val="left"/>
        </w:tabs>
        <w:numPr>
          <w:ilvl w:val="0"/>
          <w:numId w:val="165"/>
        </w:numPr>
        <w:rPr>
          <w:rFonts w:ascii="Arial" w:cs="Arial" w:eastAsia="Arial" w:hAnsi="Arial"/>
          <w:sz w:val="16"/>
          <w:szCs w:val="16"/>
          <w:color w:val="BF5B5A"/>
        </w:rPr>
      </w:pPr>
      <w:r>
        <w:rPr>
          <w:rFonts w:ascii="Arial" w:cs="Arial" w:eastAsia="Arial" w:hAnsi="Arial"/>
          <w:sz w:val="16"/>
          <w:szCs w:val="16"/>
          <w:color w:val="auto"/>
        </w:rPr>
        <w:t>Previously served as Executive Vice President and Division Manager of the Corporate Banking Division from January 2020 to September 2023 and in various management roles from April 2015 to January 2020.</w:t>
      </w:r>
    </w:p>
    <w:p>
      <w:pPr>
        <w:spacing w:after="0" w:line="23" w:lineRule="exact"/>
        <w:rPr>
          <w:rFonts w:ascii="Arial" w:cs="Arial" w:eastAsia="Arial" w:hAnsi="Arial"/>
          <w:sz w:val="16"/>
          <w:szCs w:val="16"/>
          <w:color w:val="BF5B5A"/>
        </w:rPr>
      </w:pPr>
    </w:p>
    <w:p>
      <w:pPr>
        <w:ind w:left="2720" w:hanging="158"/>
        <w:spacing w:after="0"/>
        <w:tabs>
          <w:tab w:leader="none" w:pos="2720" w:val="left"/>
        </w:tabs>
        <w:numPr>
          <w:ilvl w:val="0"/>
          <w:numId w:val="165"/>
        </w:numPr>
        <w:rPr>
          <w:rFonts w:ascii="Arial" w:cs="Arial" w:eastAsia="Arial" w:hAnsi="Arial"/>
          <w:sz w:val="16"/>
          <w:szCs w:val="16"/>
          <w:color w:val="BF5B5A"/>
        </w:rPr>
      </w:pPr>
      <w:r>
        <w:rPr>
          <w:rFonts w:ascii="Arial" w:cs="Arial" w:eastAsia="Arial" w:hAnsi="Arial"/>
          <w:sz w:val="16"/>
          <w:szCs w:val="16"/>
          <w:color w:val="auto"/>
        </w:rPr>
        <w:t>Joined the Bank in 2015</w:t>
      </w:r>
    </w:p>
    <w:p>
      <w:pPr>
        <w:spacing w:after="0" w:line="59"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HANAHAU’OLI SCHOOL</w:t>
      </w:r>
    </w:p>
    <w:p>
      <w:pPr>
        <w:spacing w:after="0" w:line="59" w:lineRule="exact"/>
        <w:rPr>
          <w:sz w:val="20"/>
          <w:szCs w:val="20"/>
          <w:color w:val="auto"/>
        </w:rPr>
      </w:pPr>
    </w:p>
    <w:p>
      <w:pPr>
        <w:ind w:left="2720" w:right="4760" w:hanging="158"/>
        <w:spacing w:after="0" w:line="299" w:lineRule="auto"/>
        <w:tabs>
          <w:tab w:leader="none" w:pos="2720" w:val="left"/>
        </w:tabs>
        <w:numPr>
          <w:ilvl w:val="0"/>
          <w:numId w:val="166"/>
        </w:numPr>
        <w:rPr>
          <w:rFonts w:ascii="Arial" w:cs="Arial" w:eastAsia="Arial" w:hAnsi="Arial"/>
          <w:sz w:val="16"/>
          <w:szCs w:val="16"/>
          <w:color w:val="BF5B5A"/>
        </w:rPr>
      </w:pPr>
      <w:r>
        <w:rPr>
          <w:rFonts w:ascii="Arial" w:cs="Arial" w:eastAsia="Arial" w:hAnsi="Arial"/>
          <w:sz w:val="16"/>
          <w:szCs w:val="16"/>
          <w:color w:val="auto"/>
        </w:rPr>
        <w:t>Director of Finance &amp; Operations (2006 to 2015)</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BANK OF HAWAII</w:t>
      </w:r>
    </w:p>
    <w:p>
      <w:pPr>
        <w:spacing w:after="0" w:line="59" w:lineRule="exact"/>
        <w:rPr>
          <w:sz w:val="20"/>
          <w:szCs w:val="20"/>
          <w:color w:val="auto"/>
        </w:rPr>
      </w:pPr>
    </w:p>
    <w:p>
      <w:pPr>
        <w:ind w:left="2720" w:right="4020" w:hanging="158"/>
        <w:spacing w:after="0" w:line="271" w:lineRule="auto"/>
        <w:tabs>
          <w:tab w:leader="none" w:pos="2720" w:val="left"/>
        </w:tabs>
        <w:numPr>
          <w:ilvl w:val="0"/>
          <w:numId w:val="167"/>
        </w:numPr>
        <w:rPr>
          <w:rFonts w:ascii="Arial" w:cs="Arial" w:eastAsia="Arial" w:hAnsi="Arial"/>
          <w:sz w:val="16"/>
          <w:szCs w:val="16"/>
          <w:color w:val="BF5B5A"/>
        </w:rPr>
      </w:pPr>
      <w:r>
        <w:rPr>
          <w:rFonts w:ascii="Arial" w:cs="Arial" w:eastAsia="Arial" w:hAnsi="Arial"/>
          <w:sz w:val="16"/>
          <w:szCs w:val="16"/>
          <w:color w:val="auto"/>
        </w:rPr>
        <w:t>Senior Vice President and Division Manager, worked in the areas of Corporate Banking, Commercial Real Estate, Commercial Banking and Credit Review (1988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193040</wp:posOffset>
            </wp:positionV>
            <wp:extent cx="58293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7F7F7F"/>
        </w:rPr>
        <w:t>BIOGRAPHIES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214630</wp:posOffset>
            </wp:positionV>
            <wp:extent cx="5829300" cy="8483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351" w:lineRule="exact"/>
        <w:rPr>
          <w:sz w:val="20"/>
          <w:szCs w:val="20"/>
          <w:color w:val="auto"/>
        </w:rPr>
      </w:pPr>
    </w:p>
    <w:p>
      <w:pPr>
        <w:ind w:left="780"/>
        <w:spacing w:after="0"/>
        <w:tabs>
          <w:tab w:leader="none" w:pos="228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000000"/>
          <w:vertAlign w:val="superscript"/>
        </w:rPr>
        <w:t>​​</w:t>
      </w:r>
      <w:r>
        <w:rPr>
          <w:rFonts w:ascii="Arial" w:cs="Arial" w:eastAsia="Arial" w:hAnsi="Arial"/>
          <w:sz w:val="25"/>
          <w:szCs w:val="25"/>
          <w:b w:val="1"/>
          <w:bCs w:val="1"/>
          <w:color w:val="FFFFFF"/>
        </w:rPr>
        <w:t>Neill A. Char</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w:t>
      </w:r>
    </w:p>
    <w:p>
      <w:pPr>
        <w:spacing w:after="0" w:line="3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FFFFFF"/>
        </w:rPr>
        <w:t>Age 52</w:t>
      </w:r>
    </w:p>
    <w:p>
      <w:pPr>
        <w:spacing w:after="0" w:line="57" w:lineRule="exact"/>
        <w:rPr>
          <w:sz w:val="20"/>
          <w:szCs w:val="20"/>
          <w:color w:val="auto"/>
        </w:rPr>
      </w:pPr>
    </w:p>
    <w:p>
      <w:pPr>
        <w:sectPr>
          <w:pgSz w:w="11900" w:h="16838" w:orient="portrait"/>
          <w:cols w:equalWidth="0" w:num="2">
            <w:col w:w="5240" w:space="720"/>
            <w:col w:w="396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Vice Chairman,</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Retail and</w:t>
      </w:r>
    </w:p>
    <w:p>
      <w:pPr>
        <w:spacing w:after="0" w:line="5" w:lineRule="exact"/>
        <w:rPr>
          <w:sz w:val="20"/>
          <w:szCs w:val="20"/>
          <w:color w:val="auto"/>
        </w:rPr>
      </w:pPr>
    </w:p>
    <w:p>
      <w:pPr>
        <w:ind w:left="780"/>
        <w:spacing w:after="0" w:line="293" w:lineRule="auto"/>
        <w:rPr>
          <w:sz w:val="20"/>
          <w:szCs w:val="20"/>
          <w:color w:val="auto"/>
        </w:rPr>
      </w:pPr>
      <w:r>
        <w:rPr>
          <w:rFonts w:ascii="Arial" w:cs="Arial" w:eastAsia="Arial" w:hAnsi="Arial"/>
          <w:sz w:val="16"/>
          <w:szCs w:val="16"/>
          <w:b w:val="1"/>
          <w:bCs w:val="1"/>
          <w:color w:val="auto"/>
        </w:rPr>
        <w:t>Commercial Banking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BF5B5A"/>
        </w:rPr>
        <w:t>BACKGROUND</w:t>
      </w:r>
    </w:p>
    <w:p>
      <w:pPr>
        <w:spacing w:after="0" w:line="73" w:lineRule="exact"/>
        <w:rPr>
          <w:sz w:val="20"/>
          <w:szCs w:val="20"/>
          <w:color w:val="auto"/>
        </w:rPr>
      </w:pPr>
    </w:p>
    <w:p>
      <w:pPr>
        <w:ind w:left="140" w:right="140"/>
        <w:spacing w:after="0" w:line="308" w:lineRule="auto"/>
        <w:rPr>
          <w:sz w:val="20"/>
          <w:szCs w:val="20"/>
          <w:color w:val="auto"/>
        </w:rPr>
      </w:pPr>
      <w:r>
        <w:rPr>
          <w:rFonts w:ascii="Arial" w:cs="Arial" w:eastAsia="Arial" w:hAnsi="Arial"/>
          <w:sz w:val="16"/>
          <w:szCs w:val="16"/>
          <w:b w:val="1"/>
          <w:bCs w:val="1"/>
          <w:color w:val="auto"/>
        </w:rPr>
        <w:t>FIRST HAWAIIAN, INC. AND FIRST HAWAIIAN BANK</w:t>
      </w:r>
    </w:p>
    <w:p>
      <w:pPr>
        <w:ind w:left="380" w:right="300" w:hanging="158"/>
        <w:spacing w:after="0" w:line="304" w:lineRule="auto"/>
        <w:tabs>
          <w:tab w:leader="none" w:pos="380" w:val="left"/>
        </w:tabs>
        <w:numPr>
          <w:ilvl w:val="0"/>
          <w:numId w:val="168"/>
        </w:numPr>
        <w:rPr>
          <w:rFonts w:ascii="Arial" w:cs="Arial" w:eastAsia="Arial" w:hAnsi="Arial"/>
          <w:sz w:val="16"/>
          <w:szCs w:val="16"/>
          <w:color w:val="BF5B5A"/>
        </w:rPr>
      </w:pPr>
      <w:r>
        <w:rPr>
          <w:rFonts w:ascii="Arial" w:cs="Arial" w:eastAsia="Arial" w:hAnsi="Arial"/>
          <w:sz w:val="16"/>
          <w:szCs w:val="16"/>
          <w:color w:val="auto"/>
        </w:rPr>
        <w:t>Vice Chairman, Retail and Commercial Banking Group (2021 to present)</w:t>
      </w:r>
    </w:p>
    <w:p>
      <w:pPr>
        <w:spacing w:after="0" w:line="6" w:lineRule="exact"/>
        <w:rPr>
          <w:rFonts w:ascii="Arial" w:cs="Arial" w:eastAsia="Arial" w:hAnsi="Arial"/>
          <w:sz w:val="16"/>
          <w:szCs w:val="16"/>
          <w:color w:val="BF5B5A"/>
        </w:rPr>
      </w:pPr>
    </w:p>
    <w:p>
      <w:pPr>
        <w:ind w:left="380" w:right="380" w:hanging="158"/>
        <w:spacing w:after="0" w:line="286" w:lineRule="auto"/>
        <w:tabs>
          <w:tab w:leader="none" w:pos="380" w:val="left"/>
        </w:tabs>
        <w:numPr>
          <w:ilvl w:val="0"/>
          <w:numId w:val="168"/>
        </w:numPr>
        <w:rPr>
          <w:rFonts w:ascii="Arial" w:cs="Arial" w:eastAsia="Arial" w:hAnsi="Arial"/>
          <w:sz w:val="16"/>
          <w:szCs w:val="16"/>
          <w:color w:val="BF5B5A"/>
        </w:rPr>
      </w:pPr>
      <w:r>
        <w:rPr>
          <w:rFonts w:ascii="Arial" w:cs="Arial" w:eastAsia="Arial" w:hAnsi="Arial"/>
          <w:sz w:val="16"/>
          <w:szCs w:val="16"/>
          <w:color w:val="auto"/>
        </w:rPr>
        <w:t>Responsible for all areas of the Retail Banking Group, including:</w:t>
      </w:r>
    </w:p>
    <w:p>
      <w:pPr>
        <w:spacing w:after="0" w:line="20" w:lineRule="exact"/>
        <w:rPr>
          <w:rFonts w:ascii="Arial" w:cs="Arial" w:eastAsia="Arial" w:hAnsi="Arial"/>
          <w:sz w:val="16"/>
          <w:szCs w:val="16"/>
          <w:color w:val="BF5B5A"/>
        </w:rPr>
      </w:pPr>
    </w:p>
    <w:p>
      <w:pPr>
        <w:ind w:left="540" w:right="260" w:hanging="162"/>
        <w:spacing w:after="0" w:line="304" w:lineRule="auto"/>
        <w:rPr>
          <w:rFonts w:ascii="Arial" w:cs="Arial" w:eastAsia="Arial" w:hAnsi="Arial"/>
          <w:sz w:val="16"/>
          <w:szCs w:val="16"/>
          <w:color w:val="BF5B5A"/>
        </w:rPr>
      </w:pPr>
      <w:r>
        <w:rPr>
          <w:rFonts w:ascii="Arial" w:cs="Arial" w:eastAsia="Arial" w:hAnsi="Arial"/>
          <w:sz w:val="16"/>
          <w:szCs w:val="16"/>
          <w:color w:val="auto"/>
        </w:rPr>
        <w:t>– Branch network in Hawaii, Guam and Saipan</w:t>
      </w:r>
    </w:p>
    <w:p>
      <w:pPr>
        <w:spacing w:after="0" w:line="6" w:lineRule="exact"/>
        <w:rPr>
          <w:rFonts w:ascii="Arial" w:cs="Arial" w:eastAsia="Arial" w:hAnsi="Arial"/>
          <w:sz w:val="16"/>
          <w:szCs w:val="16"/>
          <w:color w:val="BF5B5A"/>
        </w:rPr>
      </w:pPr>
    </w:p>
    <w:p>
      <w:pPr>
        <w:jc w:val="right"/>
        <w:ind w:left="540" w:right="60" w:hanging="162"/>
        <w:spacing w:after="0" w:line="290" w:lineRule="auto"/>
        <w:rPr>
          <w:rFonts w:ascii="Arial" w:cs="Arial" w:eastAsia="Arial" w:hAnsi="Arial"/>
          <w:sz w:val="16"/>
          <w:szCs w:val="16"/>
          <w:color w:val="BF5B5A"/>
        </w:rPr>
      </w:pPr>
      <w:r>
        <w:rPr>
          <w:rFonts w:ascii="Arial" w:cs="Arial" w:eastAsia="Arial" w:hAnsi="Arial"/>
          <w:sz w:val="16"/>
          <w:szCs w:val="16"/>
          <w:color w:val="auto"/>
        </w:rPr>
        <w:t>– Middle market commercial banking and real estate in Hawaii, Guam and Saipan</w:t>
      </w:r>
    </w:p>
    <w:p>
      <w:pPr>
        <w:ind w:left="380"/>
        <w:spacing w:after="0"/>
        <w:rPr>
          <w:rFonts w:ascii="Arial" w:cs="Arial" w:eastAsia="Arial" w:hAnsi="Arial"/>
          <w:sz w:val="16"/>
          <w:szCs w:val="16"/>
          <w:color w:val="BF5B5A"/>
        </w:rPr>
      </w:pPr>
      <w:r>
        <w:rPr>
          <w:rFonts w:ascii="Arial" w:cs="Arial" w:eastAsia="Arial" w:hAnsi="Arial"/>
          <w:sz w:val="16"/>
          <w:szCs w:val="16"/>
          <w:color w:val="auto"/>
        </w:rPr>
        <w:t>– Commercial Income Property Division</w:t>
      </w:r>
    </w:p>
    <w:p>
      <w:pPr>
        <w:spacing w:after="0" w:line="72" w:lineRule="exact"/>
        <w:rPr>
          <w:rFonts w:ascii="Arial" w:cs="Arial" w:eastAsia="Arial" w:hAnsi="Arial"/>
          <w:sz w:val="16"/>
          <w:szCs w:val="16"/>
          <w:color w:val="BF5B5A"/>
        </w:rPr>
      </w:pPr>
    </w:p>
    <w:p>
      <w:pPr>
        <w:ind w:left="380" w:right="100" w:hanging="158"/>
        <w:spacing w:after="0" w:line="286" w:lineRule="auto"/>
        <w:tabs>
          <w:tab w:leader="none" w:pos="380" w:val="left"/>
        </w:tabs>
        <w:numPr>
          <w:ilvl w:val="0"/>
          <w:numId w:val="168"/>
        </w:numPr>
        <w:rPr>
          <w:rFonts w:ascii="Arial" w:cs="Arial" w:eastAsia="Arial" w:hAnsi="Arial"/>
          <w:sz w:val="16"/>
          <w:szCs w:val="16"/>
          <w:color w:val="BF5B5A"/>
        </w:rPr>
      </w:pPr>
      <w:r>
        <w:rPr>
          <w:rFonts w:ascii="Arial" w:cs="Arial" w:eastAsia="Arial" w:hAnsi="Arial"/>
          <w:sz w:val="16"/>
          <w:szCs w:val="16"/>
          <w:color w:val="auto"/>
        </w:rPr>
        <w:t>Serves as a member of the Bank’s Senior Management Committee</w:t>
      </w:r>
    </w:p>
    <w:p>
      <w:pPr>
        <w:spacing w:after="0" w:line="20" w:lineRule="exact"/>
        <w:rPr>
          <w:rFonts w:ascii="Arial" w:cs="Arial" w:eastAsia="Arial" w:hAnsi="Arial"/>
          <w:sz w:val="16"/>
          <w:szCs w:val="16"/>
          <w:color w:val="BF5B5A"/>
        </w:rPr>
      </w:pPr>
    </w:p>
    <w:p>
      <w:pPr>
        <w:ind w:left="380" w:hanging="158"/>
        <w:spacing w:after="0" w:line="271" w:lineRule="auto"/>
        <w:tabs>
          <w:tab w:leader="none" w:pos="380" w:val="left"/>
        </w:tabs>
        <w:numPr>
          <w:ilvl w:val="0"/>
          <w:numId w:val="168"/>
        </w:numPr>
        <w:rPr>
          <w:rFonts w:ascii="Arial" w:cs="Arial" w:eastAsia="Arial" w:hAnsi="Arial"/>
          <w:sz w:val="16"/>
          <w:szCs w:val="16"/>
          <w:color w:val="BF5B5A"/>
        </w:rPr>
      </w:pPr>
      <w:r>
        <w:rPr>
          <w:rFonts w:ascii="Arial" w:cs="Arial" w:eastAsia="Arial" w:hAnsi="Arial"/>
          <w:sz w:val="16"/>
          <w:szCs w:val="16"/>
          <w:color w:val="auto"/>
        </w:rPr>
        <w:t>Served in executive leadership positions in the areas of Commercial Banking, Private Banking and the Wealth Advisory Division of the Wealth Management Group (2009-2020)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201295</wp:posOffset>
            </wp:positionV>
            <wp:extent cx="58293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415925</wp:posOffset>
            </wp:positionV>
            <wp:extent cx="5829300" cy="8483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940" w:type="dxa"/>
            <w:vAlign w:val="bottom"/>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OTHER ENGAGEMENTS</w:t>
            </w:r>
          </w:p>
        </w:tc>
        <w:tc>
          <w:tcPr>
            <w:tcW w:w="880" w:type="dxa"/>
            <w:vAlign w:val="bottom"/>
          </w:tcPr>
          <w:p>
            <w:pPr>
              <w:ind w:left="840"/>
              <w:spacing w:after="0"/>
              <w:rPr>
                <w:sz w:val="20"/>
                <w:szCs w:val="20"/>
                <w:color w:val="auto"/>
              </w:rPr>
            </w:pPr>
            <w:r>
              <w:rPr>
                <w:rFonts w:ascii="Arial" w:cs="Arial" w:eastAsia="Arial" w:hAnsi="Arial"/>
                <w:sz w:val="16"/>
                <w:szCs w:val="16"/>
                <w:color w:val="auto"/>
              </w:rPr>
              <w:t>​</w:t>
            </w:r>
          </w:p>
        </w:tc>
      </w:tr>
    </w:tbl>
    <w:p>
      <w:pPr>
        <w:spacing w:after="0" w:line="47" w:lineRule="exact"/>
        <w:rPr>
          <w:sz w:val="20"/>
          <w:szCs w:val="20"/>
          <w:color w:val="auto"/>
        </w:rPr>
      </w:pPr>
    </w:p>
    <w:p>
      <w:pPr>
        <w:ind w:left="540" w:right="460" w:hanging="158"/>
        <w:spacing w:after="0" w:line="304" w:lineRule="auto"/>
        <w:tabs>
          <w:tab w:leader="none" w:pos="540" w:val="left"/>
        </w:tabs>
        <w:numPr>
          <w:ilvl w:val="0"/>
          <w:numId w:val="169"/>
        </w:numPr>
        <w:rPr>
          <w:rFonts w:ascii="Arial" w:cs="Arial" w:eastAsia="Arial" w:hAnsi="Arial"/>
          <w:sz w:val="16"/>
          <w:szCs w:val="16"/>
          <w:color w:val="BF5B5A"/>
        </w:rPr>
      </w:pPr>
      <w:r>
        <w:rPr>
          <w:rFonts w:ascii="Arial" w:cs="Arial" w:eastAsia="Arial" w:hAnsi="Arial"/>
          <w:sz w:val="16"/>
          <w:szCs w:val="16"/>
          <w:color w:val="auto"/>
        </w:rPr>
        <w:t>Director of the Rehabilitation Hospital of the Pacific</w:t>
      </w:r>
    </w:p>
    <w:p>
      <w:pPr>
        <w:spacing w:after="0" w:line="6" w:lineRule="exact"/>
        <w:rPr>
          <w:rFonts w:ascii="Arial" w:cs="Arial" w:eastAsia="Arial" w:hAnsi="Arial"/>
          <w:sz w:val="16"/>
          <w:szCs w:val="16"/>
          <w:color w:val="BF5B5A"/>
        </w:rPr>
      </w:pPr>
    </w:p>
    <w:p>
      <w:pPr>
        <w:ind w:left="540" w:right="1120" w:hanging="158"/>
        <w:spacing w:after="0" w:line="286" w:lineRule="auto"/>
        <w:tabs>
          <w:tab w:leader="none" w:pos="540" w:val="left"/>
        </w:tabs>
        <w:numPr>
          <w:ilvl w:val="0"/>
          <w:numId w:val="169"/>
        </w:numPr>
        <w:rPr>
          <w:rFonts w:ascii="Arial" w:cs="Arial" w:eastAsia="Arial" w:hAnsi="Arial"/>
          <w:sz w:val="16"/>
          <w:szCs w:val="16"/>
          <w:color w:val="BF5B5A"/>
        </w:rPr>
      </w:pPr>
      <w:r>
        <w:rPr>
          <w:rFonts w:ascii="Arial" w:cs="Arial" w:eastAsia="Arial" w:hAnsi="Arial"/>
          <w:sz w:val="16"/>
          <w:szCs w:val="16"/>
          <w:color w:val="auto"/>
        </w:rPr>
        <w:t>Director of the Oahu Economic Development Board</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BF5B5A"/>
        </w:rPr>
        <w:t>EDUCATION</w:t>
      </w:r>
    </w:p>
    <w:p>
      <w:pPr>
        <w:spacing w:after="0" w:line="59" w:lineRule="exact"/>
        <w:rPr>
          <w:sz w:val="20"/>
          <w:szCs w:val="20"/>
          <w:color w:val="auto"/>
        </w:rPr>
      </w:pPr>
    </w:p>
    <w:p>
      <w:pPr>
        <w:ind w:left="540" w:right="220" w:hanging="158"/>
        <w:spacing w:after="0" w:line="304" w:lineRule="auto"/>
        <w:tabs>
          <w:tab w:leader="none" w:pos="540" w:val="left"/>
        </w:tabs>
        <w:numPr>
          <w:ilvl w:val="0"/>
          <w:numId w:val="170"/>
        </w:numPr>
        <w:rPr>
          <w:rFonts w:ascii="Arial" w:cs="Arial" w:eastAsia="Arial" w:hAnsi="Arial"/>
          <w:sz w:val="16"/>
          <w:szCs w:val="16"/>
          <w:color w:val="BF5B5A"/>
        </w:rPr>
      </w:pPr>
      <w:r>
        <w:rPr>
          <w:rFonts w:ascii="Arial" w:cs="Arial" w:eastAsia="Arial" w:hAnsi="Arial"/>
          <w:sz w:val="16"/>
          <w:szCs w:val="16"/>
          <w:color w:val="auto"/>
        </w:rPr>
        <w:t>Bachelor’s degree in Finance, University of Hawaii at Manoa</w:t>
      </w:r>
    </w:p>
    <w:p>
      <w:pPr>
        <w:spacing w:after="0" w:line="6" w:lineRule="exact"/>
        <w:rPr>
          <w:rFonts w:ascii="Arial" w:cs="Arial" w:eastAsia="Arial" w:hAnsi="Arial"/>
          <w:sz w:val="16"/>
          <w:szCs w:val="16"/>
          <w:color w:val="BF5B5A"/>
        </w:rPr>
      </w:pPr>
    </w:p>
    <w:p>
      <w:pPr>
        <w:ind w:left="540" w:right="420" w:hanging="158"/>
        <w:spacing w:after="0" w:line="286" w:lineRule="auto"/>
        <w:tabs>
          <w:tab w:leader="none" w:pos="540" w:val="left"/>
        </w:tabs>
        <w:numPr>
          <w:ilvl w:val="0"/>
          <w:numId w:val="170"/>
        </w:numPr>
        <w:rPr>
          <w:rFonts w:ascii="Arial" w:cs="Arial" w:eastAsia="Arial" w:hAnsi="Arial"/>
          <w:sz w:val="16"/>
          <w:szCs w:val="16"/>
          <w:color w:val="BF5B5A"/>
        </w:rPr>
      </w:pPr>
      <w:r>
        <w:rPr>
          <w:rFonts w:ascii="Arial" w:cs="Arial" w:eastAsia="Arial" w:hAnsi="Arial"/>
          <w:sz w:val="16"/>
          <w:szCs w:val="16"/>
          <w:color w:val="auto"/>
        </w:rPr>
        <w:t>Honors Graduate; Pacific Coast Banking School</w:t>
      </w:r>
    </w:p>
    <w:p>
      <w:pPr>
        <w:spacing w:after="0" w:line="7" w:lineRule="exact"/>
        <w:rPr>
          <w:rFonts w:ascii="Arial" w:cs="Arial" w:eastAsia="Arial" w:hAnsi="Arial"/>
          <w:sz w:val="16"/>
          <w:szCs w:val="16"/>
          <w:color w:val="BF5B5A"/>
        </w:rPr>
      </w:pPr>
    </w:p>
    <w:p>
      <w:pPr>
        <w:ind w:left="540" w:hanging="158"/>
        <w:spacing w:after="0"/>
        <w:tabs>
          <w:tab w:leader="none" w:pos="540" w:val="left"/>
        </w:tabs>
        <w:numPr>
          <w:ilvl w:val="0"/>
          <w:numId w:val="170"/>
        </w:numPr>
        <w:rPr>
          <w:rFonts w:ascii="Arial" w:cs="Arial" w:eastAsia="Arial" w:hAnsi="Arial"/>
          <w:sz w:val="16"/>
          <w:szCs w:val="16"/>
          <w:color w:val="BF5B5A"/>
        </w:rPr>
      </w:pPr>
      <w:r>
        <w:rPr>
          <w:rFonts w:ascii="Arial" w:cs="Arial" w:eastAsia="Arial" w:hAnsi="Arial"/>
          <w:sz w:val="16"/>
          <w:szCs w:val="16"/>
          <w:color w:val="auto"/>
        </w:rPr>
        <w:t>Chartered Retirement Planning Counselor</w:t>
      </w:r>
    </w:p>
    <w:p>
      <w:pPr>
        <w:spacing w:after="0" w:line="59" w:lineRule="exact"/>
        <w:rPr>
          <w:rFonts w:ascii="Arial" w:cs="Arial" w:eastAsia="Arial" w:hAnsi="Arial"/>
          <w:sz w:val="16"/>
          <w:szCs w:val="16"/>
          <w:color w:val="BF5B5A"/>
        </w:rPr>
      </w:pPr>
    </w:p>
    <w:p>
      <w:pPr>
        <w:ind w:left="540" w:hanging="158"/>
        <w:spacing w:after="0"/>
        <w:tabs>
          <w:tab w:leader="none" w:pos="540" w:val="left"/>
        </w:tabs>
        <w:numPr>
          <w:ilvl w:val="0"/>
          <w:numId w:val="170"/>
        </w:numPr>
        <w:rPr>
          <w:rFonts w:ascii="Arial" w:cs="Arial" w:eastAsia="Arial" w:hAnsi="Arial"/>
          <w:sz w:val="16"/>
          <w:szCs w:val="16"/>
          <w:color w:val="BF5B5A"/>
        </w:rPr>
      </w:pPr>
      <w:r>
        <w:rPr>
          <w:rFonts w:ascii="Arial" w:cs="Arial" w:eastAsia="Arial" w:hAnsi="Arial"/>
          <w:sz w:val="16"/>
          <w:szCs w:val="16"/>
          <w:color w:val="auto"/>
        </w:rPr>
        <w:t>Life Insurance license (State of Hawaii)</w:t>
      </w:r>
    </w:p>
    <w:p>
      <w:pPr>
        <w:spacing w:after="0" w:line="1441" w:lineRule="exact"/>
        <w:rPr>
          <w:sz w:val="20"/>
          <w:szCs w:val="20"/>
          <w:color w:val="auto"/>
        </w:rPr>
      </w:pPr>
    </w:p>
    <w:p>
      <w:pPr>
        <w:sectPr>
          <w:pgSz w:w="11900" w:h="16838" w:orient="portrait"/>
          <w:cols w:equalWidth="0" w:num="3">
            <w:col w:w="2280" w:space="60"/>
            <w:col w:w="3560" w:space="60"/>
            <w:col w:w="3960"/>
          </w:cols>
          <w:pgMar w:left="580" w:top="97" w:right="139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Vice Chairman</w:t>
      </w:r>
    </w:p>
    <w:p>
      <w:pPr>
        <w:spacing w:after="0" w:line="58"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and Chief</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Operating</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Officer, Digital</w:t>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Banking and</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Marketing</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25"/>
          <w:szCs w:val="25"/>
          <w:b w:val="1"/>
          <w:bCs w:val="1"/>
          <w:color w:val="FFFFFF"/>
        </w:rPr>
        <w:t>Christopher L. Dods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BF5B5A"/>
        </w:rPr>
        <w:t>BACKGROUND</w:t>
      </w:r>
    </w:p>
    <w:p>
      <w:pPr>
        <w:spacing w:after="0" w:line="73" w:lineRule="exact"/>
        <w:rPr>
          <w:sz w:val="20"/>
          <w:szCs w:val="20"/>
          <w:color w:val="auto"/>
        </w:rPr>
      </w:pPr>
    </w:p>
    <w:p>
      <w:pPr>
        <w:ind w:left="180" w:right="140"/>
        <w:spacing w:after="0" w:line="308" w:lineRule="auto"/>
        <w:rPr>
          <w:sz w:val="20"/>
          <w:szCs w:val="20"/>
          <w:color w:val="auto"/>
        </w:rPr>
      </w:pPr>
      <w:r>
        <w:rPr>
          <w:rFonts w:ascii="Arial" w:cs="Arial" w:eastAsia="Arial" w:hAnsi="Arial"/>
          <w:sz w:val="16"/>
          <w:szCs w:val="16"/>
          <w:b w:val="1"/>
          <w:bCs w:val="1"/>
          <w:color w:val="auto"/>
        </w:rPr>
        <w:t>FIRST HAWAIIAN, INC. AND FIRST HAWAIIAN BANK</w:t>
      </w:r>
    </w:p>
    <w:p>
      <w:pPr>
        <w:ind w:left="420" w:hanging="158"/>
        <w:spacing w:after="0" w:line="304"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Vice Chairman and Chief Operating Officer (2021 to present)</w:t>
      </w:r>
    </w:p>
    <w:p>
      <w:pPr>
        <w:spacing w:after="0" w:line="6" w:lineRule="exact"/>
        <w:rPr>
          <w:rFonts w:ascii="Arial" w:cs="Arial" w:eastAsia="Arial" w:hAnsi="Arial"/>
          <w:sz w:val="16"/>
          <w:szCs w:val="16"/>
          <w:color w:val="BF5B5A"/>
        </w:rPr>
      </w:pPr>
    </w:p>
    <w:p>
      <w:pPr>
        <w:ind w:left="420" w:right="100" w:hanging="158"/>
        <w:spacing w:after="0" w:line="286"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Serves as a member of the Bank’s Senior Management Committee</w:t>
      </w:r>
    </w:p>
    <w:p>
      <w:pPr>
        <w:spacing w:after="0" w:line="20" w:lineRule="exact"/>
        <w:rPr>
          <w:rFonts w:ascii="Arial" w:cs="Arial" w:eastAsia="Arial" w:hAnsi="Arial"/>
          <w:sz w:val="16"/>
          <w:szCs w:val="16"/>
          <w:color w:val="BF5B5A"/>
        </w:rPr>
      </w:pPr>
    </w:p>
    <w:p>
      <w:pPr>
        <w:ind w:left="420" w:right="420" w:hanging="158"/>
        <w:spacing w:after="0" w:line="284"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Executive Vice President and Digital Banking &amp; Marketing Group Manager (2020-2021)</w:t>
      </w:r>
    </w:p>
    <w:p>
      <w:pPr>
        <w:spacing w:after="0" w:line="21" w:lineRule="exact"/>
        <w:rPr>
          <w:rFonts w:ascii="Arial" w:cs="Arial" w:eastAsia="Arial" w:hAnsi="Arial"/>
          <w:sz w:val="16"/>
          <w:szCs w:val="16"/>
          <w:color w:val="BF5B5A"/>
        </w:rPr>
      </w:pPr>
    </w:p>
    <w:p>
      <w:pPr>
        <w:ind w:left="420" w:right="180" w:hanging="158"/>
        <w:spacing w:after="0" w:line="275"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Executive Vice President and Consumer Banking &amp; Marketing Group Manager (2017-2020)</w:t>
      </w:r>
    </w:p>
    <w:p>
      <w:pPr>
        <w:spacing w:after="0" w:line="29" w:lineRule="exact"/>
        <w:rPr>
          <w:rFonts w:ascii="Arial" w:cs="Arial" w:eastAsia="Arial" w:hAnsi="Arial"/>
          <w:sz w:val="16"/>
          <w:szCs w:val="16"/>
          <w:color w:val="BF5B5A"/>
        </w:rPr>
      </w:pPr>
    </w:p>
    <w:p>
      <w:pPr>
        <w:ind w:left="420" w:right="100" w:hanging="158"/>
        <w:spacing w:after="0" w:line="275"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Executive Vice President and Marketing Communications Division Manager (2014-2017)</w:t>
      </w:r>
    </w:p>
    <w:p>
      <w:pPr>
        <w:spacing w:after="0" w:line="29" w:lineRule="exact"/>
        <w:rPr>
          <w:rFonts w:ascii="Arial" w:cs="Arial" w:eastAsia="Arial" w:hAnsi="Arial"/>
          <w:sz w:val="16"/>
          <w:szCs w:val="16"/>
          <w:color w:val="BF5B5A"/>
        </w:rPr>
      </w:pPr>
    </w:p>
    <w:p>
      <w:pPr>
        <w:ind w:left="420" w:right="140" w:hanging="158"/>
        <w:spacing w:after="0" w:line="299" w:lineRule="auto"/>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Senior Vice President and Card Services Division Manager (2012-2014)</w:t>
      </w:r>
    </w:p>
    <w:p>
      <w:pPr>
        <w:ind w:left="420" w:hanging="158"/>
        <w:spacing w:after="0"/>
        <w:tabs>
          <w:tab w:leader="none" w:pos="420" w:val="left"/>
        </w:tabs>
        <w:numPr>
          <w:ilvl w:val="0"/>
          <w:numId w:val="171"/>
        </w:numPr>
        <w:rPr>
          <w:rFonts w:ascii="Arial" w:cs="Arial" w:eastAsia="Arial" w:hAnsi="Arial"/>
          <w:sz w:val="16"/>
          <w:szCs w:val="16"/>
          <w:color w:val="BF5B5A"/>
        </w:rPr>
      </w:pPr>
      <w:r>
        <w:rPr>
          <w:rFonts w:ascii="Arial" w:cs="Arial" w:eastAsia="Arial" w:hAnsi="Arial"/>
          <w:sz w:val="16"/>
          <w:szCs w:val="16"/>
          <w:color w:val="auto"/>
        </w:rPr>
        <w:t>Joined the Bank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89535</wp:posOffset>
            </wp:positionV>
            <wp:extent cx="58293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80" w:type="dxa"/>
            <w:vAlign w:val="bottom"/>
          </w:tcPr>
          <w:p>
            <w:pPr>
              <w:spacing w:after="0"/>
              <w:rPr>
                <w:sz w:val="20"/>
                <w:szCs w:val="20"/>
                <w:color w:val="auto"/>
              </w:rPr>
            </w:pPr>
            <w:r>
              <w:rPr>
                <w:rFonts w:ascii="Arial" w:cs="Arial" w:eastAsia="Arial" w:hAnsi="Arial"/>
                <w:sz w:val="16"/>
                <w:szCs w:val="16"/>
                <w:b w:val="1"/>
                <w:bCs w:val="1"/>
                <w:color w:val="auto"/>
              </w:rPr>
              <w:t>​ ​</w:t>
            </w:r>
          </w:p>
        </w:tc>
        <w:tc>
          <w:tcPr>
            <w:tcW w:w="2460" w:type="dxa"/>
            <w:vAlign w:val="bottom"/>
          </w:tcPr>
          <w:p>
            <w:pPr>
              <w:spacing w:after="0"/>
              <w:rPr>
                <w:sz w:val="17"/>
                <w:szCs w:val="17"/>
                <w:color w:val="auto"/>
              </w:rPr>
            </w:pPr>
          </w:p>
        </w:tc>
        <w:tc>
          <w:tcPr>
            <w:tcW w:w="1180" w:type="dxa"/>
            <w:vAlign w:val="bottom"/>
          </w:tcPr>
          <w:p>
            <w:pPr>
              <w:ind w:left="1140"/>
              <w:spacing w:after="0"/>
              <w:rPr>
                <w:sz w:val="20"/>
                <w:szCs w:val="20"/>
                <w:color w:val="auto"/>
              </w:rPr>
            </w:pPr>
            <w:r>
              <w:rPr>
                <w:rFonts w:ascii="Arial" w:cs="Arial" w:eastAsia="Arial" w:hAnsi="Arial"/>
                <w:sz w:val="16"/>
                <w:szCs w:val="16"/>
                <w:b w:val="1"/>
                <w:bCs w:val="1"/>
                <w:color w:val="auto"/>
              </w:rPr>
              <w:t>​</w:t>
            </w:r>
          </w:p>
        </w:tc>
      </w:tr>
      <w:tr>
        <w:trPr>
          <w:trHeight w:val="223"/>
        </w:trPr>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Arial" w:cs="Arial" w:eastAsia="Arial" w:hAnsi="Arial"/>
                <w:sz w:val="16"/>
                <w:szCs w:val="16"/>
                <w:b w:val="1"/>
                <w:bCs w:val="1"/>
                <w:color w:val="FFFFFF"/>
                <w:w w:val="99"/>
              </w:rPr>
              <w:t>Age 49</w:t>
            </w:r>
          </w:p>
        </w:tc>
      </w:tr>
      <w:tr>
        <w:trPr>
          <w:trHeight w:val="284"/>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b w:val="1"/>
                <w:bCs w:val="1"/>
                <w:color w:val="BF5B5A"/>
              </w:rPr>
              <w:t>OTHER ENGAGEMENTS</w:t>
            </w:r>
          </w:p>
        </w:tc>
        <w:tc>
          <w:tcPr>
            <w:tcW w:w="1180" w:type="dxa"/>
            <w:vAlign w:val="bottom"/>
          </w:tcPr>
          <w:p>
            <w:pPr>
              <w:ind w:left="1140"/>
              <w:spacing w:after="0"/>
              <w:rPr>
                <w:sz w:val="20"/>
                <w:szCs w:val="20"/>
                <w:color w:val="auto"/>
              </w:rPr>
            </w:pPr>
            <w:r>
              <w:rPr>
                <w:rFonts w:ascii="Arial" w:cs="Arial" w:eastAsia="Arial" w:hAnsi="Arial"/>
                <w:sz w:val="16"/>
                <w:szCs w:val="16"/>
                <w:color w:val="auto"/>
              </w:rPr>
              <w:t>​</w:t>
            </w:r>
          </w:p>
        </w:tc>
      </w:tr>
    </w:tbl>
    <w:p>
      <w:pPr>
        <w:spacing w:after="0" w:line="47" w:lineRule="exact"/>
        <w:rPr>
          <w:sz w:val="20"/>
          <w:szCs w:val="20"/>
          <w:color w:val="auto"/>
        </w:rPr>
      </w:pPr>
    </w:p>
    <w:p>
      <w:pPr>
        <w:ind w:left="540" w:right="600" w:hanging="158"/>
        <w:spacing w:after="0" w:line="304" w:lineRule="auto"/>
        <w:tabs>
          <w:tab w:leader="none" w:pos="540" w:val="left"/>
        </w:tabs>
        <w:numPr>
          <w:ilvl w:val="0"/>
          <w:numId w:val="172"/>
        </w:numPr>
        <w:rPr>
          <w:rFonts w:ascii="Arial" w:cs="Arial" w:eastAsia="Arial" w:hAnsi="Arial"/>
          <w:sz w:val="16"/>
          <w:szCs w:val="16"/>
          <w:color w:val="BF5B5A"/>
        </w:rPr>
      </w:pPr>
      <w:r>
        <w:rPr>
          <w:rFonts w:ascii="Arial" w:cs="Arial" w:eastAsia="Arial" w:hAnsi="Arial"/>
          <w:sz w:val="16"/>
          <w:szCs w:val="16"/>
          <w:color w:val="auto"/>
        </w:rPr>
        <w:t>Member of the Board of Trustees, Mid Pacific Institute</w:t>
      </w:r>
    </w:p>
    <w:p>
      <w:pPr>
        <w:spacing w:after="0" w:line="6" w:lineRule="exact"/>
        <w:rPr>
          <w:rFonts w:ascii="Arial" w:cs="Arial" w:eastAsia="Arial" w:hAnsi="Arial"/>
          <w:sz w:val="16"/>
          <w:szCs w:val="16"/>
          <w:color w:val="BF5B5A"/>
        </w:rPr>
      </w:pPr>
    </w:p>
    <w:p>
      <w:pPr>
        <w:ind w:left="540" w:right="600" w:hanging="158"/>
        <w:spacing w:after="0" w:line="286" w:lineRule="auto"/>
        <w:tabs>
          <w:tab w:leader="none" w:pos="540" w:val="left"/>
        </w:tabs>
        <w:numPr>
          <w:ilvl w:val="0"/>
          <w:numId w:val="172"/>
        </w:numPr>
        <w:rPr>
          <w:rFonts w:ascii="Arial" w:cs="Arial" w:eastAsia="Arial" w:hAnsi="Arial"/>
          <w:sz w:val="16"/>
          <w:szCs w:val="16"/>
          <w:color w:val="BF5B5A"/>
        </w:rPr>
      </w:pPr>
      <w:r>
        <w:rPr>
          <w:rFonts w:ascii="Arial" w:cs="Arial" w:eastAsia="Arial" w:hAnsi="Arial"/>
          <w:sz w:val="16"/>
          <w:szCs w:val="16"/>
          <w:color w:val="auto"/>
        </w:rPr>
        <w:t>Member of the Advisory Board of First Insurance Hawaii</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BF5B5A"/>
        </w:rPr>
        <w:t>EDUCATION</w:t>
      </w:r>
    </w:p>
    <w:p>
      <w:pPr>
        <w:spacing w:after="0" w:line="59" w:lineRule="exact"/>
        <w:rPr>
          <w:sz w:val="20"/>
          <w:szCs w:val="20"/>
          <w:color w:val="auto"/>
        </w:rPr>
      </w:pPr>
    </w:p>
    <w:p>
      <w:pPr>
        <w:ind w:left="540" w:right="540" w:hanging="158"/>
        <w:spacing w:after="0" w:line="304" w:lineRule="auto"/>
        <w:tabs>
          <w:tab w:leader="none" w:pos="540" w:val="left"/>
        </w:tabs>
        <w:numPr>
          <w:ilvl w:val="0"/>
          <w:numId w:val="173"/>
        </w:numPr>
        <w:rPr>
          <w:rFonts w:ascii="Arial" w:cs="Arial" w:eastAsia="Arial" w:hAnsi="Arial"/>
          <w:sz w:val="16"/>
          <w:szCs w:val="16"/>
          <w:color w:val="BF5B5A"/>
        </w:rPr>
      </w:pPr>
      <w:r>
        <w:rPr>
          <w:rFonts w:ascii="Arial" w:cs="Arial" w:eastAsia="Arial" w:hAnsi="Arial"/>
          <w:sz w:val="16"/>
          <w:szCs w:val="16"/>
          <w:color w:val="auto"/>
        </w:rPr>
        <w:t>M.B.A., University of California – Davis, Graduate School of Management</w:t>
      </w:r>
    </w:p>
    <w:p>
      <w:pPr>
        <w:spacing w:after="0" w:line="6" w:lineRule="exact"/>
        <w:rPr>
          <w:rFonts w:ascii="Arial" w:cs="Arial" w:eastAsia="Arial" w:hAnsi="Arial"/>
          <w:sz w:val="16"/>
          <w:szCs w:val="16"/>
          <w:color w:val="BF5B5A"/>
        </w:rPr>
      </w:pPr>
    </w:p>
    <w:p>
      <w:pPr>
        <w:ind w:left="540" w:right="260" w:hanging="158"/>
        <w:spacing w:after="0" w:line="286" w:lineRule="auto"/>
        <w:tabs>
          <w:tab w:leader="none" w:pos="540" w:val="left"/>
        </w:tabs>
        <w:numPr>
          <w:ilvl w:val="0"/>
          <w:numId w:val="173"/>
        </w:numPr>
        <w:rPr>
          <w:rFonts w:ascii="Arial" w:cs="Arial" w:eastAsia="Arial" w:hAnsi="Arial"/>
          <w:sz w:val="16"/>
          <w:szCs w:val="16"/>
          <w:color w:val="BF5B5A"/>
        </w:rPr>
      </w:pPr>
      <w:r>
        <w:rPr>
          <w:rFonts w:ascii="Arial" w:cs="Arial" w:eastAsia="Arial" w:hAnsi="Arial"/>
          <w:sz w:val="16"/>
          <w:szCs w:val="16"/>
          <w:color w:val="auto"/>
        </w:rPr>
        <w:t>Bachelor of Arts, Trinity College – Hartford, Connecticut</w:t>
      </w:r>
    </w:p>
    <w:p>
      <w:pPr>
        <w:spacing w:after="0" w:line="20" w:lineRule="exact"/>
        <w:rPr>
          <w:rFonts w:ascii="Arial" w:cs="Arial" w:eastAsia="Arial" w:hAnsi="Arial"/>
          <w:sz w:val="16"/>
          <w:szCs w:val="16"/>
          <w:color w:val="BF5B5A"/>
        </w:rPr>
      </w:pPr>
    </w:p>
    <w:p>
      <w:pPr>
        <w:ind w:left="540" w:right="580" w:hanging="158"/>
        <w:spacing w:after="0" w:line="304" w:lineRule="auto"/>
        <w:tabs>
          <w:tab w:leader="none" w:pos="540" w:val="left"/>
        </w:tabs>
        <w:numPr>
          <w:ilvl w:val="0"/>
          <w:numId w:val="173"/>
        </w:numPr>
        <w:rPr>
          <w:rFonts w:ascii="Arial" w:cs="Arial" w:eastAsia="Arial" w:hAnsi="Arial"/>
          <w:sz w:val="16"/>
          <w:szCs w:val="16"/>
          <w:color w:val="BF5B5A"/>
        </w:rPr>
      </w:pPr>
      <w:r>
        <w:rPr>
          <w:rFonts w:ascii="Arial" w:cs="Arial" w:eastAsia="Arial" w:hAnsi="Arial"/>
          <w:sz w:val="16"/>
          <w:szCs w:val="16"/>
          <w:color w:val="auto"/>
        </w:rPr>
        <w:t>Graduate of the Pacific Coast Banking School</w:t>
      </w:r>
    </w:p>
    <w:p>
      <w:pPr>
        <w:spacing w:after="0" w:line="1564" w:lineRule="exact"/>
        <w:rPr>
          <w:sz w:val="20"/>
          <w:szCs w:val="20"/>
          <w:color w:val="auto"/>
        </w:rPr>
      </w:pPr>
    </w:p>
    <w:p>
      <w:pPr>
        <w:sectPr>
          <w:pgSz w:w="11900" w:h="16838" w:orient="portrait"/>
          <w:cols w:equalWidth="0" w:num="3">
            <w:col w:w="1820" w:space="480"/>
            <w:col w:w="3600" w:space="60"/>
            <w:col w:w="396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85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5760"/>
        <w:spacing w:after="0"/>
        <w:rPr>
          <w:sz w:val="20"/>
          <w:szCs w:val="20"/>
          <w:color w:val="auto"/>
        </w:rPr>
      </w:pPr>
      <w:r>
        <w:rPr>
          <w:rFonts w:ascii="Arial" w:cs="Arial" w:eastAsia="Arial" w:hAnsi="Arial"/>
          <w:sz w:val="18"/>
          <w:szCs w:val="18"/>
          <w:b w:val="1"/>
          <w:bCs w:val="1"/>
          <w:color w:val="7F7F7F"/>
        </w:rPr>
        <w:t>BIOGRAPHIES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214630</wp:posOffset>
            </wp:positionV>
            <wp:extent cx="5829300" cy="8483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351"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Vice Chairman and</w:t>
      </w:r>
    </w:p>
    <w:p>
      <w:pPr>
        <w:spacing w:after="0" w:line="4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Chief</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Financial Officer,</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Finance Group</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25"/>
          <w:szCs w:val="25"/>
          <w:b w:val="1"/>
          <w:bCs w:val="1"/>
          <w:color w:val="FFFFFF"/>
        </w:rPr>
        <w:t>James M. Moses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BF5B5A"/>
        </w:rPr>
        <w:t>BACKGROUND</w:t>
      </w:r>
    </w:p>
    <w:p>
      <w:pPr>
        <w:spacing w:after="0" w:line="73" w:lineRule="exact"/>
        <w:rPr>
          <w:sz w:val="20"/>
          <w:szCs w:val="20"/>
          <w:color w:val="auto"/>
        </w:rPr>
      </w:pPr>
    </w:p>
    <w:p>
      <w:pPr>
        <w:ind w:left="180" w:right="120"/>
        <w:spacing w:after="0" w:line="308" w:lineRule="auto"/>
        <w:rPr>
          <w:sz w:val="20"/>
          <w:szCs w:val="20"/>
          <w:color w:val="auto"/>
        </w:rPr>
      </w:pPr>
      <w:r>
        <w:rPr>
          <w:rFonts w:ascii="Arial" w:cs="Arial" w:eastAsia="Arial" w:hAnsi="Arial"/>
          <w:sz w:val="16"/>
          <w:szCs w:val="16"/>
          <w:b w:val="1"/>
          <w:bCs w:val="1"/>
          <w:color w:val="auto"/>
        </w:rPr>
        <w:t>FIRST HAWAIIAN, INC. AND FIRST HAWAIIAN BANK</w:t>
      </w:r>
    </w:p>
    <w:p>
      <w:pPr>
        <w:ind w:left="420" w:hanging="158"/>
        <w:spacing w:after="0" w:line="299" w:lineRule="auto"/>
        <w:tabs>
          <w:tab w:leader="none" w:pos="420" w:val="left"/>
        </w:tabs>
        <w:numPr>
          <w:ilvl w:val="0"/>
          <w:numId w:val="174"/>
        </w:numPr>
        <w:rPr>
          <w:rFonts w:ascii="Arial" w:cs="Arial" w:eastAsia="Arial" w:hAnsi="Arial"/>
          <w:sz w:val="16"/>
          <w:szCs w:val="16"/>
          <w:color w:val="BF5B5A"/>
        </w:rPr>
      </w:pPr>
      <w:r>
        <w:rPr>
          <w:rFonts w:ascii="Arial" w:cs="Arial" w:eastAsia="Arial" w:hAnsi="Arial"/>
          <w:sz w:val="16"/>
          <w:szCs w:val="16"/>
          <w:color w:val="auto"/>
        </w:rPr>
        <w:t>Vice Chairman and Chief Financial Officer, Finance Group (January 2023 to present)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FIRST BANK, St. Louis, Missouri</w:t>
      </w:r>
    </w:p>
    <w:p>
      <w:pPr>
        <w:spacing w:after="0" w:line="59" w:lineRule="exact"/>
        <w:rPr>
          <w:sz w:val="20"/>
          <w:szCs w:val="20"/>
          <w:color w:val="auto"/>
        </w:rPr>
      </w:pPr>
    </w:p>
    <w:p>
      <w:pPr>
        <w:ind w:left="420" w:right="540" w:hanging="158"/>
        <w:spacing w:after="0" w:line="275" w:lineRule="auto"/>
        <w:tabs>
          <w:tab w:leader="none" w:pos="420" w:val="left"/>
        </w:tabs>
        <w:numPr>
          <w:ilvl w:val="0"/>
          <w:numId w:val="175"/>
        </w:numPr>
        <w:rPr>
          <w:rFonts w:ascii="Arial" w:cs="Arial" w:eastAsia="Arial" w:hAnsi="Arial"/>
          <w:sz w:val="16"/>
          <w:szCs w:val="16"/>
          <w:color w:val="BF5B5A"/>
        </w:rPr>
      </w:pPr>
      <w:r>
        <w:rPr>
          <w:rFonts w:ascii="Arial" w:cs="Arial" w:eastAsia="Arial" w:hAnsi="Arial"/>
          <w:sz w:val="16"/>
          <w:szCs w:val="16"/>
          <w:color w:val="auto"/>
        </w:rPr>
        <w:t>Executive Vice President and Chief Financial Officer (March 2021-September 2022)</w:t>
      </w:r>
    </w:p>
    <w:p>
      <w:pPr>
        <w:spacing w:after="0" w:line="29" w:lineRule="exact"/>
        <w:rPr>
          <w:sz w:val="20"/>
          <w:szCs w:val="20"/>
          <w:color w:val="auto"/>
        </w:rPr>
      </w:pPr>
    </w:p>
    <w:p>
      <w:pPr>
        <w:ind w:left="180" w:right="120"/>
        <w:spacing w:after="0" w:line="328" w:lineRule="auto"/>
        <w:rPr>
          <w:sz w:val="20"/>
          <w:szCs w:val="20"/>
          <w:color w:val="auto"/>
        </w:rPr>
      </w:pPr>
      <w:r>
        <w:rPr>
          <w:rFonts w:ascii="Arial" w:cs="Arial" w:eastAsia="Arial" w:hAnsi="Arial"/>
          <w:sz w:val="15"/>
          <w:szCs w:val="15"/>
          <w:b w:val="1"/>
          <w:bCs w:val="1"/>
          <w:color w:val="auto"/>
        </w:rPr>
        <w:t>BERKSHIRE HILLS BANCORP, INC. BERKSHIRE BANK, Boston, Massachusetts</w:t>
      </w:r>
    </w:p>
    <w:p>
      <w:pPr>
        <w:spacing w:after="0" w:line="1" w:lineRule="exact"/>
        <w:rPr>
          <w:sz w:val="20"/>
          <w:szCs w:val="20"/>
          <w:color w:val="auto"/>
        </w:rPr>
      </w:pPr>
    </w:p>
    <w:p>
      <w:pPr>
        <w:ind w:left="420" w:right="140" w:hanging="158"/>
        <w:spacing w:after="0" w:line="286" w:lineRule="auto"/>
        <w:tabs>
          <w:tab w:leader="none" w:pos="420" w:val="left"/>
        </w:tabs>
        <w:numPr>
          <w:ilvl w:val="0"/>
          <w:numId w:val="176"/>
        </w:numPr>
        <w:rPr>
          <w:rFonts w:ascii="Arial" w:cs="Arial" w:eastAsia="Arial" w:hAnsi="Arial"/>
          <w:sz w:val="16"/>
          <w:szCs w:val="16"/>
          <w:color w:val="BF5B5A"/>
        </w:rPr>
      </w:pPr>
      <w:r>
        <w:rPr>
          <w:rFonts w:ascii="Arial" w:cs="Arial" w:eastAsia="Arial" w:hAnsi="Arial"/>
          <w:sz w:val="16"/>
          <w:szCs w:val="16"/>
          <w:color w:val="auto"/>
        </w:rPr>
        <w:t>Executive Vice President and Chief Financial Officer (July 2016-March 2021)</w:t>
      </w:r>
    </w:p>
    <w:p>
      <w:pPr>
        <w:spacing w:after="0" w:line="21" w:lineRule="exact"/>
        <w:rPr>
          <w:sz w:val="20"/>
          <w:szCs w:val="20"/>
          <w:color w:val="auto"/>
        </w:rPr>
      </w:pPr>
    </w:p>
    <w:p>
      <w:pPr>
        <w:ind w:left="180" w:right="260"/>
        <w:spacing w:after="0" w:line="289" w:lineRule="auto"/>
        <w:rPr>
          <w:sz w:val="20"/>
          <w:szCs w:val="20"/>
          <w:color w:val="auto"/>
        </w:rPr>
      </w:pPr>
      <w:r>
        <w:rPr>
          <w:rFonts w:ascii="Arial" w:cs="Arial" w:eastAsia="Arial" w:hAnsi="Arial"/>
          <w:sz w:val="16"/>
          <w:szCs w:val="16"/>
          <w:b w:val="1"/>
          <w:bCs w:val="1"/>
          <w:color w:val="auto"/>
        </w:rPr>
        <w:t>WEBSTER BANK, Waterbury, Connecticut Senior Vice President—Manager, Asset Liability Management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w:t>
      </w:r>
    </w:p>
    <w:p>
      <w:pPr>
        <w:spacing w:after="0" w:line="3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FFFFFF"/>
        </w:rPr>
        <w:t>Age 47</w:t>
      </w:r>
    </w:p>
    <w:p>
      <w:pPr>
        <w:spacing w:after="0" w:line="57"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EDUCATION</w:t>
      </w:r>
      <w:r>
        <w:rPr>
          <w:sz w:val="20"/>
          <w:szCs w:val="20"/>
          <w:color w:val="auto"/>
        </w:rPr>
        <w:tab/>
      </w:r>
      <w:r>
        <w:rPr>
          <w:rFonts w:ascii="Arial" w:cs="Arial" w:eastAsia="Arial" w:hAnsi="Arial"/>
          <w:sz w:val="16"/>
          <w:szCs w:val="16"/>
          <w:color w:val="auto"/>
        </w:rPr>
        <w:t>​</w:t>
      </w:r>
    </w:p>
    <w:p>
      <w:pPr>
        <w:spacing w:after="0" w:line="73" w:lineRule="exact"/>
        <w:rPr>
          <w:sz w:val="20"/>
          <w:szCs w:val="20"/>
          <w:color w:val="auto"/>
        </w:rPr>
      </w:pPr>
    </w:p>
    <w:p>
      <w:pPr>
        <w:ind w:left="540" w:right="480" w:hanging="158"/>
        <w:spacing w:after="0" w:line="284" w:lineRule="auto"/>
        <w:tabs>
          <w:tab w:leader="none" w:pos="540" w:val="left"/>
        </w:tabs>
        <w:numPr>
          <w:ilvl w:val="0"/>
          <w:numId w:val="177"/>
        </w:numPr>
        <w:rPr>
          <w:rFonts w:ascii="Arial" w:cs="Arial" w:eastAsia="Arial" w:hAnsi="Arial"/>
          <w:sz w:val="16"/>
          <w:szCs w:val="16"/>
          <w:color w:val="BF5B5A"/>
        </w:rPr>
      </w:pPr>
      <w:r>
        <w:rPr>
          <w:rFonts w:ascii="Arial" w:cs="Arial" w:eastAsia="Arial" w:hAnsi="Arial"/>
          <w:sz w:val="16"/>
          <w:szCs w:val="16"/>
          <w:color w:val="auto"/>
        </w:rPr>
        <w:t>M.B.A., Managerial Finance Immersion, Cornell University, Johnson Graduate School of Management</w:t>
      </w:r>
    </w:p>
    <w:p>
      <w:pPr>
        <w:spacing w:after="0" w:line="21" w:lineRule="exact"/>
        <w:rPr>
          <w:rFonts w:ascii="Arial" w:cs="Arial" w:eastAsia="Arial" w:hAnsi="Arial"/>
          <w:sz w:val="16"/>
          <w:szCs w:val="16"/>
          <w:color w:val="BF5B5A"/>
        </w:rPr>
      </w:pPr>
    </w:p>
    <w:p>
      <w:pPr>
        <w:ind w:left="540" w:right="500" w:hanging="158"/>
        <w:spacing w:after="0" w:line="263" w:lineRule="auto"/>
        <w:tabs>
          <w:tab w:leader="none" w:pos="540" w:val="left"/>
        </w:tabs>
        <w:numPr>
          <w:ilvl w:val="0"/>
          <w:numId w:val="177"/>
        </w:numPr>
        <w:rPr>
          <w:rFonts w:ascii="Arial" w:cs="Arial" w:eastAsia="Arial" w:hAnsi="Arial"/>
          <w:sz w:val="16"/>
          <w:szCs w:val="16"/>
          <w:color w:val="BF5B5A"/>
        </w:rPr>
      </w:pPr>
      <w:r>
        <w:rPr>
          <w:rFonts w:ascii="Arial" w:cs="Arial" w:eastAsia="Arial" w:hAnsi="Arial"/>
          <w:sz w:val="16"/>
          <w:szCs w:val="16"/>
          <w:color w:val="auto"/>
        </w:rPr>
        <w:t>Bachelor of Science degree in Finance, St. Bonaventure University,</w:t>
      </w:r>
    </w:p>
    <w:p>
      <w:pPr>
        <w:ind w:left="540"/>
        <w:spacing w:after="0"/>
        <w:rPr>
          <w:rFonts w:ascii="Arial" w:cs="Arial" w:eastAsia="Arial" w:hAnsi="Arial"/>
          <w:sz w:val="16"/>
          <w:szCs w:val="16"/>
          <w:color w:val="BF5B5A"/>
        </w:rPr>
      </w:pPr>
      <w:r>
        <w:rPr>
          <w:rFonts w:ascii="Arial" w:cs="Arial" w:eastAsia="Arial" w:hAnsi="Arial"/>
          <w:sz w:val="16"/>
          <w:szCs w:val="16"/>
          <w:color w:val="auto"/>
        </w:rPr>
        <w:t>St. Bonaventure, New York</w:t>
      </w:r>
    </w:p>
    <w:p>
      <w:pPr>
        <w:spacing w:after="0" w:line="2179" w:lineRule="exact"/>
        <w:rPr>
          <w:sz w:val="20"/>
          <w:szCs w:val="20"/>
          <w:color w:val="auto"/>
        </w:rPr>
      </w:pPr>
    </w:p>
    <w:p>
      <w:pPr>
        <w:sectPr>
          <w:pgSz w:w="11900" w:h="16838" w:orient="portrait"/>
          <w:cols w:equalWidth="0" w:num="3">
            <w:col w:w="2200" w:space="100"/>
            <w:col w:w="3580" w:space="80"/>
            <w:col w:w="3960"/>
          </w:cols>
          <w:pgMar w:left="580" w:top="97" w:right="1399" w:bottom="1440" w:gutter="0" w:footer="0" w:header="0"/>
          <w:type w:val="continuous"/>
        </w:sectPr>
      </w:pPr>
    </w:p>
    <w:p>
      <w:pPr>
        <w:ind w:left="2720" w:right="4480" w:hanging="158"/>
        <w:spacing w:after="0" w:line="286" w:lineRule="auto"/>
        <w:tabs>
          <w:tab w:leader="none" w:pos="2720" w:val="left"/>
        </w:tabs>
        <w:numPr>
          <w:ilvl w:val="0"/>
          <w:numId w:val="178"/>
        </w:numPr>
        <w:rPr>
          <w:rFonts w:ascii="Arial" w:cs="Arial" w:eastAsia="Arial" w:hAnsi="Arial"/>
          <w:sz w:val="16"/>
          <w:szCs w:val="16"/>
          <w:color w:val="BF5B5A"/>
        </w:rPr>
      </w:pPr>
      <w:r>
        <w:rPr>
          <w:rFonts w:ascii="Arial" w:cs="Arial" w:eastAsia="Arial" w:hAnsi="Arial"/>
          <w:sz w:val="16"/>
          <w:szCs w:val="16"/>
          <w:color w:val="auto"/>
        </w:rPr>
        <w:t>Managed all aspects of asset liability management (2011-2016)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64770</wp:posOffset>
            </wp:positionV>
            <wp:extent cx="58293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279400</wp:posOffset>
            </wp:positionV>
            <wp:extent cx="5829300" cy="8483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829300" cy="84836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Executive Vice</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President and Chief</w:t>
      </w:r>
    </w:p>
    <w:p>
      <w:pPr>
        <w:spacing w:after="0" w:line="17" w:lineRule="exact"/>
        <w:rPr>
          <w:sz w:val="20"/>
          <w:szCs w:val="20"/>
          <w:color w:val="auto"/>
        </w:rPr>
      </w:pPr>
    </w:p>
    <w:p>
      <w:pPr>
        <w:ind w:left="780"/>
        <w:spacing w:after="0" w:line="329" w:lineRule="auto"/>
        <w:rPr>
          <w:sz w:val="20"/>
          <w:szCs w:val="20"/>
          <w:color w:val="auto"/>
        </w:rPr>
      </w:pPr>
      <w:r>
        <w:rPr>
          <w:rFonts w:ascii="Arial" w:cs="Arial" w:eastAsia="Arial" w:hAnsi="Arial"/>
          <w:sz w:val="15"/>
          <w:szCs w:val="15"/>
          <w:b w:val="1"/>
          <w:bCs w:val="1"/>
          <w:color w:val="auto"/>
        </w:rPr>
        <w:t>Risk Officer, Risk Management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25"/>
          <w:szCs w:val="25"/>
          <w:b w:val="1"/>
          <w:bCs w:val="1"/>
          <w:color w:val="FFFFFF"/>
        </w:rPr>
        <w:t>Lea M. Nakamura</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BF5B5A"/>
        </w:rPr>
        <w:t>BACKGROUND</w:t>
      </w:r>
    </w:p>
    <w:p>
      <w:pPr>
        <w:spacing w:after="0" w:line="73" w:lineRule="exact"/>
        <w:rPr>
          <w:sz w:val="20"/>
          <w:szCs w:val="20"/>
          <w:color w:val="auto"/>
        </w:rPr>
      </w:pPr>
    </w:p>
    <w:p>
      <w:pPr>
        <w:ind w:left="180" w:right="180"/>
        <w:spacing w:after="0" w:line="308" w:lineRule="auto"/>
        <w:rPr>
          <w:sz w:val="20"/>
          <w:szCs w:val="20"/>
          <w:color w:val="auto"/>
        </w:rPr>
      </w:pPr>
      <w:r>
        <w:rPr>
          <w:rFonts w:ascii="Arial" w:cs="Arial" w:eastAsia="Arial" w:hAnsi="Arial"/>
          <w:sz w:val="16"/>
          <w:szCs w:val="16"/>
          <w:b w:val="1"/>
          <w:bCs w:val="1"/>
          <w:color w:val="auto"/>
        </w:rPr>
        <w:t>FIRST HAWAIIAN, INC. AND FIRST HAWAIIAN BANK</w:t>
      </w:r>
    </w:p>
    <w:p>
      <w:pPr>
        <w:ind w:left="420" w:right="220" w:hanging="158"/>
        <w:spacing w:after="0" w:line="304"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Executive Vice President and Chief Risk Officer (July 2023 to present)</w:t>
      </w:r>
    </w:p>
    <w:p>
      <w:pPr>
        <w:spacing w:after="0" w:line="6" w:lineRule="exact"/>
        <w:rPr>
          <w:rFonts w:ascii="Arial" w:cs="Arial" w:eastAsia="Arial" w:hAnsi="Arial"/>
          <w:sz w:val="16"/>
          <w:szCs w:val="16"/>
          <w:color w:val="BF5B5A"/>
        </w:rPr>
      </w:pPr>
    </w:p>
    <w:p>
      <w:pPr>
        <w:ind w:left="420" w:hanging="158"/>
        <w:spacing w:after="0" w:line="275"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Responsible for the design, implementation and oversight of the Company’s risk management strategy and framework</w:t>
      </w:r>
    </w:p>
    <w:p>
      <w:pPr>
        <w:spacing w:after="0" w:line="29" w:lineRule="exact"/>
        <w:rPr>
          <w:rFonts w:ascii="Arial" w:cs="Arial" w:eastAsia="Arial" w:hAnsi="Arial"/>
          <w:sz w:val="16"/>
          <w:szCs w:val="16"/>
          <w:color w:val="BF5B5A"/>
        </w:rPr>
      </w:pPr>
    </w:p>
    <w:p>
      <w:pPr>
        <w:ind w:left="420" w:right="140" w:hanging="158"/>
        <w:spacing w:after="0" w:line="304"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Serves as a member of the Bank’s Senior Management Committee</w:t>
      </w:r>
    </w:p>
    <w:p>
      <w:pPr>
        <w:spacing w:after="0" w:line="6" w:lineRule="exact"/>
        <w:rPr>
          <w:rFonts w:ascii="Arial" w:cs="Arial" w:eastAsia="Arial" w:hAnsi="Arial"/>
          <w:sz w:val="16"/>
          <w:szCs w:val="16"/>
          <w:color w:val="BF5B5A"/>
        </w:rPr>
      </w:pPr>
    </w:p>
    <w:p>
      <w:pPr>
        <w:ind w:left="420" w:right="280" w:hanging="158"/>
        <w:spacing w:after="0" w:line="286"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Executive Vice President and Treasurer (March 2018 – September 2023)</w:t>
      </w:r>
    </w:p>
    <w:p>
      <w:pPr>
        <w:spacing w:after="0" w:line="20" w:lineRule="exact"/>
        <w:rPr>
          <w:rFonts w:ascii="Arial" w:cs="Arial" w:eastAsia="Arial" w:hAnsi="Arial"/>
          <w:sz w:val="16"/>
          <w:szCs w:val="16"/>
          <w:color w:val="BF5B5A"/>
        </w:rPr>
      </w:pPr>
    </w:p>
    <w:p>
      <w:pPr>
        <w:ind w:left="420" w:right="500" w:hanging="158"/>
        <w:spacing w:after="0" w:line="304"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Enterprise and Market Risk Manager (September 2017 – March 2018)</w:t>
      </w:r>
    </w:p>
    <w:p>
      <w:pPr>
        <w:spacing w:after="0" w:line="6" w:lineRule="exact"/>
        <w:rPr>
          <w:rFonts w:ascii="Arial" w:cs="Arial" w:eastAsia="Arial" w:hAnsi="Arial"/>
          <w:sz w:val="16"/>
          <w:szCs w:val="16"/>
          <w:color w:val="BF5B5A"/>
        </w:rPr>
      </w:pPr>
    </w:p>
    <w:p>
      <w:pPr>
        <w:ind w:left="420" w:right="80" w:hanging="158"/>
        <w:spacing w:after="0" w:line="286" w:lineRule="auto"/>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Responsibility for trade finance and swaps (2014 – 2017)</w:t>
      </w:r>
    </w:p>
    <w:p>
      <w:pPr>
        <w:spacing w:after="0" w:line="7" w:lineRule="exact"/>
        <w:rPr>
          <w:rFonts w:ascii="Arial" w:cs="Arial" w:eastAsia="Arial" w:hAnsi="Arial"/>
          <w:sz w:val="16"/>
          <w:szCs w:val="16"/>
          <w:color w:val="BF5B5A"/>
        </w:rPr>
      </w:pPr>
    </w:p>
    <w:p>
      <w:pPr>
        <w:ind w:left="420" w:hanging="158"/>
        <w:spacing w:after="0"/>
        <w:tabs>
          <w:tab w:leader="none" w:pos="420" w:val="left"/>
        </w:tabs>
        <w:numPr>
          <w:ilvl w:val="0"/>
          <w:numId w:val="179"/>
        </w:numPr>
        <w:rPr>
          <w:rFonts w:ascii="Arial" w:cs="Arial" w:eastAsia="Arial" w:hAnsi="Arial"/>
          <w:sz w:val="16"/>
          <w:szCs w:val="16"/>
          <w:color w:val="BF5B5A"/>
        </w:rPr>
      </w:pPr>
      <w:r>
        <w:rPr>
          <w:rFonts w:ascii="Arial" w:cs="Arial" w:eastAsia="Arial" w:hAnsi="Arial"/>
          <w:sz w:val="16"/>
          <w:szCs w:val="16"/>
          <w:color w:val="auto"/>
        </w:rPr>
        <w:t>Joined the Bank in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w:t>
      </w:r>
    </w:p>
    <w:p>
      <w:pPr>
        <w:spacing w:after="0" w:line="3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FFFFFF"/>
        </w:rPr>
        <w:t>Age 58</w:t>
      </w:r>
    </w:p>
    <w:p>
      <w:pPr>
        <w:spacing w:after="0" w:line="57" w:lineRule="exact"/>
        <w:rPr>
          <w:sz w:val="20"/>
          <w:szCs w:val="20"/>
          <w:color w:val="auto"/>
        </w:rPr>
      </w:pPr>
    </w:p>
    <w:p>
      <w:pPr>
        <w:spacing w:after="0"/>
        <w:tabs>
          <w:tab w:leader="none" w:pos="376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BF5B5A"/>
        </w:rPr>
        <w:t>OTHER ENGAGEMENTS</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540" w:hanging="158"/>
        <w:spacing w:after="0"/>
        <w:tabs>
          <w:tab w:leader="none" w:pos="540" w:val="left"/>
        </w:tabs>
        <w:numPr>
          <w:ilvl w:val="0"/>
          <w:numId w:val="180"/>
        </w:numPr>
        <w:rPr>
          <w:rFonts w:ascii="Arial" w:cs="Arial" w:eastAsia="Arial" w:hAnsi="Arial"/>
          <w:sz w:val="16"/>
          <w:szCs w:val="16"/>
          <w:color w:val="BF5B5A"/>
        </w:rPr>
      </w:pPr>
      <w:r>
        <w:rPr>
          <w:rFonts w:ascii="Arial" w:cs="Arial" w:eastAsia="Arial" w:hAnsi="Arial"/>
          <w:sz w:val="16"/>
          <w:szCs w:val="16"/>
          <w:color w:val="auto"/>
        </w:rPr>
        <w:t>Director, Hawaii Economic Association</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BF5B5A"/>
        </w:rPr>
        <w:t>EDUCATION</w:t>
      </w:r>
    </w:p>
    <w:p>
      <w:pPr>
        <w:spacing w:after="0" w:line="59" w:lineRule="exact"/>
        <w:rPr>
          <w:sz w:val="20"/>
          <w:szCs w:val="20"/>
          <w:color w:val="auto"/>
        </w:rPr>
      </w:pPr>
    </w:p>
    <w:p>
      <w:pPr>
        <w:ind w:left="540" w:right="580" w:hanging="158"/>
        <w:spacing w:after="0" w:line="271" w:lineRule="auto"/>
        <w:tabs>
          <w:tab w:leader="none" w:pos="540" w:val="left"/>
        </w:tabs>
        <w:numPr>
          <w:ilvl w:val="0"/>
          <w:numId w:val="181"/>
        </w:numPr>
        <w:rPr>
          <w:rFonts w:ascii="Arial" w:cs="Arial" w:eastAsia="Arial" w:hAnsi="Arial"/>
          <w:sz w:val="16"/>
          <w:szCs w:val="16"/>
          <w:color w:val="BF5B5A"/>
        </w:rPr>
      </w:pPr>
      <w:r>
        <w:rPr>
          <w:rFonts w:ascii="Arial" w:cs="Arial" w:eastAsia="Arial" w:hAnsi="Arial"/>
          <w:sz w:val="16"/>
          <w:szCs w:val="16"/>
          <w:color w:val="auto"/>
        </w:rPr>
        <w:t>B.S. in Foreign Service with a concentration in Economics and Asian Studies, Georgetown University, Washington, DC</w:t>
      </w:r>
    </w:p>
    <w:p>
      <w:pPr>
        <w:spacing w:after="0" w:line="32" w:lineRule="exact"/>
        <w:rPr>
          <w:rFonts w:ascii="Arial" w:cs="Arial" w:eastAsia="Arial" w:hAnsi="Arial"/>
          <w:sz w:val="16"/>
          <w:szCs w:val="16"/>
          <w:color w:val="BF5B5A"/>
        </w:rPr>
      </w:pPr>
    </w:p>
    <w:p>
      <w:pPr>
        <w:ind w:left="540" w:right="280" w:hanging="158"/>
        <w:spacing w:after="0" w:line="304" w:lineRule="auto"/>
        <w:tabs>
          <w:tab w:leader="none" w:pos="540" w:val="left"/>
        </w:tabs>
        <w:numPr>
          <w:ilvl w:val="0"/>
          <w:numId w:val="181"/>
        </w:numPr>
        <w:rPr>
          <w:rFonts w:ascii="Arial" w:cs="Arial" w:eastAsia="Arial" w:hAnsi="Arial"/>
          <w:sz w:val="16"/>
          <w:szCs w:val="16"/>
          <w:color w:val="BF5B5A"/>
        </w:rPr>
      </w:pPr>
      <w:r>
        <w:rPr>
          <w:rFonts w:ascii="Arial" w:cs="Arial" w:eastAsia="Arial" w:hAnsi="Arial"/>
          <w:sz w:val="16"/>
          <w:szCs w:val="16"/>
          <w:color w:val="auto"/>
        </w:rPr>
        <w:t>Certificate in Applied Mathematics, University of Illinois at Urbana-Champaign</w:t>
      </w:r>
    </w:p>
    <w:p>
      <w:pPr>
        <w:spacing w:after="0" w:line="1828" w:lineRule="exact"/>
        <w:rPr>
          <w:sz w:val="20"/>
          <w:szCs w:val="20"/>
          <w:color w:val="auto"/>
        </w:rPr>
      </w:pPr>
    </w:p>
    <w:p>
      <w:pPr>
        <w:sectPr>
          <w:pgSz w:w="11900" w:h="16838" w:orient="portrait"/>
          <w:cols w:equalWidth="0" w:num="3">
            <w:col w:w="2200" w:space="100"/>
            <w:col w:w="3640" w:space="20"/>
            <w:col w:w="3960"/>
          </w:cols>
          <w:pgMar w:left="580" w:top="97" w:right="1399" w:bottom="1440" w:gutter="0" w:footer="0" w:header="0"/>
          <w:type w:val="continuous"/>
        </w:sectPr>
      </w:pPr>
    </w:p>
    <w:p>
      <w:pPr>
        <w:ind w:left="2480"/>
        <w:spacing w:after="0"/>
        <w:rPr>
          <w:sz w:val="20"/>
          <w:szCs w:val="20"/>
          <w:color w:val="auto"/>
        </w:rPr>
      </w:pPr>
      <w:r>
        <w:rPr>
          <w:rFonts w:ascii="Arial" w:cs="Arial" w:eastAsia="Arial" w:hAnsi="Arial"/>
          <w:sz w:val="16"/>
          <w:szCs w:val="16"/>
          <w:b w:val="1"/>
          <w:bCs w:val="1"/>
          <w:color w:val="auto"/>
        </w:rPr>
        <w:t>BANK OF HAWAII</w:t>
      </w:r>
    </w:p>
    <w:p>
      <w:pPr>
        <w:spacing w:after="0" w:line="59" w:lineRule="exact"/>
        <w:rPr>
          <w:sz w:val="20"/>
          <w:szCs w:val="20"/>
          <w:color w:val="auto"/>
        </w:rPr>
      </w:pPr>
    </w:p>
    <w:p>
      <w:pPr>
        <w:ind w:left="2720" w:right="4080" w:hanging="158"/>
        <w:spacing w:after="0" w:line="304" w:lineRule="auto"/>
        <w:tabs>
          <w:tab w:leader="none" w:pos="2720" w:val="left"/>
        </w:tabs>
        <w:numPr>
          <w:ilvl w:val="0"/>
          <w:numId w:val="182"/>
        </w:numPr>
        <w:rPr>
          <w:rFonts w:ascii="Arial" w:cs="Arial" w:eastAsia="Arial" w:hAnsi="Arial"/>
          <w:sz w:val="16"/>
          <w:szCs w:val="16"/>
          <w:color w:val="BF5B5A"/>
        </w:rPr>
      </w:pPr>
      <w:r>
        <w:rPr>
          <w:rFonts w:ascii="Arial" w:cs="Arial" w:eastAsia="Arial" w:hAnsi="Arial"/>
          <w:sz w:val="16"/>
          <w:szCs w:val="16"/>
          <w:color w:val="auto"/>
        </w:rPr>
        <w:t>Various positions, most recently as Senior Vice President (1989 to 2014)</w:t>
      </w:r>
    </w:p>
    <w:p>
      <w:pPr>
        <w:spacing w:after="0" w:line="6" w:lineRule="exact"/>
        <w:rPr>
          <w:rFonts w:ascii="Arial" w:cs="Arial" w:eastAsia="Arial" w:hAnsi="Arial"/>
          <w:sz w:val="16"/>
          <w:szCs w:val="16"/>
          <w:color w:val="BF5B5A"/>
        </w:rPr>
      </w:pPr>
    </w:p>
    <w:p>
      <w:pPr>
        <w:ind w:left="2720" w:right="4220" w:hanging="158"/>
        <w:spacing w:after="0" w:line="286" w:lineRule="auto"/>
        <w:tabs>
          <w:tab w:leader="none" w:pos="2720" w:val="left"/>
        </w:tabs>
        <w:numPr>
          <w:ilvl w:val="0"/>
          <w:numId w:val="182"/>
        </w:numPr>
        <w:rPr>
          <w:rFonts w:ascii="Arial" w:cs="Arial" w:eastAsia="Arial" w:hAnsi="Arial"/>
          <w:sz w:val="16"/>
          <w:szCs w:val="16"/>
          <w:color w:val="BF5B5A"/>
        </w:rPr>
      </w:pPr>
      <w:r>
        <w:rPr>
          <w:rFonts w:ascii="Arial" w:cs="Arial" w:eastAsia="Arial" w:hAnsi="Arial"/>
          <w:sz w:val="16"/>
          <w:szCs w:val="16"/>
          <w:color w:val="auto"/>
        </w:rPr>
        <w:t>Responsibility over the years for various Treasury lines and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64770</wp:posOffset>
            </wp:positionV>
            <wp:extent cx="58293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4883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628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STOCK OWNERSHIP</w:t>
      </w:r>
    </w:p>
    <w:p>
      <w:pPr>
        <w:spacing w:after="0" w:line="200" w:lineRule="exact"/>
        <w:rPr>
          <w:sz w:val="20"/>
          <w:szCs w:val="20"/>
          <w:color w:val="auto"/>
        </w:rPr>
      </w:pPr>
    </w:p>
    <w:p>
      <w:pPr>
        <w:spacing w:after="0" w:line="352" w:lineRule="exact"/>
        <w:rPr>
          <w:sz w:val="20"/>
          <w:szCs w:val="20"/>
          <w:color w:val="auto"/>
        </w:rPr>
      </w:pPr>
    </w:p>
    <w:p>
      <w:pPr>
        <w:ind w:left="780" w:right="220"/>
        <w:spacing w:after="0" w:line="298" w:lineRule="auto"/>
        <w:rPr>
          <w:sz w:val="20"/>
          <w:szCs w:val="20"/>
          <w:color w:val="auto"/>
        </w:rPr>
      </w:pPr>
      <w:r>
        <w:rPr>
          <w:rFonts w:ascii="Arial" w:cs="Arial" w:eastAsia="Arial" w:hAnsi="Arial"/>
          <w:sz w:val="25"/>
          <w:szCs w:val="25"/>
          <w:b w:val="1"/>
          <w:bCs w:val="1"/>
          <w:color w:val="auto"/>
        </w:rPr>
        <w:t>SECURITY OWNERSHIP OF CERTAIN BENEFICIAL OWNERS, DIRECTORS AND MANAGEMENT</w:t>
      </w:r>
    </w:p>
    <w:p>
      <w:pPr>
        <w:sectPr>
          <w:pgSz w:w="11900" w:h="16838" w:orient="portrait"/>
          <w:cols w:equalWidth="0" w:num="1">
            <w:col w:w="9960"/>
          </w:cols>
          <w:pgMar w:left="580" w:top="97" w:right="1359" w:bottom="1440" w:gutter="0" w:footer="0" w:header="0"/>
        </w:sectPr>
      </w:pPr>
    </w:p>
    <w:p>
      <w:pPr>
        <w:spacing w:after="0" w:line="115" w:lineRule="exact"/>
        <w:rPr>
          <w:sz w:val="20"/>
          <w:szCs w:val="20"/>
          <w:color w:val="auto"/>
        </w:rPr>
      </w:pPr>
    </w:p>
    <w:p>
      <w:pPr>
        <w:ind w:left="780"/>
        <w:spacing w:after="0" w:line="263" w:lineRule="auto"/>
        <w:rPr>
          <w:sz w:val="20"/>
          <w:szCs w:val="20"/>
          <w:color w:val="auto"/>
        </w:rPr>
      </w:pPr>
      <w:r>
        <w:rPr>
          <w:rFonts w:ascii="Arial" w:cs="Arial" w:eastAsia="Arial" w:hAnsi="Arial"/>
          <w:sz w:val="18"/>
          <w:szCs w:val="18"/>
          <w:color w:val="auto"/>
        </w:rPr>
        <w:t>The following table sets forth information, based on data provided to us or filed with the Securities and Exchange Commission (the “SEC”), with respect to beneficial ownership of shares of our common stock as of March 1, 2024 for (i) all persons known by us to own beneficially more than 5% of our outstanding common stock, (ii) each of our NEOs, (iii) each of our directors and (iv) all of our directors and executive officers as a group. Beneficial ownership is determined in accordance with the rules of the SEC. These rules generally attribute beneficial 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color w:val="auto"/>
        </w:rPr>
        <w:t>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Except as otherwise indicated, the address for each stockholder listed below is c/o First Hawaiian, Inc., 999 Bishop Street, Honolulu, Hawaii 96813.</w:t>
      </w:r>
    </w:p>
    <w:p>
      <w:pPr>
        <w:spacing w:after="0" w:line="461" w:lineRule="exact"/>
        <w:rPr>
          <w:sz w:val="20"/>
          <w:szCs w:val="20"/>
          <w:color w:val="auto"/>
        </w:rPr>
      </w:pPr>
    </w:p>
    <w:p>
      <w:pPr>
        <w:sectPr>
          <w:pgSz w:w="11900" w:h="16838" w:orient="portrait"/>
          <w:cols w:equalWidth="0" w:num="2">
            <w:col w:w="5060" w:space="560"/>
            <w:col w:w="4340"/>
          </w:cols>
          <w:pgMar w:left="580" w:top="97" w:right="1359" w:bottom="1440" w:gutter="0" w:footer="0" w:header="0"/>
          <w:type w:val="continuous"/>
        </w:sectPr>
      </w:pP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100" w:type="dxa"/>
            <w:vAlign w:val="bottom"/>
            <w:shd w:val="clear" w:color="auto" w:fill="BF5B5A"/>
          </w:tcPr>
          <w:p>
            <w:pPr>
              <w:spacing w:after="0"/>
              <w:rPr>
                <w:sz w:val="16"/>
                <w:szCs w:val="16"/>
                <w:color w:val="auto"/>
              </w:rPr>
            </w:pPr>
          </w:p>
        </w:tc>
        <w:tc>
          <w:tcPr>
            <w:tcW w:w="5220" w:type="dxa"/>
            <w:vAlign w:val="bottom"/>
            <w:shd w:val="clear" w:color="auto" w:fill="BF5B5A"/>
          </w:tcPr>
          <w:p>
            <w:pPr>
              <w:spacing w:after="0"/>
              <w:rPr>
                <w:sz w:val="16"/>
                <w:szCs w:val="16"/>
                <w:color w:val="auto"/>
              </w:rPr>
            </w:pPr>
          </w:p>
        </w:tc>
        <w:tc>
          <w:tcPr>
            <w:tcW w:w="1240" w:type="dxa"/>
            <w:vAlign w:val="bottom"/>
            <w:shd w:val="clear" w:color="auto" w:fill="BF5B5A"/>
          </w:tcPr>
          <w:p>
            <w:pPr>
              <w:spacing w:after="0"/>
              <w:rPr>
                <w:sz w:val="16"/>
                <w:szCs w:val="16"/>
                <w:color w:val="auto"/>
              </w:rPr>
            </w:pPr>
          </w:p>
        </w:tc>
        <w:tc>
          <w:tcPr>
            <w:tcW w:w="1420" w:type="dxa"/>
            <w:vAlign w:val="bottom"/>
            <w:gridSpan w:val="2"/>
            <w:shd w:val="clear" w:color="auto" w:fill="BF5B5A"/>
          </w:tcPr>
          <w:p>
            <w:pPr>
              <w:jc w:val="center"/>
              <w:spacing w:after="0"/>
              <w:rPr>
                <w:sz w:val="20"/>
                <w:szCs w:val="20"/>
                <w:color w:val="auto"/>
              </w:rPr>
            </w:pPr>
            <w:r>
              <w:rPr>
                <w:rFonts w:ascii="Arial" w:cs="Arial" w:eastAsia="Arial" w:hAnsi="Arial"/>
                <w:sz w:val="16"/>
                <w:szCs w:val="16"/>
                <w:b w:val="1"/>
                <w:bCs w:val="1"/>
                <w:color w:val="FFFFFF"/>
                <w:w w:val="98"/>
              </w:rPr>
              <w:t>Number of Shares</w:t>
            </w:r>
          </w:p>
        </w:tc>
        <w:tc>
          <w:tcPr>
            <w:tcW w:w="260" w:type="dxa"/>
            <w:vAlign w:val="bottom"/>
            <w:shd w:val="clear" w:color="auto" w:fill="BF5B5A"/>
          </w:tcPr>
          <w:p>
            <w:pPr>
              <w:spacing w:after="0"/>
              <w:rPr>
                <w:sz w:val="16"/>
                <w:szCs w:val="16"/>
                <w:color w:val="auto"/>
              </w:rPr>
            </w:pPr>
          </w:p>
        </w:tc>
        <w:tc>
          <w:tcPr>
            <w:tcW w:w="780" w:type="dxa"/>
            <w:vAlign w:val="bottom"/>
            <w:gridSpan w:val="2"/>
            <w:vMerge w:val="restart"/>
            <w:shd w:val="clear" w:color="auto" w:fill="BF5B5A"/>
          </w:tcPr>
          <w:p>
            <w:pPr>
              <w:spacing w:after="0"/>
              <w:rPr>
                <w:sz w:val="20"/>
                <w:szCs w:val="20"/>
                <w:color w:val="auto"/>
              </w:rPr>
            </w:pPr>
            <w:r>
              <w:rPr>
                <w:rFonts w:ascii="Arial" w:cs="Arial" w:eastAsia="Arial" w:hAnsi="Arial"/>
                <w:sz w:val="16"/>
                <w:szCs w:val="16"/>
                <w:b w:val="1"/>
                <w:bCs w:val="1"/>
                <w:color w:val="FFFFFF"/>
                <w:w w:val="97"/>
              </w:rPr>
              <w:t>Percent of</w:t>
            </w:r>
          </w:p>
        </w:tc>
        <w:tc>
          <w:tcPr>
            <w:tcW w:w="16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BF5B5A"/>
          </w:tcPr>
          <w:p>
            <w:pPr>
              <w:spacing w:after="0"/>
              <w:rPr>
                <w:sz w:val="15"/>
                <w:szCs w:val="15"/>
                <w:color w:val="auto"/>
              </w:rPr>
            </w:pPr>
          </w:p>
        </w:tc>
        <w:tc>
          <w:tcPr>
            <w:tcW w:w="5220" w:type="dxa"/>
            <w:vAlign w:val="bottom"/>
            <w:shd w:val="clear" w:color="auto" w:fill="BF5B5A"/>
          </w:tcPr>
          <w:p>
            <w:pPr>
              <w:spacing w:after="0"/>
              <w:rPr>
                <w:sz w:val="15"/>
                <w:szCs w:val="15"/>
                <w:color w:val="auto"/>
              </w:rPr>
            </w:pPr>
          </w:p>
        </w:tc>
        <w:tc>
          <w:tcPr>
            <w:tcW w:w="1240" w:type="dxa"/>
            <w:vAlign w:val="bottom"/>
            <w:shd w:val="clear" w:color="auto" w:fill="BF5B5A"/>
          </w:tcPr>
          <w:p>
            <w:pPr>
              <w:spacing w:after="0"/>
              <w:rPr>
                <w:sz w:val="15"/>
                <w:szCs w:val="15"/>
                <w:color w:val="auto"/>
              </w:rPr>
            </w:pPr>
          </w:p>
        </w:tc>
        <w:tc>
          <w:tcPr>
            <w:tcW w:w="1420" w:type="dxa"/>
            <w:vAlign w:val="bottom"/>
            <w:gridSpan w:val="2"/>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8"/>
              </w:rPr>
              <w:t>Beneficially</w:t>
            </w:r>
          </w:p>
        </w:tc>
        <w:tc>
          <w:tcPr>
            <w:tcW w:w="260" w:type="dxa"/>
            <w:vAlign w:val="bottom"/>
            <w:shd w:val="clear" w:color="auto" w:fill="BF5B5A"/>
          </w:tcPr>
          <w:p>
            <w:pPr>
              <w:spacing w:after="0"/>
              <w:rPr>
                <w:sz w:val="15"/>
                <w:szCs w:val="15"/>
                <w:color w:val="auto"/>
              </w:rPr>
            </w:pPr>
          </w:p>
        </w:tc>
        <w:tc>
          <w:tcPr>
            <w:tcW w:w="780" w:type="dxa"/>
            <w:vAlign w:val="bottom"/>
            <w:gridSpan w:val="2"/>
            <w:vMerge w:val="continue"/>
            <w:shd w:val="clear" w:color="auto" w:fill="BF5B5A"/>
          </w:tcPr>
          <w:p>
            <w:pPr>
              <w:spacing w:after="0"/>
              <w:rPr>
                <w:sz w:val="15"/>
                <w:szCs w:val="15"/>
                <w:color w:val="auto"/>
              </w:rPr>
            </w:pPr>
          </w:p>
        </w:tc>
        <w:tc>
          <w:tcPr>
            <w:tcW w:w="16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32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rPr>
              <w:t>​Name and Address of Beneficial Owner</w:t>
            </w:r>
          </w:p>
        </w:tc>
        <w:tc>
          <w:tcPr>
            <w:tcW w:w="1240" w:type="dxa"/>
            <w:vAlign w:val="bottom"/>
            <w:shd w:val="clear" w:color="auto" w:fill="BF5B5A"/>
          </w:tcPr>
          <w:p>
            <w:pPr>
              <w:ind w:left="1060"/>
              <w:spacing w:after="0"/>
              <w:rPr>
                <w:sz w:val="20"/>
                <w:szCs w:val="20"/>
                <w:color w:val="auto"/>
              </w:rPr>
            </w:pPr>
            <w:r>
              <w:rPr>
                <w:rFonts w:ascii="Arial" w:cs="Arial" w:eastAsia="Arial" w:hAnsi="Arial"/>
                <w:sz w:val="16"/>
                <w:szCs w:val="16"/>
                <w:b w:val="1"/>
                <w:bCs w:val="1"/>
                <w:color w:val="FFFFFF"/>
              </w:rPr>
              <w:t>​ ​</w:t>
            </w:r>
          </w:p>
        </w:tc>
        <w:tc>
          <w:tcPr>
            <w:tcW w:w="380" w:type="dxa"/>
            <w:vAlign w:val="bottom"/>
            <w:shd w:val="clear" w:color="auto" w:fill="BF5B5A"/>
          </w:tcPr>
          <w:p>
            <w:pPr>
              <w:spacing w:after="0"/>
              <w:rPr>
                <w:sz w:val="21"/>
                <w:szCs w:val="21"/>
                <w:color w:val="auto"/>
              </w:rPr>
            </w:pPr>
          </w:p>
        </w:tc>
        <w:tc>
          <w:tcPr>
            <w:tcW w:w="1040" w:type="dxa"/>
            <w:vAlign w:val="bottom"/>
            <w:shd w:val="clear" w:color="auto" w:fill="BF5B5A"/>
          </w:tcPr>
          <w:p>
            <w:pPr>
              <w:jc w:val="center"/>
              <w:ind w:right="279"/>
              <w:spacing w:after="0"/>
              <w:rPr>
                <w:sz w:val="20"/>
                <w:szCs w:val="20"/>
                <w:color w:val="auto"/>
              </w:rPr>
            </w:pPr>
            <w:r>
              <w:rPr>
                <w:rFonts w:ascii="Arial" w:cs="Arial" w:eastAsia="Arial" w:hAnsi="Arial"/>
                <w:sz w:val="16"/>
                <w:szCs w:val="16"/>
                <w:b w:val="1"/>
                <w:bCs w:val="1"/>
                <w:color w:val="FFFFFF"/>
                <w:w w:val="92"/>
              </w:rPr>
              <w:t>Owned</w:t>
            </w:r>
            <w:r>
              <w:rPr>
                <w:rFonts w:ascii="Arial" w:cs="Arial" w:eastAsia="Arial" w:hAnsi="Arial"/>
                <w:sz w:val="19"/>
                <w:szCs w:val="19"/>
                <w:b w:val="1"/>
                <w:bCs w:val="1"/>
                <w:color w:val="FFFFFF"/>
                <w:w w:val="92"/>
                <w:vertAlign w:val="superscript"/>
              </w:rPr>
              <w:t>(1)</w:t>
            </w:r>
          </w:p>
        </w:tc>
        <w:tc>
          <w:tcPr>
            <w:tcW w:w="2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 ​</w:t>
            </w:r>
          </w:p>
        </w:tc>
        <w:tc>
          <w:tcPr>
            <w:tcW w:w="780" w:type="dxa"/>
            <w:vAlign w:val="bottom"/>
            <w:gridSpan w:val="2"/>
            <w:shd w:val="clear" w:color="auto" w:fill="BF5B5A"/>
          </w:tcPr>
          <w:p>
            <w:pPr>
              <w:ind w:left="180"/>
              <w:spacing w:after="0"/>
              <w:rPr>
                <w:sz w:val="20"/>
                <w:szCs w:val="20"/>
                <w:color w:val="auto"/>
              </w:rPr>
            </w:pPr>
            <w:r>
              <w:rPr>
                <w:rFonts w:ascii="Arial" w:cs="Arial" w:eastAsia="Arial" w:hAnsi="Arial"/>
                <w:sz w:val="16"/>
                <w:szCs w:val="16"/>
                <w:b w:val="1"/>
                <w:bCs w:val="1"/>
                <w:color w:val="FFFFFF"/>
              </w:rPr>
              <w:t>Class</w:t>
            </w:r>
          </w:p>
        </w:tc>
        <w:tc>
          <w:tcPr>
            <w:tcW w:w="160" w:type="dxa"/>
            <w:vAlign w:val="bottom"/>
            <w:shd w:val="clear" w:color="auto" w:fill="BF5B5A"/>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84"/>
        </w:trPr>
        <w:tc>
          <w:tcPr>
            <w:tcW w:w="5320" w:type="dxa"/>
            <w:vAlign w:val="bottom"/>
            <w:tcBorders>
              <w:bottom w:val="single" w:sz="8" w:color="7F7F7F"/>
            </w:tcBorders>
            <w:gridSpan w:val="2"/>
          </w:tcPr>
          <w:p>
            <w:pPr>
              <w:ind w:left="40"/>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Greater than 5% Stockholders</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b w:val="1"/>
                <w:bCs w:val="1"/>
                <w:color w:val="auto"/>
              </w:rPr>
              <w:t>​ ​</w:t>
            </w:r>
          </w:p>
        </w:tc>
        <w:tc>
          <w:tcPr>
            <w:tcW w:w="380" w:type="dxa"/>
            <w:vAlign w:val="bottom"/>
            <w:tcBorders>
              <w:bottom w:val="single" w:sz="8" w:color="7F7F7F"/>
            </w:tcBorders>
          </w:tcPr>
          <w:p>
            <w:pPr>
              <w:ind w:left="300"/>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104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 ​</w:t>
            </w:r>
          </w:p>
        </w:tc>
        <w:tc>
          <w:tcPr>
            <w:tcW w:w="400" w:type="dxa"/>
            <w:vAlign w:val="bottom"/>
            <w:tcBorders>
              <w:bottom w:val="single" w:sz="8" w:color="7F7F7F"/>
            </w:tcBorders>
          </w:tcPr>
          <w:p>
            <w:pPr>
              <w:ind w:left="260"/>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38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BlackRock, Inc.</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ind w:left="320"/>
              <w:spacing w:after="0" w:line="196" w:lineRule="exact"/>
              <w:rPr>
                <w:sz w:val="20"/>
                <w:szCs w:val="20"/>
                <w:color w:val="auto"/>
              </w:rPr>
            </w:pPr>
            <w:r>
              <w:rPr>
                <w:rFonts w:ascii="Arial" w:cs="Arial" w:eastAsia="Arial" w:hAnsi="Arial"/>
                <w:sz w:val="16"/>
                <w:szCs w:val="16"/>
                <w:color w:val="auto"/>
              </w:rPr>
              <w:t>​16,879,941</w:t>
            </w:r>
            <w:r>
              <w:rPr>
                <w:rFonts w:ascii="Arial" w:cs="Arial" w:eastAsia="Arial" w:hAnsi="Arial"/>
                <w:sz w:val="19"/>
                <w:szCs w:val="19"/>
                <w:color w:val="auto"/>
                <w:vertAlign w:val="superscript"/>
              </w:rPr>
              <w:t>(2)</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​13.2%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The Vanguard Group</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ind w:left="320"/>
              <w:spacing w:after="0" w:line="196" w:lineRule="exact"/>
              <w:rPr>
                <w:sz w:val="20"/>
                <w:szCs w:val="20"/>
                <w:color w:val="auto"/>
              </w:rPr>
            </w:pPr>
            <w:r>
              <w:rPr>
                <w:rFonts w:ascii="Arial" w:cs="Arial" w:eastAsia="Arial" w:hAnsi="Arial"/>
                <w:sz w:val="16"/>
                <w:szCs w:val="16"/>
                <w:color w:val="auto"/>
              </w:rPr>
              <w:t>​14,651,233</w:t>
            </w:r>
            <w:r>
              <w:rPr>
                <w:rFonts w:ascii="Arial" w:cs="Arial" w:eastAsia="Arial" w:hAnsi="Arial"/>
                <w:sz w:val="19"/>
                <w:szCs w:val="19"/>
                <w:color w:val="auto"/>
                <w:vertAlign w:val="superscript"/>
              </w:rPr>
              <w:t>(3)</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​11.5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Kayne Anderson Rudnick Investment Management, LLC</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ind w:left="320"/>
              <w:spacing w:after="0" w:line="196" w:lineRule="exact"/>
              <w:rPr>
                <w:sz w:val="20"/>
                <w:szCs w:val="20"/>
                <w:color w:val="auto"/>
              </w:rPr>
            </w:pPr>
            <w:r>
              <w:rPr>
                <w:rFonts w:ascii="Arial" w:cs="Arial" w:eastAsia="Arial" w:hAnsi="Arial"/>
                <w:sz w:val="16"/>
                <w:szCs w:val="16"/>
                <w:color w:val="auto"/>
              </w:rPr>
              <w:t>​12,949,306</w:t>
            </w:r>
            <w:r>
              <w:rPr>
                <w:rFonts w:ascii="Arial" w:cs="Arial" w:eastAsia="Arial" w:hAnsi="Arial"/>
                <w:sz w:val="19"/>
                <w:szCs w:val="19"/>
                <w:color w:val="auto"/>
                <w:vertAlign w:val="superscript"/>
              </w:rPr>
              <w:t>(4)</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​10.1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Manulife Financial Corporation</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ind w:left="320"/>
              <w:spacing w:after="0" w:line="196" w:lineRule="exact"/>
              <w:rPr>
                <w:sz w:val="20"/>
                <w:szCs w:val="20"/>
                <w:color w:val="auto"/>
              </w:rPr>
            </w:pPr>
            <w:r>
              <w:rPr>
                <w:rFonts w:ascii="Arial" w:cs="Arial" w:eastAsia="Arial" w:hAnsi="Arial"/>
                <w:sz w:val="16"/>
                <w:szCs w:val="16"/>
                <w:color w:val="auto"/>
              </w:rPr>
              <w:t>​10,169,905</w:t>
            </w:r>
            <w:r>
              <w:rPr>
                <w:rFonts w:ascii="Arial" w:cs="Arial" w:eastAsia="Arial" w:hAnsi="Arial"/>
                <w:sz w:val="19"/>
                <w:szCs w:val="19"/>
                <w:color w:val="auto"/>
                <w:vertAlign w:val="superscript"/>
              </w:rPr>
              <w:t>(5)</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 8.0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State Street Corporation</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1420" w:type="dxa"/>
            <w:vAlign w:val="bottom"/>
            <w:gridSpan w:val="2"/>
          </w:tcPr>
          <w:p>
            <w:pPr>
              <w:ind w:left="320"/>
              <w:spacing w:after="0" w:line="196" w:lineRule="exact"/>
              <w:rPr>
                <w:sz w:val="20"/>
                <w:szCs w:val="20"/>
                <w:color w:val="auto"/>
              </w:rPr>
            </w:pPr>
            <w:r>
              <w:rPr>
                <w:rFonts w:ascii="Arial" w:cs="Arial" w:eastAsia="Arial" w:hAnsi="Arial"/>
                <w:sz w:val="16"/>
                <w:szCs w:val="16"/>
                <w:color w:val="auto"/>
              </w:rPr>
              <w:t>​ 6,491,935</w:t>
            </w:r>
            <w:r>
              <w:rPr>
                <w:rFonts w:ascii="Arial" w:cs="Arial" w:eastAsia="Arial" w:hAnsi="Arial"/>
                <w:sz w:val="19"/>
                <w:szCs w:val="19"/>
                <w:color w:val="auto"/>
                <w:vertAlign w:val="superscript"/>
              </w:rPr>
              <w:t>(6)</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 5.1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320" w:type="dxa"/>
            <w:vAlign w:val="bottom"/>
            <w:tcBorders>
              <w:bottom w:val="single" w:sz="8" w:color="7F7F7F"/>
            </w:tcBorders>
            <w:gridSpan w:val="2"/>
          </w:tcPr>
          <w:p>
            <w:pPr>
              <w:ind w:left="40"/>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Directors and Named Executive Officers</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b w:val="1"/>
                <w:bCs w:val="1"/>
                <w:color w:val="auto"/>
              </w:rPr>
              <w:t>​ ​</w:t>
            </w:r>
          </w:p>
        </w:tc>
        <w:tc>
          <w:tcPr>
            <w:tcW w:w="380" w:type="dxa"/>
            <w:vAlign w:val="bottom"/>
            <w:tcBorders>
              <w:bottom w:val="single" w:sz="8" w:color="7F7F7F"/>
            </w:tcBorders>
          </w:tcPr>
          <w:p>
            <w:pPr>
              <w:ind w:left="30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1040" w:type="dxa"/>
            <w:vAlign w:val="bottom"/>
            <w:tcBorders>
              <w:bottom w:val="single" w:sz="8" w:color="7F7F7F"/>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 ​</w:t>
            </w:r>
          </w:p>
        </w:tc>
        <w:tc>
          <w:tcPr>
            <w:tcW w:w="400" w:type="dxa"/>
            <w:vAlign w:val="bottom"/>
            <w:tcBorders>
              <w:bottom w:val="single" w:sz="8" w:color="7F7F7F"/>
            </w:tcBorders>
          </w:tcPr>
          <w:p>
            <w:pPr>
              <w:ind w:left="26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38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Robert S. Harrison</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341,681</w:t>
            </w:r>
            <w:r>
              <w:rPr>
                <w:rFonts w:ascii="Arial" w:cs="Arial" w:eastAsia="Arial" w:hAnsi="Arial"/>
                <w:sz w:val="19"/>
                <w:szCs w:val="19"/>
                <w:color w:val="auto"/>
                <w:vertAlign w:val="superscript"/>
              </w:rPr>
              <w:t>(7)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Michael K. Fujimoto</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9,494</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Faye W. Kurren</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22,267</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James S. Moffatt</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8,085</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Mark M. Mugiishi</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4,805</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Kelly A. Thompson</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8,085</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Allen B. Uyeda</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25,982</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Vanessa L. Washington</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13,487</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C. Scott Wo</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67,039</w:t>
            </w:r>
            <w:r>
              <w:rPr>
                <w:rFonts w:ascii="Arial" w:cs="Arial" w:eastAsia="Arial" w:hAnsi="Arial"/>
                <w:sz w:val="19"/>
                <w:szCs w:val="19"/>
                <w:color w:val="auto"/>
                <w:vertAlign w:val="superscript"/>
              </w:rPr>
              <w:t>(8)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Alan H. Arizumi</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59,747</w:t>
            </w:r>
            <w:r>
              <w:rPr>
                <w:rFonts w:ascii="Arial" w:cs="Arial" w:eastAsia="Arial" w:hAnsi="Arial"/>
                <w:sz w:val="19"/>
                <w:szCs w:val="19"/>
                <w:color w:val="auto"/>
                <w:vertAlign w:val="superscript"/>
              </w:rPr>
              <w:t>(7)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32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Neill A. Char</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17,997</w:t>
            </w:r>
            <w:r>
              <w:rPr>
                <w:rFonts w:ascii="Arial" w:cs="Arial" w:eastAsia="Arial" w:hAnsi="Arial"/>
                <w:sz w:val="19"/>
                <w:szCs w:val="19"/>
                <w:color w:val="auto"/>
                <w:vertAlign w:val="superscript"/>
              </w:rPr>
              <w:t>(7)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5320" w:type="dxa"/>
            <w:vAlign w:val="bottom"/>
            <w:tcBorders>
              <w:bottom w:val="single" w:sz="8" w:color="7F7F7F"/>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Christopher L. Dods</w:t>
            </w:r>
          </w:p>
        </w:tc>
        <w:tc>
          <w:tcPr>
            <w:tcW w:w="1240" w:type="dxa"/>
            <w:vAlign w:val="bottom"/>
            <w:tcBorders>
              <w:bottom w:val="single" w:sz="8" w:color="7F7F7F"/>
            </w:tcBorders>
          </w:tcPr>
          <w:p>
            <w:pPr>
              <w:ind w:left="1060"/>
              <w:spacing w:after="0"/>
              <w:rPr>
                <w:sz w:val="20"/>
                <w:szCs w:val="20"/>
                <w:color w:val="auto"/>
              </w:rPr>
            </w:pPr>
            <w:r>
              <w:rPr>
                <w:rFonts w:ascii="Arial" w:cs="Arial" w:eastAsia="Arial" w:hAnsi="Arial"/>
                <w:sz w:val="16"/>
                <w:szCs w:val="16"/>
                <w:color w:val="auto"/>
              </w:rPr>
              <w:t>​ ​</w:t>
            </w:r>
          </w:p>
        </w:tc>
        <w:tc>
          <w:tcPr>
            <w:tcW w:w="38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tcPr>
          <w:p>
            <w:pPr>
              <w:jc w:val="right"/>
              <w:ind w:right="79"/>
              <w:spacing w:after="0"/>
              <w:rPr>
                <w:sz w:val="20"/>
                <w:szCs w:val="20"/>
                <w:color w:val="auto"/>
              </w:rPr>
            </w:pPr>
            <w:r>
              <w:rPr>
                <w:rFonts w:ascii="Arial" w:cs="Arial" w:eastAsia="Arial" w:hAnsi="Arial"/>
                <w:sz w:val="16"/>
                <w:szCs w:val="16"/>
                <w:color w:val="auto"/>
              </w:rPr>
              <w:t>42,786</w:t>
            </w:r>
            <w:r>
              <w:rPr>
                <w:rFonts w:ascii="Arial" w:cs="Arial" w:eastAsia="Arial" w:hAnsi="Arial"/>
                <w:sz w:val="19"/>
                <w:szCs w:val="19"/>
                <w:color w:val="auto"/>
                <w:vertAlign w:val="superscript"/>
              </w:rPr>
              <w:t>(7)</w:t>
            </w:r>
          </w:p>
        </w:tc>
        <w:tc>
          <w:tcPr>
            <w:tcW w:w="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 ​</w:t>
            </w:r>
          </w:p>
        </w:tc>
        <w:tc>
          <w:tcPr>
            <w:tcW w:w="4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James M. Moses</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4,623</w:t>
            </w:r>
            <w:r>
              <w:rPr>
                <w:rFonts w:ascii="Arial" w:cs="Arial" w:eastAsia="Arial" w:hAnsi="Arial"/>
                <w:sz w:val="19"/>
                <w:szCs w:val="19"/>
                <w:color w:val="auto"/>
                <w:vertAlign w:val="superscript"/>
              </w:rPr>
              <w:t>(7)</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Ralph M. Mesick</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9,064</w:t>
            </w:r>
            <w:r>
              <w:rPr>
                <w:rFonts w:ascii="Arial" w:cs="Arial" w:eastAsia="Arial" w:hAnsi="Arial"/>
                <w:sz w:val="19"/>
                <w:szCs w:val="19"/>
                <w:color w:val="auto"/>
                <w:vertAlign w:val="superscript"/>
              </w:rPr>
              <w:t>(7)</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Lance A. Mizumoto</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37,394</w:t>
            </w:r>
            <w:r>
              <w:rPr>
                <w:rFonts w:ascii="Arial" w:cs="Arial" w:eastAsia="Arial" w:hAnsi="Arial"/>
                <w:sz w:val="19"/>
                <w:szCs w:val="19"/>
                <w:color w:val="auto"/>
                <w:vertAlign w:val="superscript"/>
              </w:rPr>
              <w:t>(7)</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7F7F7F"/>
            </w:tcBorders>
            <w:vMerge w:val="continue"/>
          </w:tcPr>
          <w:p>
            <w:pPr>
              <w:spacing w:after="0"/>
              <w:rPr>
                <w:sz w:val="7"/>
                <w:szCs w:val="7"/>
                <w:color w:val="auto"/>
              </w:rPr>
            </w:pPr>
          </w:p>
        </w:tc>
        <w:tc>
          <w:tcPr>
            <w:tcW w:w="5220" w:type="dxa"/>
            <w:vAlign w:val="bottom"/>
            <w:tcBorders>
              <w:bottom w:val="single" w:sz="8" w:color="7F7F7F"/>
            </w:tcBorders>
          </w:tcPr>
          <w:p>
            <w:pPr>
              <w:spacing w:after="0"/>
              <w:rPr>
                <w:sz w:val="7"/>
                <w:szCs w:val="7"/>
                <w:color w:val="auto"/>
              </w:rPr>
            </w:pPr>
          </w:p>
        </w:tc>
        <w:tc>
          <w:tcPr>
            <w:tcW w:w="1240" w:type="dxa"/>
            <w:vAlign w:val="bottom"/>
            <w:tcBorders>
              <w:bottom w:val="single" w:sz="8" w:color="7F7F7F"/>
            </w:tcBorders>
            <w:vMerge w:val="continue"/>
          </w:tcPr>
          <w:p>
            <w:pPr>
              <w:spacing w:after="0"/>
              <w:rPr>
                <w:sz w:val="7"/>
                <w:szCs w:val="7"/>
                <w:color w:val="auto"/>
              </w:rPr>
            </w:pPr>
          </w:p>
        </w:tc>
        <w:tc>
          <w:tcPr>
            <w:tcW w:w="380" w:type="dxa"/>
            <w:vAlign w:val="bottom"/>
            <w:tcBorders>
              <w:bottom w:val="single" w:sz="8" w:color="7F7F7F"/>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vMerge w:val="continue"/>
          </w:tcPr>
          <w:p>
            <w:pPr>
              <w:spacing w:after="0"/>
              <w:rPr>
                <w:sz w:val="7"/>
                <w:szCs w:val="7"/>
                <w:color w:val="auto"/>
              </w:rPr>
            </w:pPr>
          </w:p>
        </w:tc>
        <w:tc>
          <w:tcPr>
            <w:tcW w:w="400" w:type="dxa"/>
            <w:vAlign w:val="bottom"/>
            <w:tcBorders>
              <w:bottom w:val="single" w:sz="8" w:color="7F7F7F"/>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7F7F7F"/>
            </w:tcBorders>
          </w:tcPr>
          <w:p>
            <w:pPr>
              <w:spacing w:after="0"/>
              <w:rPr>
                <w:sz w:val="7"/>
                <w:szCs w:val="7"/>
                <w:color w:val="auto"/>
              </w:rPr>
            </w:pPr>
          </w:p>
        </w:tc>
        <w:tc>
          <w:tcPr>
            <w:tcW w:w="16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5220" w:type="dxa"/>
            <w:vAlign w:val="bottom"/>
          </w:tcPr>
          <w:p>
            <w:pPr>
              <w:spacing w:after="0"/>
              <w:rPr>
                <w:sz w:val="20"/>
                <w:szCs w:val="20"/>
                <w:color w:val="auto"/>
              </w:rPr>
            </w:pPr>
            <w:r>
              <w:rPr>
                <w:rFonts w:ascii="Arial" w:cs="Arial" w:eastAsia="Arial" w:hAnsi="Arial"/>
                <w:sz w:val="16"/>
                <w:szCs w:val="16"/>
                <w:color w:val="auto"/>
              </w:rPr>
              <w:t>Directors and executive officers as a group (15 persons)</w:t>
            </w:r>
          </w:p>
        </w:tc>
        <w:tc>
          <w:tcPr>
            <w:tcW w:w="1240" w:type="dxa"/>
            <w:vAlign w:val="bottom"/>
            <w:vMerge w:val="restart"/>
          </w:tcPr>
          <w:p>
            <w:pPr>
              <w:ind w:left="1060"/>
              <w:spacing w:after="0"/>
              <w:rPr>
                <w:sz w:val="20"/>
                <w:szCs w:val="20"/>
                <w:color w:val="auto"/>
              </w:rPr>
            </w:pPr>
            <w:r>
              <w:rPr>
                <w:rFonts w:ascii="Arial" w:cs="Arial" w:eastAsia="Arial" w:hAnsi="Arial"/>
                <w:sz w:val="16"/>
                <w:szCs w:val="16"/>
                <w:color w:val="auto"/>
              </w:rPr>
              <w:t>​ ​</w:t>
            </w:r>
          </w:p>
        </w:tc>
        <w:tc>
          <w:tcPr>
            <w:tcW w:w="380" w:type="dxa"/>
            <w:vAlign w:val="bottom"/>
          </w:tcPr>
          <w:p>
            <w:pPr>
              <w:ind w:lef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line="196" w:lineRule="exact"/>
              <w:rPr>
                <w:sz w:val="20"/>
                <w:szCs w:val="20"/>
                <w:color w:val="auto"/>
              </w:rPr>
            </w:pPr>
            <w:r>
              <w:rPr>
                <w:rFonts w:ascii="Arial" w:cs="Arial" w:eastAsia="Arial" w:hAnsi="Arial"/>
                <w:sz w:val="16"/>
                <w:szCs w:val="16"/>
                <w:color w:val="auto"/>
              </w:rPr>
              <w:t>641,333</w:t>
            </w:r>
            <w:r>
              <w:rPr>
                <w:rFonts w:ascii="Arial" w:cs="Arial" w:eastAsia="Arial" w:hAnsi="Arial"/>
                <w:sz w:val="19"/>
                <w:szCs w:val="19"/>
                <w:color w:val="auto"/>
                <w:vertAlign w:val="superscript"/>
              </w:rPr>
              <w:t>(7)</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BF5B5A"/>
            </w:tcBorders>
            <w:vMerge w:val="continue"/>
          </w:tcPr>
          <w:p>
            <w:pPr>
              <w:spacing w:after="0"/>
              <w:rPr>
                <w:sz w:val="7"/>
                <w:szCs w:val="7"/>
                <w:color w:val="auto"/>
              </w:rPr>
            </w:pPr>
          </w:p>
        </w:tc>
        <w:tc>
          <w:tcPr>
            <w:tcW w:w="5220" w:type="dxa"/>
            <w:vAlign w:val="bottom"/>
            <w:tcBorders>
              <w:bottom w:val="single" w:sz="8" w:color="BF5B5A"/>
            </w:tcBorders>
          </w:tcPr>
          <w:p>
            <w:pPr>
              <w:spacing w:after="0"/>
              <w:rPr>
                <w:sz w:val="7"/>
                <w:szCs w:val="7"/>
                <w:color w:val="auto"/>
              </w:rPr>
            </w:pPr>
          </w:p>
        </w:tc>
        <w:tc>
          <w:tcPr>
            <w:tcW w:w="1240" w:type="dxa"/>
            <w:vAlign w:val="bottom"/>
            <w:tcBorders>
              <w:bottom w:val="single" w:sz="8" w:color="BF5B5A"/>
            </w:tcBorders>
            <w:vMerge w:val="continue"/>
          </w:tcPr>
          <w:p>
            <w:pPr>
              <w:spacing w:after="0"/>
              <w:rPr>
                <w:sz w:val="7"/>
                <w:szCs w:val="7"/>
                <w:color w:val="auto"/>
              </w:rPr>
            </w:pPr>
          </w:p>
        </w:tc>
        <w:tc>
          <w:tcPr>
            <w:tcW w:w="380" w:type="dxa"/>
            <w:vAlign w:val="bottom"/>
            <w:tcBorders>
              <w:bottom w:val="single" w:sz="8" w:color="BF5B5A"/>
            </w:tcBorders>
          </w:tcPr>
          <w:p>
            <w:pPr>
              <w:ind w:left="300"/>
              <w:spacing w:after="0" w:line="81" w:lineRule="exact"/>
              <w:rPr>
                <w:sz w:val="20"/>
                <w:szCs w:val="20"/>
                <w:color w:val="auto"/>
              </w:rPr>
            </w:pPr>
            <w:r>
              <w:rPr>
                <w:rFonts w:ascii="Arial" w:cs="Arial" w:eastAsia="Arial" w:hAnsi="Arial"/>
                <w:sz w:val="9"/>
                <w:szCs w:val="9"/>
                <w:color w:val="auto"/>
              </w:rPr>
              <w:t>​</w:t>
            </w:r>
          </w:p>
        </w:tc>
        <w:tc>
          <w:tcPr>
            <w:tcW w:w="1040" w:type="dxa"/>
            <w:vAlign w:val="bottom"/>
            <w:tcBorders>
              <w:bottom w:val="single" w:sz="8" w:color="BF5B5A"/>
            </w:tcBorders>
          </w:tcPr>
          <w:p>
            <w:pPr>
              <w:spacing w:after="0"/>
              <w:rPr>
                <w:sz w:val="7"/>
                <w:szCs w:val="7"/>
                <w:color w:val="auto"/>
              </w:rPr>
            </w:pPr>
          </w:p>
        </w:tc>
        <w:tc>
          <w:tcPr>
            <w:tcW w:w="260" w:type="dxa"/>
            <w:vAlign w:val="bottom"/>
            <w:tcBorders>
              <w:bottom w:val="single" w:sz="8" w:color="BF5B5A"/>
            </w:tcBorders>
            <w:vMerge w:val="continue"/>
          </w:tcPr>
          <w:p>
            <w:pPr>
              <w:spacing w:after="0"/>
              <w:rPr>
                <w:sz w:val="7"/>
                <w:szCs w:val="7"/>
                <w:color w:val="auto"/>
              </w:rPr>
            </w:pPr>
          </w:p>
        </w:tc>
        <w:tc>
          <w:tcPr>
            <w:tcW w:w="400" w:type="dxa"/>
            <w:vAlign w:val="bottom"/>
            <w:tcBorders>
              <w:bottom w:val="single" w:sz="8" w:color="BF5B5A"/>
            </w:tcBorders>
          </w:tcPr>
          <w:p>
            <w:pPr>
              <w:ind w:left="260"/>
              <w:spacing w:after="0" w:line="81" w:lineRule="exact"/>
              <w:rPr>
                <w:sz w:val="20"/>
                <w:szCs w:val="20"/>
                <w:color w:val="auto"/>
              </w:rPr>
            </w:pPr>
            <w:r>
              <w:rPr>
                <w:rFonts w:ascii="Arial" w:cs="Arial" w:eastAsia="Arial" w:hAnsi="Arial"/>
                <w:sz w:val="9"/>
                <w:szCs w:val="9"/>
                <w:color w:val="auto"/>
              </w:rPr>
              <w:t>​</w:t>
            </w:r>
          </w:p>
        </w:tc>
        <w:tc>
          <w:tcPr>
            <w:tcW w:w="380" w:type="dxa"/>
            <w:vAlign w:val="bottom"/>
            <w:tcBorders>
              <w:bottom w:val="single" w:sz="8" w:color="BF5B5A"/>
            </w:tcBorders>
          </w:tcPr>
          <w:p>
            <w:pPr>
              <w:spacing w:after="0"/>
              <w:rPr>
                <w:sz w:val="7"/>
                <w:szCs w:val="7"/>
                <w:color w:val="auto"/>
              </w:rPr>
            </w:pPr>
          </w:p>
        </w:tc>
        <w:tc>
          <w:tcPr>
            <w:tcW w:w="160" w:type="dxa"/>
            <w:vAlign w:val="bottom"/>
            <w:tcBorders>
              <w:bottom w:val="single" w:sz="8" w:color="BF5B5A"/>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hanging="360"/>
        <w:spacing w:after="0"/>
        <w:tabs>
          <w:tab w:leader="none" w:pos="11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3" w:lineRule="exact"/>
        <w:rPr>
          <w:sz w:val="20"/>
          <w:szCs w:val="20"/>
          <w:color w:val="auto"/>
        </w:rPr>
      </w:pPr>
    </w:p>
    <w:p>
      <w:pPr>
        <w:ind w:left="1140" w:hanging="360"/>
        <w:spacing w:after="0"/>
        <w:tabs>
          <w:tab w:leader="none" w:pos="11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127,636,937 shares of First Hawaiian common stock outstanding as of March 1, 2024.</w:t>
      </w:r>
    </w:p>
    <w:p>
      <w:pPr>
        <w:spacing w:after="0" w:line="99" w:lineRule="exact"/>
        <w:rPr>
          <w:rFonts w:ascii="Arial" w:cs="Arial" w:eastAsia="Arial" w:hAnsi="Arial"/>
          <w:sz w:val="16"/>
          <w:szCs w:val="16"/>
          <w:color w:val="auto"/>
        </w:rPr>
      </w:pPr>
    </w:p>
    <w:p>
      <w:pPr>
        <w:ind w:left="1140" w:hanging="360"/>
        <w:spacing w:after="0"/>
        <w:tabs>
          <w:tab w:leader="none" w:pos="11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solely upon information contained in the Amendment No. 5 to Schedule 13G filed by BlackRock, Inc. with the</w:t>
      </w:r>
    </w:p>
    <w:p>
      <w:pPr>
        <w:spacing w:after="0" w:line="208"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87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STOCK OWNERSHIP</w:t>
      </w:r>
    </w:p>
    <w:p>
      <w:pPr>
        <w:spacing w:after="0" w:line="338" w:lineRule="exact"/>
        <w:rPr>
          <w:sz w:val="20"/>
          <w:szCs w:val="20"/>
          <w:color w:val="auto"/>
        </w:rPr>
      </w:pPr>
    </w:p>
    <w:p>
      <w:pPr>
        <w:ind w:left="1140" w:right="280"/>
        <w:spacing w:after="0" w:line="301" w:lineRule="auto"/>
        <w:rPr>
          <w:sz w:val="20"/>
          <w:szCs w:val="20"/>
          <w:color w:val="auto"/>
        </w:rPr>
      </w:pPr>
      <w:r>
        <w:rPr>
          <w:rFonts w:ascii="Arial" w:cs="Arial" w:eastAsia="Arial" w:hAnsi="Arial"/>
          <w:sz w:val="16"/>
          <w:szCs w:val="16"/>
          <w:color w:val="auto"/>
        </w:rPr>
        <w:t>SEC on January 23, 2024, wherein BlackRock, Inc. reported sole voting power as to 16,530,322 shares of common stock and sole dispositive power as to 16,879,941 shares of common stock. The address of BlackRock, Inc. is 50 Hudson Yards, New York, NY 10001.</w:t>
      </w:r>
    </w:p>
    <w:p>
      <w:pPr>
        <w:spacing w:after="0" w:line="23" w:lineRule="exact"/>
        <w:rPr>
          <w:sz w:val="20"/>
          <w:szCs w:val="20"/>
          <w:color w:val="auto"/>
        </w:rPr>
      </w:pPr>
    </w:p>
    <w:p>
      <w:pPr>
        <w:ind w:left="1140" w:right="120" w:hanging="360"/>
        <w:spacing w:after="0" w:line="295"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solely upon information contained in the Amendment No. 6 to Schedule 13G filed by The Vanguard Group with the SEC on February 13, 2024, wherein The Vanguard Group reported shared voting power as to 47,708 shares of common stock, sole dispositive power as to 14,470,265 shares of common stock and shared dispositive power as to 180,968 shares of common stock. The principal business address of The Vanguard Group is 100 Vanguard Blvd., Malvern, PA 19355.</w:t>
      </w:r>
    </w:p>
    <w:p>
      <w:pPr>
        <w:spacing w:after="0" w:line="256" w:lineRule="exact"/>
        <w:rPr>
          <w:rFonts w:ascii="Arial" w:cs="Arial" w:eastAsia="Arial" w:hAnsi="Arial"/>
          <w:sz w:val="16"/>
          <w:szCs w:val="16"/>
          <w:color w:val="auto"/>
        </w:rPr>
      </w:pPr>
    </w:p>
    <w:p>
      <w:pPr>
        <w:ind w:left="1140" w:right="20" w:hanging="360"/>
        <w:spacing w:after="0" w:line="291"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solely upon information contained in the Amendment No. 4 to Schedule 13G filed by Kayne Anderson Rudnick Investment Management LLC (“Kayne Anderson”) with the SEC on February 13, 2024, wherein Kayne Anderson reported sole voting power as to 8,939,786 shares of common stock, sole dispositive power as to 10,378,120 shares of common stock and shared voting power and shared dispositive power as to 2,571,186 shares of common stock. The principal business address of Kayne Anderson is 2000 Avenue of the Stars, Suite 1110, Los Angeles, CA 90067.</w:t>
      </w:r>
    </w:p>
    <w:p>
      <w:pPr>
        <w:spacing w:after="0" w:line="32" w:lineRule="exact"/>
        <w:rPr>
          <w:rFonts w:ascii="Arial" w:cs="Arial" w:eastAsia="Arial" w:hAnsi="Arial"/>
          <w:sz w:val="16"/>
          <w:szCs w:val="16"/>
          <w:color w:val="auto"/>
        </w:rPr>
      </w:pPr>
    </w:p>
    <w:p>
      <w:pPr>
        <w:ind w:left="1140" w:hanging="360"/>
        <w:spacing w:after="0" w:line="288"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solely upon information contained in the Amendment No. 2 to Schedule 13G filed by Manulife Financial Corporation (“MFC”) and MFC’s indirect, wholly owned subsidiaries, Manulife Investment Management Limited (“MIML”) and Manulife Investment Management (US) LLC (“MIM (US)”), with the SEC on February 13, 2024, wherein MFC reported no shares of common stock beneficially owned, MIML reported sole voting and sole dispositive power as to 14,353 shares of common stock and MIM (US) reported sole voting power and sole dispositive power as to 10,155,552 shares of common stock. The principal business address of MFC and MIML is 200 Bloor Street East, Toronto, Ontario, Canada, M4W IE5, and the principal business address of MIM (US) is 197 Clarendon Street, Boston, MA 02116.</w:t>
      </w:r>
    </w:p>
    <w:p>
      <w:pPr>
        <w:spacing w:after="0" w:line="250" w:lineRule="exact"/>
        <w:rPr>
          <w:rFonts w:ascii="Arial" w:cs="Arial" w:eastAsia="Arial" w:hAnsi="Arial"/>
          <w:sz w:val="16"/>
          <w:szCs w:val="16"/>
          <w:color w:val="auto"/>
        </w:rPr>
      </w:pPr>
    </w:p>
    <w:p>
      <w:pPr>
        <w:ind w:left="1140" w:right="140" w:hanging="360"/>
        <w:spacing w:after="0" w:line="291"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 filed by State Street Corporation with the SEC on January 24, 2024, wherein State Street Corporation reported shared voting power as to 693,358 shares of common stock, sole dispositive power as to 6,491,935 shares of common stock and shared dispositive power as to 6,491,935 shares of common stock. The principal business address of State Street Corporation is State Street Financial Center, 1 Congress Street, Suite 1, Boston, MA 02114-2016.</w:t>
      </w:r>
    </w:p>
    <w:p>
      <w:pPr>
        <w:spacing w:after="0" w:line="45" w:lineRule="exact"/>
        <w:rPr>
          <w:rFonts w:ascii="Arial" w:cs="Arial" w:eastAsia="Arial" w:hAnsi="Arial"/>
          <w:sz w:val="16"/>
          <w:szCs w:val="16"/>
          <w:color w:val="auto"/>
        </w:rPr>
      </w:pPr>
    </w:p>
    <w:p>
      <w:pPr>
        <w:ind w:left="1140" w:hanging="360"/>
        <w:spacing w:after="0" w:line="283"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For Mr. Harrison and for directors and executive officers as a group, the amounts shown include 6,073 shares underlying restricted stock unit awards awarded to Mr. Harrison that vested on February 24, 2024, which shares must be delivered to Mr. Harrison within 30 days of the vesting date. Such amount is reported net of shares Mr. Harrison elected to have withheld to satisfy tax obligations. For Messrs. Harrison, Arizumi, Char and Dods and for directors and executive officers as a group, the amounts shown include 6,313, 922 (including 121 shares deemed to be beneficially owned by Mr. Arizumi’s wife), 728, 1,894 and 10,282 shares, respectively, underlying restricted stock unit awards that vested on February 23, 2024, which shares must be delivered to the award recipients within 30 days of the vesting date. Such amounts are reported net of shares such individuals elected to have withheld to satisfy tax obligations. For Messrs. Harrison, Arizumi, Char, Dods and Moses and for directors and executive officers as a group, the amounts shown include 7,764, 1,068 (including 134 shares deemed to be beneficially owned by Mr. Arizumi’s wife), 934, 2,362, 2,224 and 15,032 shares, respectively, underlying restricted stock unit awards that vested on February 22, 2024, which shares must be delivered to the award recipients within 30 days of the vesting date. Such amounts are reported net of shares such individuals elected to have withheld to satisfy tax obligations. For Messrs. Harrison, Arizumi, Char, Dods, Mesick and Mizumoto and for directors and executive officers as a group, the amounts shown includes 33,276, 5,784 (including 640 shares deemed to be beneficially owned by Mr. Arizumi’s wife), 3,552, 4,357, 7,384, 5,569 and 49,065 shares of common stock underlying performance share units that were granted under the LTIP for the 2021-2023 performance cycle, which performance share units vested on February 23, 2024. The shares underlying such awards must be delivered within 30 days of the vesting date. Such amounts are net of shares such individuals elected to have withheld to satisfy tax obligations. For Mr. Arizumi and for all directors and executive officers as a group, in addition to the shares noted above, such amounts include shares owned by Mr. Arizumi’s wife. Mr. Arizumi disclaims beneficial ownership of shares owned by his wife.</w:t>
      </w:r>
    </w:p>
    <w:p>
      <w:pPr>
        <w:spacing w:after="0" w:line="264" w:lineRule="exact"/>
        <w:rPr>
          <w:rFonts w:ascii="Arial" w:cs="Arial" w:eastAsia="Arial" w:hAnsi="Arial"/>
          <w:sz w:val="16"/>
          <w:szCs w:val="16"/>
          <w:color w:val="auto"/>
        </w:rPr>
      </w:pPr>
    </w:p>
    <w:p>
      <w:pPr>
        <w:ind w:left="1140" w:right="700" w:hanging="360"/>
        <w:spacing w:after="0" w:line="281" w:lineRule="auto"/>
        <w:tabs>
          <w:tab w:leader="none" w:pos="11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Amounts shown include 3,713 shares of common stock deemed to be beneficially owned by each of Directors Fujimoto, Kurren, Moffatt, Mugiishi, Thompson, Uyeda, Washington and Wo, which shares underlie restricted</w:t>
      </w:r>
    </w:p>
    <w:p>
      <w:pPr>
        <w:spacing w:after="0" w:line="1" w:lineRule="exact"/>
        <w:rPr>
          <w:rFonts w:ascii="Arial" w:cs="Arial" w:eastAsia="Arial" w:hAnsi="Arial"/>
          <w:sz w:val="16"/>
          <w:szCs w:val="16"/>
          <w:color w:val="auto"/>
        </w:rPr>
      </w:pPr>
    </w:p>
    <w:p>
      <w:pPr>
        <w:ind w:left="1140" w:right="140"/>
        <w:spacing w:after="0" w:line="291" w:lineRule="auto"/>
        <w:rPr>
          <w:rFonts w:ascii="Arial" w:cs="Arial" w:eastAsia="Arial" w:hAnsi="Arial"/>
          <w:sz w:val="16"/>
          <w:szCs w:val="16"/>
          <w:color w:val="auto"/>
        </w:rPr>
      </w:pPr>
      <w:r>
        <w:rPr>
          <w:rFonts w:ascii="Arial" w:cs="Arial" w:eastAsia="Arial" w:hAnsi="Arial"/>
          <w:sz w:val="16"/>
          <w:szCs w:val="16"/>
          <w:color w:val="auto"/>
        </w:rPr>
        <w:t>stock units that will vest on the earlier of  (a) April 26, 2024, (b) the date of First Hawaiian, Inc.’s 2024 annual meeting of stockholders and (c) a change in control of First Hawaiian, Inc., subject to continued service on the Board through the vesting date, and will settle in shares of common stock on a one-for-one basis within 30 days of vesting. For a discussion of these awards, see “</w:t>
      </w:r>
      <w:r>
        <w:rPr>
          <w:rFonts w:ascii="Arial" w:cs="Arial" w:eastAsia="Arial" w:hAnsi="Arial"/>
          <w:sz w:val="16"/>
          <w:szCs w:val="16"/>
          <w:i w:val="1"/>
          <w:iCs w:val="1"/>
          <w:color w:val="auto"/>
        </w:rPr>
        <w:t>Corporate Governance and Board Matters—Board of Directors, Committees and</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Governance—2023 Director Compensation</w:t>
      </w:r>
      <w:r>
        <w:rPr>
          <w:rFonts w:ascii="Arial" w:cs="Arial" w:eastAsia="Arial" w:hAnsi="Arial"/>
          <w:sz w:val="16"/>
          <w:szCs w:val="16"/>
          <w:color w:val="auto"/>
        </w:rPr>
        <w:t>.”</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88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Delinquent Section 16(a) Reports</w:t>
      </w:r>
    </w:p>
    <w:p>
      <w:pPr>
        <w:spacing w:after="0" w:line="258" w:lineRule="exact"/>
        <w:rPr>
          <w:sz w:val="20"/>
          <w:szCs w:val="20"/>
          <w:color w:val="auto"/>
        </w:rPr>
      </w:pPr>
    </w:p>
    <w:p>
      <w:pPr>
        <w:ind w:left="780"/>
        <w:spacing w:after="0" w:line="287" w:lineRule="auto"/>
        <w:rPr>
          <w:sz w:val="20"/>
          <w:szCs w:val="20"/>
          <w:color w:val="auto"/>
        </w:rPr>
      </w:pPr>
      <w:r>
        <w:rPr>
          <w:rFonts w:ascii="Arial" w:cs="Arial" w:eastAsia="Arial" w:hAnsi="Arial"/>
          <w:sz w:val="18"/>
          <w:szCs w:val="18"/>
          <w:color w:val="auto"/>
        </w:rPr>
        <w:t xml:space="preserve">Section 16(a) of the Exchange Act requires our directors and executive officers and persons who own more than 10% of the Company’s common stock to file with the SEC reports concerning their ownership of, and transactions in, such common stock. The reports are published on our website at </w:t>
      </w:r>
      <w:r>
        <w:rPr>
          <w:rFonts w:ascii="Arial" w:cs="Arial" w:eastAsia="Arial" w:hAnsi="Arial"/>
          <w:sz w:val="18"/>
          <w:szCs w:val="18"/>
          <w:color w:val="BF5B5A"/>
        </w:rPr>
        <w:t>http://ir.fhb.com/corporate-governance/highlights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STOCK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Based on a review of these reports filed by the Company’s officers, directors and stockholders, and on written representations from certain reporting persons, the Company believes that its officers, directors and stockholders complied with all filing requirements under Section 16(a) of the Exchange Act during fiscal year 2023, except that Messrs. Dods and Char each filed one late report with respect to one transaction.</w:t>
      </w:r>
    </w:p>
    <w:p>
      <w:pPr>
        <w:spacing w:after="0" w:line="200" w:lineRule="exact"/>
        <w:rPr>
          <w:sz w:val="20"/>
          <w:szCs w:val="20"/>
          <w:color w:val="auto"/>
        </w:rPr>
      </w:pPr>
    </w:p>
    <w:p>
      <w:pPr>
        <w:sectPr>
          <w:pgSz w:w="11900" w:h="16838" w:orient="portrait"/>
          <w:cols w:equalWidth="0" w:num="2">
            <w:col w:w="4920" w:space="700"/>
            <w:col w:w="4340"/>
          </w:cols>
          <w:pgMar w:left="580" w:top="97" w:right="1359" w:bottom="1440" w:gutter="0" w:footer="0" w:header="0"/>
        </w:sectPr>
      </w:pPr>
    </w:p>
    <w:p>
      <w:pPr>
        <w:spacing w:after="0" w:line="30"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BF5B5A"/>
        </w:rPr>
        <w:t>Business Relationships and Related Party Transactions Policy</w:t>
      </w:r>
    </w:p>
    <w:p>
      <w:pPr>
        <w:sectPr>
          <w:pgSz w:w="11900" w:h="16838" w:orient="portrait"/>
          <w:cols w:equalWidth="0" w:num="1">
            <w:col w:w="9960"/>
          </w:cols>
          <w:pgMar w:left="580" w:top="97" w:right="1359" w:bottom="1440" w:gutter="0" w:footer="0" w:header="0"/>
          <w:type w:val="continuous"/>
        </w:sectPr>
      </w:pPr>
    </w:p>
    <w:p>
      <w:pPr>
        <w:spacing w:after="0" w:line="256" w:lineRule="exact"/>
        <w:rPr>
          <w:sz w:val="20"/>
          <w:szCs w:val="20"/>
          <w:color w:val="auto"/>
        </w:rPr>
      </w:pPr>
    </w:p>
    <w:p>
      <w:pPr>
        <w:ind w:left="780"/>
        <w:spacing w:after="0" w:line="275" w:lineRule="auto"/>
        <w:rPr>
          <w:sz w:val="20"/>
          <w:szCs w:val="20"/>
          <w:color w:val="auto"/>
        </w:rPr>
      </w:pPr>
      <w:r>
        <w:rPr>
          <w:rFonts w:ascii="Arial" w:cs="Arial" w:eastAsia="Arial" w:hAnsi="Arial"/>
          <w:sz w:val="18"/>
          <w:szCs w:val="18"/>
          <w:color w:val="auto"/>
        </w:rPr>
        <w:t>We or one of our subsidiaries may occasionally enter into transactions with certain “related persons.” Related persons include our executive officers, directors, nominees for director, 5% or more beneficial owners of our common stock, immediate family members of these persons and entities in which one of these persons has a direct or indirect material interest. We generally refer to transactions with these related persons as “related party transactions.”</w:t>
      </w:r>
    </w:p>
    <w:p>
      <w:pPr>
        <w:spacing w:after="0" w:line="29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Related Party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Board has adopted a written policy governing</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review and approval of transactions with related</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parties that will or may be expected to exceed</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$120,000 in any fiscal year. The policy calls for the</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related party transactions to be reviewed and, if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deemed appropriate, approved or ratified by our</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Audit Committee. Upon determination by our Audit</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Committee that a transaction requires review under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policy, the material facts are required to be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presented to the Audit Committee. In determining</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whether or not to approve a related party</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transaction, our Audit Committee will take into</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account, among other relevant factors, whether the</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related party transaction is in our best interests,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whether it involves a conflict of interest and the</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commercial reasonableness of the transaction. In</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event that we become aware of a related party</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transaction that was not approved under the policy</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before it was entered into, our Audit Committee will</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review such transaction as promptly as reasonably</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practical and will take such course of action as may</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be deemed appropriate under the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circumstances. In the event a member of our Audit Committee is not disinterested with respect to the related party transaction under review, that member may not participate in the review, approval or ratification of that related party transaction.</w:t>
      </w:r>
    </w:p>
    <w:p>
      <w:pPr>
        <w:spacing w:after="0" w:line="10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Certain decisions and transactions are not subject to the related party transaction approval policy, including:</w:t>
      </w:r>
    </w:p>
    <w:p>
      <w:pPr>
        <w:spacing w:after="0" w:line="69" w:lineRule="exact"/>
        <w:rPr>
          <w:sz w:val="20"/>
          <w:szCs w:val="20"/>
          <w:color w:val="auto"/>
        </w:rPr>
      </w:pPr>
    </w:p>
    <w:p>
      <w:pPr>
        <w:ind w:left="620" w:hanging="267"/>
        <w:spacing w:after="0" w:line="318" w:lineRule="auto"/>
        <w:tabs>
          <w:tab w:leader="none" w:pos="620" w:val="left"/>
        </w:tabs>
        <w:numPr>
          <w:ilvl w:val="0"/>
          <w:numId w:val="186"/>
        </w:numPr>
        <w:rPr>
          <w:rFonts w:ascii="Arial" w:cs="Arial" w:eastAsia="Arial" w:hAnsi="Arial"/>
          <w:sz w:val="18"/>
          <w:szCs w:val="18"/>
          <w:color w:val="BF5B5A"/>
        </w:rPr>
      </w:pPr>
      <w:r>
        <w:rPr>
          <w:rFonts w:ascii="Arial" w:cs="Arial" w:eastAsia="Arial" w:hAnsi="Arial"/>
          <w:sz w:val="18"/>
          <w:szCs w:val="18"/>
          <w:color w:val="auto"/>
        </w:rPr>
        <w:t>decisions on compensation or benefits relating to directors or executive officers, and</w:t>
      </w:r>
    </w:p>
    <w:p>
      <w:pPr>
        <w:spacing w:after="0" w:line="4" w:lineRule="exact"/>
        <w:rPr>
          <w:rFonts w:ascii="Arial" w:cs="Arial" w:eastAsia="Arial" w:hAnsi="Arial"/>
          <w:sz w:val="18"/>
          <w:szCs w:val="18"/>
          <w:color w:val="BF5B5A"/>
        </w:rPr>
      </w:pPr>
    </w:p>
    <w:p>
      <w:pPr>
        <w:ind w:left="620" w:right="100" w:hanging="267"/>
        <w:spacing w:after="0" w:line="277" w:lineRule="auto"/>
        <w:tabs>
          <w:tab w:leader="none" w:pos="620" w:val="left"/>
        </w:tabs>
        <w:numPr>
          <w:ilvl w:val="0"/>
          <w:numId w:val="186"/>
        </w:numPr>
        <w:rPr>
          <w:rFonts w:ascii="Arial" w:cs="Arial" w:eastAsia="Arial" w:hAnsi="Arial"/>
          <w:sz w:val="18"/>
          <w:szCs w:val="18"/>
          <w:color w:val="BF5B5A"/>
        </w:rPr>
      </w:pPr>
      <w:r>
        <w:rPr>
          <w:rFonts w:ascii="Arial" w:cs="Arial" w:eastAsia="Arial" w:hAnsi="Arial"/>
          <w:sz w:val="18"/>
          <w:szCs w:val="18"/>
          <w:color w:val="auto"/>
        </w:rPr>
        <w:t>indebtedness to us in the ordinary course of business, on substantially the same terms, including interest rate and collateral, as those prevailing at the time for comparable loans with persons not related to us and not presenting more than the normal risk of collectability or other unfavorable features.</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Other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276034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ordinary course of our business, we have engaged, and expect to continue engaging, through the Bank in ordinary banking transactions with our directors, executive officers, their immediate family members and companies in which they may have a 5% or more beneficial ownership interest, including loans to such persons. All such loans were made on substantially the same terms, including interest rates and collateral, as those prevailing at the time such loan was made as loans made to persons who were not related to us. These loans do not involve more than the normal credit collection risk and do not present any other unfavorable features.</w:t>
      </w:r>
    </w:p>
    <w:p>
      <w:pPr>
        <w:spacing w:after="0" w:line="522"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89</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398145</wp:posOffset>
            </wp:positionV>
            <wp:extent cx="2562860" cy="10204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6286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FREQUENTLY ASKED</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QUESTIONS ABOUT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THE ANNUAL MEETING</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AND VOTING</w:t>
      </w:r>
    </w:p>
    <w:p>
      <w:pPr>
        <w:spacing w:after="0" w:line="200" w:lineRule="exact"/>
        <w:rPr>
          <w:sz w:val="20"/>
          <w:szCs w:val="20"/>
          <w:color w:val="auto"/>
        </w:rPr>
      </w:pPr>
    </w:p>
    <w:p>
      <w:pPr>
        <w:spacing w:after="0" w:line="331" w:lineRule="exact"/>
        <w:rPr>
          <w:sz w:val="20"/>
          <w:szCs w:val="20"/>
          <w:color w:val="auto"/>
        </w:rPr>
      </w:pPr>
    </w:p>
    <w:p>
      <w:pPr>
        <w:jc w:val="right"/>
        <w:ind w:right="480"/>
        <w:spacing w:after="0"/>
        <w:rPr>
          <w:sz w:val="20"/>
          <w:szCs w:val="20"/>
          <w:color w:val="auto"/>
        </w:rPr>
      </w:pPr>
      <w:r>
        <w:rPr>
          <w:rFonts w:ascii="Arial" w:cs="Arial" w:eastAsia="Arial" w:hAnsi="Arial"/>
          <w:sz w:val="22"/>
          <w:szCs w:val="22"/>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63500</wp:posOffset>
            </wp:positionV>
            <wp:extent cx="276034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When and where is the Annual Meeting?</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Annual Meeting will be held:</w:t>
      </w:r>
    </w:p>
    <w:p>
      <w:pPr>
        <w:spacing w:after="0" w:line="1" w:lineRule="exact"/>
        <w:rPr>
          <w:sz w:val="20"/>
          <w:szCs w:val="20"/>
          <w:color w:val="auto"/>
        </w:rPr>
      </w:pPr>
    </w:p>
    <w:p>
      <w:pPr>
        <w:sectPr>
          <w:pgSz w:w="11900" w:h="16838" w:orient="portrait"/>
          <w:cols w:equalWidth="0" w:num="2">
            <w:col w:w="4880" w:space="720"/>
            <w:col w:w="4420"/>
          </w:cols>
          <w:pgMar w:left="580" w:top="97" w:right="1299" w:bottom="1440" w:gutter="0" w:footer="0" w:header="0"/>
        </w:sectPr>
      </w:pPr>
    </w:p>
    <w:p>
      <w:pPr>
        <w:ind w:left="780" w:right="100"/>
        <w:spacing w:after="0" w:line="284" w:lineRule="auto"/>
        <w:rPr>
          <w:sz w:val="20"/>
          <w:szCs w:val="20"/>
          <w:color w:val="auto"/>
        </w:rPr>
      </w:pPr>
      <w:r>
        <w:rPr>
          <w:rFonts w:ascii="Arial" w:cs="Arial" w:eastAsia="Arial" w:hAnsi="Arial"/>
          <w:sz w:val="18"/>
          <w:szCs w:val="18"/>
          <w:color w:val="auto"/>
        </w:rPr>
        <w:t>We are providing these proxy materials to you in connection with the solicitation, by the Board of Directors of First Hawaiian, Inc., of proxies to be voted at the Annual Meeting. You are receiving this Proxy Statement because you were a First Hawaiian, Inc. stockholder as of the close of business on March 1, 2024, the record date for the Annual Meeting.</w:t>
      </w:r>
    </w:p>
    <w:p>
      <w:pPr>
        <w:spacing w:after="0" w:line="102" w:lineRule="exact"/>
        <w:rPr>
          <w:sz w:val="20"/>
          <w:szCs w:val="20"/>
          <w:color w:val="auto"/>
        </w:rPr>
      </w:pPr>
    </w:p>
    <w:p>
      <w:pPr>
        <w:ind w:left="780"/>
        <w:spacing w:after="0" w:line="294" w:lineRule="auto"/>
        <w:rPr>
          <w:sz w:val="20"/>
          <w:szCs w:val="20"/>
          <w:color w:val="auto"/>
        </w:rPr>
      </w:pPr>
      <w:r>
        <w:rPr>
          <w:rFonts w:ascii="Arial" w:cs="Arial" w:eastAsia="Arial" w:hAnsi="Arial"/>
          <w:sz w:val="18"/>
          <w:szCs w:val="18"/>
          <w:color w:val="auto"/>
        </w:rPr>
        <w:t>This Proxy Statement provides notice of the Annual Meeting, describes the proposals presented for stockholder action and includes information required to be disclosed to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-521970</wp:posOffset>
            </wp:positionV>
            <wp:extent cx="1062990" cy="5486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062990" cy="548640"/>
                    </a:xfrm>
                    <a:prstGeom prst="rect">
                      <a:avLst/>
                    </a:prstGeom>
                    <a:noFill/>
                  </pic:spPr>
                </pic:pic>
              </a:graphicData>
            </a:graphic>
          </wp:anchor>
        </w:drawing>
      </w:r>
    </w:p>
    <w:p>
      <w:pPr>
        <w:spacing w:after="0" w:line="5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Wednesday, April 24, 2024</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4"/>
          <w:szCs w:val="14"/>
          <w:color w:val="auto"/>
        </w:rPr>
        <w:t>8:00 a.m., Hawaii Standard Time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64"/>
        </w:trPr>
        <w:tc>
          <w:tcPr>
            <w:tcW w:w="160" w:type="dxa"/>
            <w:vAlign w:val="bottom"/>
            <w:tcBorders>
              <w:right w:val="single" w:sz="8" w:color="BF5B5A"/>
            </w:tcBorders>
          </w:tcPr>
          <w:p>
            <w:pPr>
              <w:spacing w:after="0"/>
              <w:rPr>
                <w:sz w:val="20"/>
                <w:szCs w:val="20"/>
                <w:color w:val="auto"/>
              </w:rPr>
            </w:pPr>
            <w:r>
              <w:rPr>
                <w:rFonts w:ascii="Arial" w:cs="Arial" w:eastAsia="Arial" w:hAnsi="Arial"/>
                <w:sz w:val="18"/>
                <w:szCs w:val="18"/>
                <w:b w:val="1"/>
                <w:bCs w:val="1"/>
                <w:color w:val="FFFFFF"/>
              </w:rPr>
              <w:t>​</w:t>
            </w:r>
          </w:p>
        </w:tc>
        <w:tc>
          <w:tcPr>
            <w:tcW w:w="140" w:type="dxa"/>
            <w:vAlign w:val="bottom"/>
          </w:tcPr>
          <w:p>
            <w:pPr>
              <w:spacing w:after="0"/>
              <w:rPr>
                <w:sz w:val="20"/>
                <w:szCs w:val="20"/>
                <w:color w:val="auto"/>
              </w:rPr>
            </w:pPr>
            <w:r>
              <w:rPr>
                <w:rFonts w:ascii="Arial" w:cs="Arial" w:eastAsia="Arial" w:hAnsi="Arial"/>
                <w:sz w:val="18"/>
                <w:szCs w:val="18"/>
                <w:b w:val="1"/>
                <w:bCs w:val="1"/>
                <w:color w:val="FFFFFF"/>
              </w:rPr>
              <w:t>​</w:t>
            </w:r>
          </w:p>
        </w:tc>
        <w:tc>
          <w:tcPr>
            <w:tcW w:w="2380" w:type="dxa"/>
            <w:vAlign w:val="bottom"/>
            <w:shd w:val="clear" w:color="auto" w:fill="BF5B5A"/>
          </w:tcPr>
          <w:p>
            <w:pPr>
              <w:ind w:left="660"/>
              <w:spacing w:after="0"/>
              <w:rPr>
                <w:sz w:val="20"/>
                <w:szCs w:val="20"/>
                <w:color w:val="auto"/>
              </w:rPr>
            </w:pPr>
            <w:r>
              <w:rPr>
                <w:rFonts w:ascii="Arial" w:cs="Arial" w:eastAsia="Arial" w:hAnsi="Arial"/>
                <w:sz w:val="18"/>
                <w:szCs w:val="18"/>
                <w:b w:val="1"/>
                <w:bCs w:val="1"/>
                <w:color w:val="FFFFFF"/>
              </w:rPr>
              <w:t>Where</w:t>
            </w:r>
          </w:p>
        </w:tc>
        <w:tc>
          <w:tcPr>
            <w:tcW w:w="60" w:type="dxa"/>
            <w:vAlign w:val="bottom"/>
          </w:tcPr>
          <w:p>
            <w:pPr>
              <w:spacing w:after="0"/>
              <w:rPr>
                <w:sz w:val="20"/>
                <w:szCs w:val="20"/>
                <w:color w:val="auto"/>
              </w:rPr>
            </w:pPr>
            <w:r>
              <w:rPr>
                <w:rFonts w:ascii="Arial" w:cs="Arial" w:eastAsia="Arial" w:hAnsi="Arial"/>
                <w:sz w:val="18"/>
                <w:szCs w:val="18"/>
                <w:b w:val="1"/>
                <w:bCs w:val="1"/>
                <w:color w:val="FFFFFF"/>
              </w:rPr>
              <w:t>​</w:t>
            </w:r>
          </w:p>
        </w:tc>
      </w:tr>
      <w:tr>
        <w:trPr>
          <w:trHeight w:val="220"/>
        </w:trPr>
        <w:tc>
          <w:tcPr>
            <w:tcW w:w="160" w:type="dxa"/>
            <w:vAlign w:val="bottom"/>
            <w:tcBorders>
              <w:right w:val="single" w:sz="8" w:color="BF5B5A"/>
            </w:tcBorders>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2380" w:type="dxa"/>
            <w:vAlign w:val="bottom"/>
          </w:tcPr>
          <w:p>
            <w:pPr>
              <w:spacing w:after="0"/>
              <w:rPr>
                <w:sz w:val="20"/>
                <w:szCs w:val="20"/>
                <w:color w:val="auto"/>
              </w:rPr>
            </w:pPr>
            <w:r>
              <w:rPr>
                <w:rFonts w:ascii="Arial" w:cs="Arial" w:eastAsia="Arial" w:hAnsi="Arial"/>
                <w:sz w:val="14"/>
                <w:szCs w:val="14"/>
                <w:i w:val="1"/>
                <w:iCs w:val="1"/>
                <w:color w:val="auto"/>
              </w:rPr>
              <w:t xml:space="preserve">Virtually via webcast. </w:t>
            </w:r>
            <w:r>
              <w:rPr>
                <w:rFonts w:ascii="Arial" w:cs="Arial" w:eastAsia="Arial" w:hAnsi="Arial"/>
                <w:sz w:val="14"/>
                <w:szCs w:val="14"/>
                <w:color w:val="auto"/>
              </w:rPr>
              <w:t>To join the</w:t>
            </w:r>
          </w:p>
        </w:tc>
        <w:tc>
          <w:tcPr>
            <w:tcW w:w="60" w:type="dxa"/>
            <w:vAlign w:val="bottom"/>
          </w:tcPr>
          <w:p>
            <w:pPr>
              <w:spacing w:after="0"/>
              <w:rPr>
                <w:sz w:val="20"/>
                <w:szCs w:val="20"/>
                <w:color w:val="auto"/>
              </w:rPr>
            </w:pPr>
            <w:r>
              <w:rPr>
                <w:rFonts w:ascii="Arial" w:cs="Arial" w:eastAsia="Arial" w:hAnsi="Arial"/>
                <w:sz w:val="14"/>
                <w:szCs w:val="14"/>
                <w:color w:val="auto"/>
              </w:rPr>
              <w:t>​</w:t>
            </w:r>
          </w:p>
        </w:tc>
      </w:tr>
      <w:tr>
        <w:trPr>
          <w:trHeight w:val="189"/>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Annual Meeting, visit</w:t>
            </w:r>
          </w:p>
        </w:tc>
        <w:tc>
          <w:tcPr>
            <w:tcW w:w="60" w:type="dxa"/>
            <w:vAlign w:val="bottom"/>
          </w:tcPr>
          <w:p>
            <w:pPr>
              <w:spacing w:after="0"/>
              <w:rPr>
                <w:sz w:val="16"/>
                <w:szCs w:val="16"/>
                <w:color w:val="auto"/>
              </w:rPr>
            </w:pPr>
          </w:p>
        </w:tc>
      </w:tr>
      <w:tr>
        <w:trPr>
          <w:trHeight w:val="189"/>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BF5B5A"/>
              </w:rPr>
              <w:t>https://web.lumiagm.com/224987645</w:t>
            </w:r>
            <w:r>
              <w:rPr>
                <w:rFonts w:ascii="Arial" w:cs="Arial" w:eastAsia="Arial" w:hAnsi="Arial"/>
                <w:sz w:val="14"/>
                <w:szCs w:val="14"/>
                <w:color w:val="000000"/>
              </w:rPr>
              <w:t>​</w:t>
            </w:r>
          </w:p>
        </w:tc>
        <w:tc>
          <w:tcPr>
            <w:tcW w:w="60" w:type="dxa"/>
            <w:vAlign w:val="bottom"/>
          </w:tcPr>
          <w:p>
            <w:pPr>
              <w:spacing w:after="0"/>
              <w:rPr>
                <w:sz w:val="16"/>
                <w:szCs w:val="16"/>
                <w:color w:val="auto"/>
              </w:rPr>
            </w:pPr>
          </w:p>
        </w:tc>
      </w:tr>
      <w:tr>
        <w:trPr>
          <w:trHeight w:val="190"/>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password fh2024 (case sensitive),</w:t>
            </w:r>
          </w:p>
        </w:tc>
        <w:tc>
          <w:tcPr>
            <w:tcW w:w="60" w:type="dxa"/>
            <w:vAlign w:val="bottom"/>
          </w:tcPr>
          <w:p>
            <w:pPr>
              <w:spacing w:after="0"/>
              <w:rPr>
                <w:sz w:val="16"/>
                <w:szCs w:val="16"/>
                <w:color w:val="auto"/>
              </w:rPr>
            </w:pPr>
          </w:p>
        </w:tc>
      </w:tr>
      <w:tr>
        <w:trPr>
          <w:trHeight w:val="201"/>
        </w:trPr>
        <w:tc>
          <w:tcPr>
            <w:tcW w:w="160" w:type="dxa"/>
            <w:vAlign w:val="bottom"/>
            <w:tcBorders>
              <w:right w:val="single" w:sz="8" w:color="BF5B5A"/>
            </w:tcBorders>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access available beginning at</w:t>
            </w:r>
          </w:p>
        </w:tc>
        <w:tc>
          <w:tcPr>
            <w:tcW w:w="60" w:type="dxa"/>
            <w:vAlign w:val="bottom"/>
          </w:tcPr>
          <w:p>
            <w:pPr>
              <w:spacing w:after="0"/>
              <w:rPr>
                <w:sz w:val="17"/>
                <w:szCs w:val="17"/>
                <w:color w:val="auto"/>
              </w:rPr>
            </w:pPr>
          </w:p>
        </w:tc>
      </w:tr>
      <w:tr>
        <w:trPr>
          <w:trHeight w:val="189"/>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7:30 a.m. local time in Honolulu,</w:t>
            </w:r>
          </w:p>
        </w:tc>
        <w:tc>
          <w:tcPr>
            <w:tcW w:w="60" w:type="dxa"/>
            <w:vAlign w:val="bottom"/>
          </w:tcPr>
          <w:p>
            <w:pPr>
              <w:spacing w:after="0"/>
              <w:rPr>
                <w:sz w:val="16"/>
                <w:szCs w:val="16"/>
                <w:color w:val="auto"/>
              </w:rPr>
            </w:pPr>
          </w:p>
        </w:tc>
      </w:tr>
      <w:tr>
        <w:trPr>
          <w:trHeight w:val="189"/>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Hawaii on April 24, 2024. There will</w:t>
            </w:r>
          </w:p>
        </w:tc>
        <w:tc>
          <w:tcPr>
            <w:tcW w:w="60" w:type="dxa"/>
            <w:vAlign w:val="bottom"/>
          </w:tcPr>
          <w:p>
            <w:pPr>
              <w:spacing w:after="0"/>
              <w:rPr>
                <w:sz w:val="16"/>
                <w:szCs w:val="16"/>
                <w:color w:val="auto"/>
              </w:rPr>
            </w:pPr>
          </w:p>
        </w:tc>
      </w:tr>
      <w:tr>
        <w:trPr>
          <w:trHeight w:val="189"/>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not be a physical meeting in Hawaii</w:t>
            </w:r>
          </w:p>
        </w:tc>
        <w:tc>
          <w:tcPr>
            <w:tcW w:w="60" w:type="dxa"/>
            <w:vAlign w:val="bottom"/>
          </w:tcPr>
          <w:p>
            <w:pPr>
              <w:spacing w:after="0"/>
              <w:rPr>
                <w:sz w:val="16"/>
                <w:szCs w:val="16"/>
                <w:color w:val="auto"/>
              </w:rPr>
            </w:pPr>
          </w:p>
        </w:tc>
      </w:tr>
      <w:tr>
        <w:trPr>
          <w:trHeight w:val="190"/>
        </w:trPr>
        <w:tc>
          <w:tcPr>
            <w:tcW w:w="160" w:type="dxa"/>
            <w:vAlign w:val="bottom"/>
            <w:tcBorders>
              <w:right w:val="single" w:sz="8" w:color="BF5B5A"/>
            </w:tcBorders>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or anywhere else.</w:t>
            </w:r>
          </w:p>
        </w:tc>
        <w:tc>
          <w:tcPr>
            <w:tcW w:w="60" w:type="dxa"/>
            <w:vAlign w:val="bottom"/>
          </w:tcPr>
          <w:p>
            <w:pPr>
              <w:spacing w:after="0"/>
              <w:rPr>
                <w:sz w:val="16"/>
                <w:szCs w:val="16"/>
                <w:color w:val="auto"/>
              </w:rPr>
            </w:pPr>
          </w:p>
        </w:tc>
      </w:tr>
      <w:tr>
        <w:trPr>
          <w:trHeight w:val="62"/>
        </w:trPr>
        <w:tc>
          <w:tcPr>
            <w:tcW w:w="160" w:type="dxa"/>
            <w:vAlign w:val="bottom"/>
            <w:tcBorders>
              <w:right w:val="single" w:sz="8" w:color="BF5B5A"/>
            </w:tcBorders>
          </w:tcPr>
          <w:p>
            <w:pPr>
              <w:spacing w:after="0"/>
              <w:rPr>
                <w:sz w:val="5"/>
                <w:szCs w:val="5"/>
                <w:color w:val="auto"/>
              </w:rPr>
            </w:pPr>
          </w:p>
        </w:tc>
        <w:tc>
          <w:tcPr>
            <w:tcW w:w="1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-1465580</wp:posOffset>
            </wp:positionV>
            <wp:extent cx="179705" cy="2482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9705" cy="24828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3">
            <w:col w:w="5080" w:space="600"/>
            <w:col w:w="1400" w:space="200"/>
            <w:col w:w="2740"/>
          </w:cols>
          <w:pgMar w:left="580" w:top="97" w:right="1299" w:bottom="1440" w:gutter="0" w:footer="0" w:header="0"/>
          <w:type w:val="continuous"/>
        </w:sectPr>
      </w:pPr>
    </w:p>
    <w:p>
      <w:pPr>
        <w:spacing w:after="0" w:line="153" w:lineRule="exact"/>
        <w:rPr>
          <w:sz w:val="20"/>
          <w:szCs w:val="20"/>
          <w:color w:val="auto"/>
        </w:rPr>
      </w:pPr>
    </w:p>
    <w:p>
      <w:pPr>
        <w:ind w:left="820" w:right="580"/>
        <w:spacing w:after="0" w:line="298" w:lineRule="auto"/>
        <w:rPr>
          <w:sz w:val="20"/>
          <w:szCs w:val="20"/>
          <w:color w:val="auto"/>
        </w:rPr>
      </w:pPr>
      <w:r>
        <w:rPr>
          <w:rFonts w:ascii="Arial" w:cs="Arial" w:eastAsia="Arial" w:hAnsi="Arial"/>
          <w:sz w:val="22"/>
          <w:szCs w:val="22"/>
          <w:b w:val="1"/>
          <w:bCs w:val="1"/>
          <w:color w:val="auto"/>
        </w:rPr>
        <w:t>What matters will be submitted to stockholders at the Annual Meeting, and what are the Board’s recommendations as to how I should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58293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At the Annual Meeting, you will be asked to vote on each of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146050</wp:posOffset>
            </wp:positionV>
            <wp:extent cx="5829300" cy="291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829300" cy="29146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80" w:hanging="100"/>
        <w:spacing w:after="0"/>
        <w:tabs>
          <w:tab w:leader="none" w:pos="880" w:val="left"/>
        </w:tabs>
        <w:numPr>
          <w:ilvl w:val="0"/>
          <w:numId w:val="187"/>
        </w:numPr>
        <w:rPr>
          <w:rFonts w:ascii="Arial" w:cs="Arial" w:eastAsia="Arial" w:hAnsi="Arial"/>
          <w:sz w:val="17"/>
          <w:szCs w:val="17"/>
          <w:b w:val="1"/>
          <w:bCs w:val="1"/>
          <w:color w:val="FFFFFF"/>
        </w:rPr>
      </w:pPr>
      <w:r>
        <w:rPr>
          <w:rFonts w:ascii="Arial" w:cs="Arial" w:eastAsia="Arial" w:hAnsi="Arial"/>
          <w:sz w:val="17"/>
          <w:szCs w:val="17"/>
          <w:b w:val="1"/>
          <w:bCs w:val="1"/>
          <w:color w:val="FFFFFF"/>
        </w:rPr>
        <w:t>Proposal</w:t>
      </w:r>
    </w:p>
    <w:p>
      <w:pPr>
        <w:spacing w:after="0" w:line="39" w:lineRule="exact"/>
        <w:rPr>
          <w:rFonts w:ascii="Arial" w:cs="Arial" w:eastAsia="Arial" w:hAnsi="Arial"/>
          <w:sz w:val="17"/>
          <w:szCs w:val="17"/>
          <w:b w:val="1"/>
          <w:bCs w:val="1"/>
          <w:color w:val="FFFFFF"/>
        </w:rPr>
      </w:pPr>
    </w:p>
    <w:p>
      <w:pPr>
        <w:ind w:left="1220" w:hanging="440"/>
        <w:spacing w:after="0" w:line="181" w:lineRule="auto"/>
        <w:tabs>
          <w:tab w:leader="none" w:pos="896" w:val="left"/>
        </w:tabs>
        <w:numPr>
          <w:ilvl w:val="0"/>
          <w:numId w:val="187"/>
        </w:numPr>
        <w:rPr>
          <w:rFonts w:ascii="Arial" w:cs="Arial" w:eastAsia="Arial" w:hAnsi="Arial"/>
          <w:sz w:val="30"/>
          <w:szCs w:val="30"/>
          <w:color w:val="auto"/>
          <w:vertAlign w:val="superscript"/>
        </w:rPr>
      </w:pPr>
      <w:r>
        <w:rPr>
          <w:rFonts w:ascii="Arial" w:cs="Arial" w:eastAsia="Arial" w:hAnsi="Arial"/>
          <w:sz w:val="46"/>
          <w:szCs w:val="46"/>
          <w:b w:val="1"/>
          <w:bCs w:val="1"/>
          <w:color w:val="BF5B5A"/>
          <w:vertAlign w:val="subscript"/>
        </w:rPr>
        <w:t>1.</w:t>
      </w:r>
      <w:r>
        <w:rPr>
          <w:rFonts w:ascii="Arial" w:cs="Arial" w:eastAsia="Arial" w:hAnsi="Arial"/>
          <w:sz w:val="30"/>
          <w:szCs w:val="30"/>
          <w:color w:val="auto"/>
          <w:vertAlign w:val="superscript"/>
        </w:rPr>
        <w:t>​​</w:t>
      </w:r>
      <w:r>
        <w:rPr>
          <w:rFonts w:ascii="Arial" w:cs="Arial" w:eastAsia="Arial" w:hAnsi="Arial"/>
          <w:sz w:val="16"/>
          <w:szCs w:val="16"/>
          <w:color w:val="auto"/>
        </w:rPr>
        <w:t>The election to our Board of Directors of the nine nominees named in the attached Proxy Statement to serve until the 2024 Annual Meeting of Stockholders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1780" w:type="dxa"/>
            <w:vAlign w:val="bottom"/>
          </w:tcPr>
          <w:p>
            <w:pPr>
              <w:ind w:left="20"/>
              <w:spacing w:after="0"/>
              <w:rPr>
                <w:sz w:val="20"/>
                <w:szCs w:val="20"/>
                <w:color w:val="auto"/>
              </w:rPr>
            </w:pPr>
            <w:r>
              <w:rPr>
                <w:rFonts w:ascii="Arial" w:cs="Arial" w:eastAsia="Arial" w:hAnsi="Arial"/>
                <w:sz w:val="17"/>
                <w:szCs w:val="17"/>
                <w:b w:val="1"/>
                <w:bCs w:val="1"/>
                <w:color w:val="FFFFFF"/>
              </w:rPr>
              <w:t>Board Voting</w:t>
            </w:r>
          </w:p>
        </w:tc>
        <w:tc>
          <w:tcPr>
            <w:tcW w:w="620" w:type="dxa"/>
            <w:vAlign w:val="bottom"/>
          </w:tcPr>
          <w:p>
            <w:pPr>
              <w:spacing w:after="0"/>
              <w:rPr>
                <w:sz w:val="16"/>
                <w:szCs w:val="16"/>
                <w:color w:val="auto"/>
              </w:rPr>
            </w:pPr>
          </w:p>
        </w:tc>
        <w:tc>
          <w:tcPr>
            <w:tcW w:w="420" w:type="dxa"/>
            <w:vAlign w:val="bottom"/>
            <w:gridSpan w:val="3"/>
          </w:tcPr>
          <w:p>
            <w:pPr>
              <w:ind w:left="60"/>
              <w:spacing w:after="0"/>
              <w:rPr>
                <w:sz w:val="20"/>
                <w:szCs w:val="20"/>
                <w:color w:val="auto"/>
              </w:rPr>
            </w:pPr>
            <w:r>
              <w:rPr>
                <w:rFonts w:ascii="Arial" w:cs="Arial" w:eastAsia="Arial" w:hAnsi="Arial"/>
                <w:sz w:val="17"/>
                <w:szCs w:val="17"/>
                <w:b w:val="1"/>
                <w:bCs w:val="1"/>
                <w:color w:val="FFFFFF"/>
              </w:rPr>
              <w:t>See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960" w:type="dxa"/>
            <w:vAlign w:val="bottom"/>
            <w:gridSpan w:val="2"/>
          </w:tcPr>
          <w:p>
            <w:pPr>
              <w:spacing w:after="0"/>
              <w:rPr>
                <w:sz w:val="20"/>
                <w:szCs w:val="20"/>
                <w:color w:val="auto"/>
              </w:rPr>
            </w:pPr>
            <w:r>
              <w:rPr>
                <w:rFonts w:ascii="Arial" w:cs="Arial" w:eastAsia="Arial" w:hAnsi="Arial"/>
                <w:sz w:val="17"/>
                <w:szCs w:val="17"/>
                <w:b w:val="1"/>
                <w:bCs w:val="1"/>
                <w:color w:val="FFFFFF"/>
              </w:rPr>
              <w:t>​ ​ Recommendation</w:t>
            </w:r>
          </w:p>
        </w:tc>
        <w:tc>
          <w:tcPr>
            <w:tcW w:w="620" w:type="dxa"/>
            <w:vAlign w:val="bottom"/>
          </w:tcPr>
          <w:p>
            <w:pPr>
              <w:ind w:left="420"/>
              <w:spacing w:after="0"/>
              <w:rPr>
                <w:sz w:val="20"/>
                <w:szCs w:val="20"/>
                <w:color w:val="auto"/>
              </w:rPr>
            </w:pPr>
            <w:r>
              <w:rPr>
                <w:rFonts w:ascii="Arial" w:cs="Arial" w:eastAsia="Arial" w:hAnsi="Arial"/>
                <w:sz w:val="17"/>
                <w:szCs w:val="17"/>
                <w:b w:val="1"/>
                <w:bCs w:val="1"/>
                <w:color w:val="FFFFFF"/>
              </w:rPr>
              <w:t>​ ​</w:t>
            </w:r>
          </w:p>
        </w:tc>
        <w:tc>
          <w:tcPr>
            <w:tcW w:w="540" w:type="dxa"/>
            <w:vAlign w:val="bottom"/>
            <w:gridSpan w:val="4"/>
          </w:tcPr>
          <w:p>
            <w:pPr>
              <w:jc w:val="right"/>
              <w:spacing w:after="0"/>
              <w:rPr>
                <w:sz w:val="20"/>
                <w:szCs w:val="20"/>
                <w:color w:val="auto"/>
              </w:rPr>
            </w:pPr>
            <w:r>
              <w:rPr>
                <w:rFonts w:ascii="Arial" w:cs="Arial" w:eastAsia="Arial" w:hAnsi="Arial"/>
                <w:sz w:val="17"/>
                <w:szCs w:val="17"/>
                <w:b w:val="1"/>
                <w:bCs w:val="1"/>
                <w:color w:val="FFFFFF"/>
              </w:rPr>
              <w:t>Page ​</w:t>
            </w:r>
          </w:p>
        </w:tc>
        <w:tc>
          <w:tcPr>
            <w:tcW w:w="0" w:type="dxa"/>
            <w:vAlign w:val="bottom"/>
          </w:tcPr>
          <w:p>
            <w:pPr>
              <w:spacing w:after="0"/>
              <w:rPr>
                <w:sz w:val="1"/>
                <w:szCs w:val="1"/>
                <w:color w:val="auto"/>
              </w:rPr>
            </w:pPr>
          </w:p>
        </w:tc>
      </w:tr>
      <w:tr>
        <w:trPr>
          <w:trHeight w:val="163"/>
        </w:trPr>
        <w:tc>
          <w:tcPr>
            <w:tcW w:w="180" w:type="dxa"/>
            <w:vAlign w:val="bottom"/>
          </w:tcPr>
          <w:p>
            <w:pPr>
              <w:spacing w:after="0" w:line="163" w:lineRule="exact"/>
              <w:rPr>
                <w:sz w:val="20"/>
                <w:szCs w:val="20"/>
                <w:color w:val="auto"/>
              </w:rPr>
            </w:pPr>
            <w:r>
              <w:rPr>
                <w:rFonts w:ascii="Arial" w:cs="Arial" w:eastAsia="Arial" w:hAnsi="Arial"/>
                <w:sz w:val="16"/>
                <w:szCs w:val="16"/>
                <w:color w:val="auto"/>
              </w:rPr>
              <w:t>​ ​</w:t>
            </w:r>
          </w:p>
        </w:tc>
        <w:tc>
          <w:tcPr>
            <w:tcW w:w="1780" w:type="dxa"/>
            <w:vAlign w:val="bottom"/>
          </w:tcPr>
          <w:p>
            <w:pPr>
              <w:ind w:left="460"/>
              <w:spacing w:after="0" w:line="163" w:lineRule="exact"/>
              <w:rPr>
                <w:sz w:val="20"/>
                <w:szCs w:val="20"/>
                <w:color w:val="auto"/>
              </w:rPr>
            </w:pPr>
            <w:r>
              <w:rPr>
                <w:rFonts w:ascii="Arial" w:cs="Arial" w:eastAsia="Arial" w:hAnsi="Arial"/>
                <w:sz w:val="16"/>
                <w:szCs w:val="16"/>
                <w:color w:val="auto"/>
              </w:rPr>
              <w:t>​</w:t>
            </w:r>
          </w:p>
        </w:tc>
        <w:tc>
          <w:tcPr>
            <w:tcW w:w="620" w:type="dxa"/>
            <w:vAlign w:val="bottom"/>
          </w:tcPr>
          <w:p>
            <w:pPr>
              <w:ind w:left="420"/>
              <w:spacing w:after="0" w:line="163" w:lineRule="exact"/>
              <w:rPr>
                <w:sz w:val="20"/>
                <w:szCs w:val="20"/>
                <w:color w:val="auto"/>
              </w:rPr>
            </w:pPr>
            <w:r>
              <w:rPr>
                <w:rFonts w:ascii="Arial" w:cs="Arial" w:eastAsia="Arial" w:hAnsi="Arial"/>
                <w:sz w:val="16"/>
                <w:szCs w:val="16"/>
                <w:color w:val="auto"/>
              </w:rPr>
              <w:t>​ ​</w:t>
            </w:r>
          </w:p>
        </w:tc>
        <w:tc>
          <w:tcPr>
            <w:tcW w:w="16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15</w:t>
            </w:r>
          </w:p>
        </w:tc>
        <w:tc>
          <w:tcPr>
            <w:tcW w:w="8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180" w:type="dxa"/>
            <w:vAlign w:val="bottom"/>
          </w:tcPr>
          <w:p>
            <w:pPr>
              <w:spacing w:after="0"/>
              <w:rPr>
                <w:sz w:val="7"/>
                <w:szCs w:val="7"/>
                <w:color w:val="auto"/>
              </w:rPr>
            </w:pPr>
          </w:p>
        </w:tc>
        <w:tc>
          <w:tcPr>
            <w:tcW w:w="1780" w:type="dxa"/>
            <w:vAlign w:val="bottom"/>
          </w:tcPr>
          <w:p>
            <w:pPr>
              <w:ind w:left="460"/>
              <w:spacing w:after="0" w:line="81" w:lineRule="exact"/>
              <w:rPr>
                <w:sz w:val="20"/>
                <w:szCs w:val="20"/>
                <w:color w:val="auto"/>
              </w:rPr>
            </w:pPr>
            <w:r>
              <w:rPr>
                <w:rFonts w:ascii="Arial" w:cs="Arial" w:eastAsia="Arial" w:hAnsi="Arial"/>
                <w:sz w:val="9"/>
                <w:szCs w:val="9"/>
                <w:b w:val="1"/>
                <w:bCs w:val="1"/>
                <w:color w:val="BF5B5A"/>
              </w:rPr>
              <w:t xml:space="preserve">FOR </w:t>
            </w:r>
            <w:r>
              <w:rPr>
                <w:rFonts w:ascii="Arial" w:cs="Arial" w:eastAsia="Arial" w:hAnsi="Arial"/>
                <w:sz w:val="9"/>
                <w:szCs w:val="9"/>
                <w:color w:val="000000"/>
              </w:rPr>
              <w:t>each</w:t>
            </w:r>
          </w:p>
        </w:tc>
        <w:tc>
          <w:tcPr>
            <w:tcW w:w="6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-76835</wp:posOffset>
            </wp:positionV>
            <wp:extent cx="188595" cy="1885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director nominee</w:t>
      </w:r>
    </w:p>
    <w:p>
      <w:pPr>
        <w:spacing w:after="0" w:line="247" w:lineRule="exact"/>
        <w:rPr>
          <w:sz w:val="20"/>
          <w:szCs w:val="20"/>
          <w:color w:val="auto"/>
        </w:rPr>
      </w:pPr>
    </w:p>
    <w:p>
      <w:pPr>
        <w:sectPr>
          <w:pgSz w:w="11900" w:h="16838" w:orient="portrait"/>
          <w:cols w:equalWidth="0" w:num="2">
            <w:col w:w="6620" w:space="160"/>
            <w:col w:w="3240"/>
          </w:cols>
          <w:pgMar w:left="580" w:top="97" w:right="1299" w:bottom="1440" w:gutter="0" w:footer="0" w:header="0"/>
          <w:type w:val="continuous"/>
        </w:sectPr>
      </w:pPr>
    </w:p>
    <w:tbl>
      <w:tblPr>
        <w:tblLayout w:type="fixed"/>
        <w:tblInd w:w="780" w:type="dxa"/>
        <w:tblCellMar>
          <w:top w:w="0" w:type="dxa"/>
          <w:left w:w="0" w:type="dxa"/>
          <w:bottom w:w="0" w:type="dxa"/>
          <w:right w:w="0" w:type="dxa"/>
        </w:tblCellMar>
      </w:tblPr>
      <w:tr>
        <w:trPr>
          <w:trHeight w:val="144"/>
        </w:trPr>
        <w:tc>
          <w:tcPr>
            <w:tcW w:w="80" w:type="dxa"/>
            <w:vAlign w:val="bottom"/>
            <w:tcBorders>
              <w:top w:val="single" w:sz="8" w:color="7F7F7F"/>
            </w:tcBorders>
          </w:tcPr>
          <w:p>
            <w:pPr>
              <w:spacing w:after="0" w:line="144"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7F7F7F"/>
            </w:tcBorders>
          </w:tcPr>
          <w:p>
            <w:pPr>
              <w:spacing w:after="0"/>
              <w:rPr>
                <w:sz w:val="12"/>
                <w:szCs w:val="12"/>
                <w:color w:val="auto"/>
              </w:rPr>
            </w:pPr>
          </w:p>
        </w:tc>
        <w:tc>
          <w:tcPr>
            <w:tcW w:w="100" w:type="dxa"/>
            <w:vAlign w:val="bottom"/>
            <w:tcBorders>
              <w:top w:val="single" w:sz="8" w:color="7F7F7F"/>
            </w:tcBorders>
          </w:tcPr>
          <w:p>
            <w:pPr>
              <w:spacing w:after="0" w:line="144" w:lineRule="exact"/>
              <w:rPr>
                <w:sz w:val="20"/>
                <w:szCs w:val="20"/>
                <w:color w:val="auto"/>
              </w:rPr>
            </w:pPr>
            <w:r>
              <w:rPr>
                <w:rFonts w:ascii="Arial" w:cs="Arial" w:eastAsia="Arial" w:hAnsi="Arial"/>
                <w:sz w:val="16"/>
                <w:szCs w:val="16"/>
                <w:color w:val="auto"/>
              </w:rPr>
              <w:t>​​</w:t>
            </w:r>
          </w:p>
        </w:tc>
        <w:tc>
          <w:tcPr>
            <w:tcW w:w="5560" w:type="dxa"/>
            <w:vAlign w:val="bottom"/>
            <w:tcBorders>
              <w:top w:val="single" w:sz="8" w:color="7F7F7F"/>
            </w:tcBorders>
          </w:tcPr>
          <w:p>
            <w:pPr>
              <w:spacing w:after="0"/>
              <w:rPr>
                <w:sz w:val="12"/>
                <w:szCs w:val="12"/>
                <w:color w:val="auto"/>
              </w:rPr>
            </w:pPr>
          </w:p>
        </w:tc>
        <w:tc>
          <w:tcPr>
            <w:tcW w:w="420" w:type="dxa"/>
            <w:vAlign w:val="bottom"/>
            <w:tcBorders>
              <w:top w:val="single" w:sz="8" w:color="7F7F7F"/>
            </w:tcBorders>
          </w:tcPr>
          <w:p>
            <w:pPr>
              <w:ind w:left="20"/>
              <w:spacing w:after="0" w:line="144" w:lineRule="exact"/>
              <w:rPr>
                <w:sz w:val="20"/>
                <w:szCs w:val="20"/>
                <w:color w:val="auto"/>
              </w:rPr>
            </w:pPr>
            <w:r>
              <w:rPr>
                <w:rFonts w:ascii="Arial" w:cs="Arial" w:eastAsia="Arial" w:hAnsi="Arial"/>
                <w:sz w:val="16"/>
                <w:szCs w:val="16"/>
                <w:color w:val="auto"/>
              </w:rPr>
              <w:t>​ ​</w:t>
            </w:r>
          </w:p>
        </w:tc>
        <w:tc>
          <w:tcPr>
            <w:tcW w:w="1600" w:type="dxa"/>
            <w:vAlign w:val="bottom"/>
            <w:tcBorders>
              <w:top w:val="single" w:sz="8" w:color="7F7F7F"/>
            </w:tcBorders>
          </w:tcPr>
          <w:p>
            <w:pPr>
              <w:ind w:left="240"/>
              <w:spacing w:after="0" w:line="144"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7F7F7F"/>
            </w:tcBorders>
          </w:tcPr>
          <w:p>
            <w:pPr>
              <w:ind w:left="380"/>
              <w:spacing w:after="0" w:line="144" w:lineRule="exact"/>
              <w:rPr>
                <w:sz w:val="20"/>
                <w:szCs w:val="20"/>
                <w:color w:val="auto"/>
              </w:rPr>
            </w:pPr>
            <w:r>
              <w:rPr>
                <w:rFonts w:ascii="Arial" w:cs="Arial" w:eastAsia="Arial" w:hAnsi="Arial"/>
                <w:sz w:val="16"/>
                <w:szCs w:val="16"/>
                <w:color w:val="auto"/>
              </w:rPr>
              <w:t>​ ​</w:t>
            </w:r>
          </w:p>
        </w:tc>
        <w:tc>
          <w:tcPr>
            <w:tcW w:w="100" w:type="dxa"/>
            <w:vAlign w:val="bottom"/>
            <w:tcBorders>
              <w:top w:val="single" w:sz="8" w:color="7F7F7F"/>
            </w:tcBorders>
          </w:tcPr>
          <w:p>
            <w:pPr>
              <w:spacing w:after="0"/>
              <w:rPr>
                <w:sz w:val="12"/>
                <w:szCs w:val="12"/>
                <w:color w:val="auto"/>
              </w:rPr>
            </w:pPr>
          </w:p>
        </w:tc>
        <w:tc>
          <w:tcPr>
            <w:tcW w:w="1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color w:val="0000EE"/>
                <w:w w:val="89"/>
              </w:rPr>
              <w:t>38</w:t>
            </w:r>
          </w:p>
        </w:tc>
        <w:tc>
          <w:tcPr>
            <w:tcW w:w="80" w:type="dxa"/>
            <w:vAlign w:val="bottom"/>
            <w:tcBorders>
              <w:top w:val="single" w:sz="8" w:color="7F7F7F"/>
            </w:tcBorders>
          </w:tcPr>
          <w:p>
            <w:pPr>
              <w:spacing w:after="0"/>
              <w:rPr>
                <w:sz w:val="12"/>
                <w:szCs w:val="12"/>
                <w:color w:val="auto"/>
              </w:rPr>
            </w:pPr>
          </w:p>
        </w:tc>
        <w:tc>
          <w:tcPr>
            <w:tcW w:w="180" w:type="dxa"/>
            <w:vAlign w:val="bottom"/>
            <w:tcBorders>
              <w:top w:val="single" w:sz="8" w:color="7F7F7F"/>
            </w:tcBorders>
          </w:tcPr>
          <w:p>
            <w:pPr>
              <w:ind w:left="80"/>
              <w:spacing w:after="0" w:line="14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2.</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An advisory vote on the compensation of our named executive officers as</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FOR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55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disclosed in the attached Proxy Statement</w:t>
            </w:r>
          </w:p>
        </w:tc>
        <w:tc>
          <w:tcPr>
            <w:tcW w:w="420" w:type="dxa"/>
            <w:vAlign w:val="bottom"/>
            <w:tcBorders>
              <w:bottom w:val="single" w:sz="8" w:color="7F7F7F"/>
            </w:tcBorders>
          </w:tcPr>
          <w:p>
            <w:pPr>
              <w:spacing w:after="0"/>
              <w:rPr>
                <w:sz w:val="17"/>
                <w:szCs w:val="17"/>
                <w:color w:val="auto"/>
              </w:rPr>
            </w:pPr>
          </w:p>
        </w:tc>
        <w:tc>
          <w:tcPr>
            <w:tcW w:w="160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556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6"/>
                <w:szCs w:val="16"/>
                <w:color w:val="auto"/>
              </w:rPr>
              <w:t>​ ​</w:t>
            </w:r>
          </w:p>
        </w:tc>
        <w:tc>
          <w:tcPr>
            <w:tcW w:w="1600" w:type="dxa"/>
            <w:vAlign w:val="bottom"/>
          </w:tcPr>
          <w:p>
            <w:pPr>
              <w:ind w:left="240"/>
              <w:spacing w:after="0" w:line="142" w:lineRule="exact"/>
              <w:rPr>
                <w:sz w:val="20"/>
                <w:szCs w:val="20"/>
                <w:color w:val="auto"/>
              </w:rPr>
            </w:pPr>
            <w:r>
              <w:rPr>
                <w:rFonts w:ascii="Arial" w:cs="Arial" w:eastAsia="Arial" w:hAnsi="Arial"/>
                <w:sz w:val="16"/>
                <w:szCs w:val="16"/>
                <w:color w:val="auto"/>
              </w:rPr>
              <w:t>​</w:t>
            </w:r>
          </w:p>
        </w:tc>
        <w:tc>
          <w:tcPr>
            <w:tcW w:w="640" w:type="dxa"/>
            <w:vAlign w:val="bottom"/>
          </w:tcPr>
          <w:p>
            <w:pPr>
              <w:ind w:left="380"/>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79</w:t>
            </w:r>
          </w:p>
        </w:tc>
        <w:tc>
          <w:tcPr>
            <w:tcW w:w="8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3.</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The frequency of future votes on the compensation of our named</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EVERY YEAR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Borders>
              <w:bottom w:val="single" w:sz="8" w:color="7F7F7F"/>
            </w:tcBorders>
          </w:tcPr>
          <w:p>
            <w:pPr>
              <w:spacing w:after="0"/>
              <w:rPr>
                <w:sz w:val="17"/>
                <w:szCs w:val="17"/>
                <w:color w:val="auto"/>
              </w:rPr>
            </w:pPr>
          </w:p>
        </w:tc>
        <w:tc>
          <w:tcPr>
            <w:tcW w:w="2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5560" w:type="dxa"/>
            <w:vAlign w:val="bottom"/>
            <w:tcBorders>
              <w:bottom w:val="single" w:sz="8" w:color="7F7F7F"/>
            </w:tcBorders>
          </w:tcPr>
          <w:p>
            <w:pPr>
              <w:ind w:left="20"/>
              <w:spacing w:after="0"/>
              <w:rPr>
                <w:sz w:val="20"/>
                <w:szCs w:val="20"/>
                <w:color w:val="auto"/>
              </w:rPr>
            </w:pPr>
            <w:r>
              <w:rPr>
                <w:rFonts w:ascii="Arial" w:cs="Arial" w:eastAsia="Arial" w:hAnsi="Arial"/>
                <w:sz w:val="16"/>
                <w:szCs w:val="16"/>
                <w:color w:val="auto"/>
              </w:rPr>
              <w:t>executive officers</w:t>
            </w:r>
          </w:p>
        </w:tc>
        <w:tc>
          <w:tcPr>
            <w:tcW w:w="420" w:type="dxa"/>
            <w:vAlign w:val="bottom"/>
            <w:tcBorders>
              <w:bottom w:val="single" w:sz="8" w:color="7F7F7F"/>
            </w:tcBorders>
          </w:tcPr>
          <w:p>
            <w:pPr>
              <w:spacing w:after="0"/>
              <w:rPr>
                <w:sz w:val="17"/>
                <w:szCs w:val="17"/>
                <w:color w:val="auto"/>
              </w:rPr>
            </w:pPr>
          </w:p>
        </w:tc>
        <w:tc>
          <w:tcPr>
            <w:tcW w:w="160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10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8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556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6"/>
                <w:szCs w:val="16"/>
                <w:color w:val="auto"/>
              </w:rPr>
              <w:t>​ ​</w:t>
            </w:r>
          </w:p>
        </w:tc>
        <w:tc>
          <w:tcPr>
            <w:tcW w:w="1600" w:type="dxa"/>
            <w:vAlign w:val="bottom"/>
          </w:tcPr>
          <w:p>
            <w:pPr>
              <w:ind w:left="240"/>
              <w:spacing w:after="0" w:line="142" w:lineRule="exact"/>
              <w:rPr>
                <w:sz w:val="20"/>
                <w:szCs w:val="20"/>
                <w:color w:val="auto"/>
              </w:rPr>
            </w:pPr>
            <w:r>
              <w:rPr>
                <w:rFonts w:ascii="Arial" w:cs="Arial" w:eastAsia="Arial" w:hAnsi="Arial"/>
                <w:sz w:val="16"/>
                <w:szCs w:val="16"/>
                <w:color w:val="auto"/>
              </w:rPr>
              <w:t>​</w:t>
            </w:r>
          </w:p>
        </w:tc>
        <w:tc>
          <w:tcPr>
            <w:tcW w:w="640" w:type="dxa"/>
            <w:vAlign w:val="bottom"/>
          </w:tcPr>
          <w:p>
            <w:pPr>
              <w:ind w:left="380"/>
              <w:spacing w:after="0" w:line="142" w:lineRule="exact"/>
              <w:rPr>
                <w:sz w:val="20"/>
                <w:szCs w:val="20"/>
                <w:color w:val="auto"/>
              </w:rPr>
            </w:pPr>
            <w:r>
              <w:rPr>
                <w:rFonts w:ascii="Arial" w:cs="Arial" w:eastAsia="Arial" w:hAnsi="Arial"/>
                <w:sz w:val="16"/>
                <w:szCs w:val="16"/>
                <w:color w:val="auto"/>
              </w:rPr>
              <w:t>​ ​</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0000EE"/>
                <w:w w:val="89"/>
              </w:rPr>
              <w:t>80</w:t>
            </w:r>
          </w:p>
        </w:tc>
        <w:tc>
          <w:tcPr>
            <w:tcW w:w="8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40" w:type="dxa"/>
            <w:vAlign w:val="bottom"/>
            <w:vMerge w:val="restart"/>
          </w:tcPr>
          <w:p>
            <w:pPr>
              <w:jc w:val="right"/>
              <w:spacing w:after="0" w:line="137" w:lineRule="exact"/>
              <w:rPr>
                <w:sz w:val="20"/>
                <w:szCs w:val="20"/>
                <w:color w:val="auto"/>
              </w:rPr>
            </w:pPr>
            <w:r>
              <w:rPr>
                <w:rFonts w:ascii="Arial" w:cs="Arial" w:eastAsia="Arial" w:hAnsi="Arial"/>
                <w:sz w:val="15"/>
                <w:szCs w:val="15"/>
                <w:b w:val="1"/>
                <w:bCs w:val="1"/>
                <w:color w:val="BF5B5A"/>
              </w:rPr>
              <w:t>4.</w:t>
            </w:r>
          </w:p>
        </w:tc>
        <w:tc>
          <w:tcPr>
            <w:tcW w:w="100" w:type="dxa"/>
            <w:vAlign w:val="bottom"/>
          </w:tcPr>
          <w:p>
            <w:pPr>
              <w:spacing w:after="0"/>
              <w:rPr>
                <w:sz w:val="7"/>
                <w:szCs w:val="7"/>
                <w:color w:val="auto"/>
              </w:rPr>
            </w:pPr>
          </w:p>
        </w:tc>
        <w:tc>
          <w:tcPr>
            <w:tcW w:w="5560" w:type="dxa"/>
            <w:vAlign w:val="bottom"/>
            <w:vMerge w:val="restart"/>
          </w:tcPr>
          <w:p>
            <w:pPr>
              <w:ind w:left="20"/>
              <w:spacing w:after="0" w:line="137" w:lineRule="exact"/>
              <w:rPr>
                <w:sz w:val="20"/>
                <w:szCs w:val="20"/>
                <w:color w:val="auto"/>
              </w:rPr>
            </w:pPr>
            <w:r>
              <w:rPr>
                <w:rFonts w:ascii="Arial" w:cs="Arial" w:eastAsia="Arial" w:hAnsi="Arial"/>
                <w:sz w:val="15"/>
                <w:szCs w:val="15"/>
                <w:color w:val="auto"/>
              </w:rPr>
              <w:t>The ratification of the appointment of Deloitte &amp; Touche LLP to serve as</w:t>
            </w:r>
          </w:p>
        </w:tc>
        <w:tc>
          <w:tcPr>
            <w:tcW w:w="420" w:type="dxa"/>
            <w:vAlign w:val="bottom"/>
          </w:tcPr>
          <w:p>
            <w:pPr>
              <w:spacing w:after="0"/>
              <w:rPr>
                <w:sz w:val="7"/>
                <w:szCs w:val="7"/>
                <w:color w:val="auto"/>
              </w:rPr>
            </w:pPr>
          </w:p>
        </w:tc>
        <w:tc>
          <w:tcPr>
            <w:tcW w:w="1600" w:type="dxa"/>
            <w:vAlign w:val="bottom"/>
            <w:vMerge w:val="restart"/>
          </w:tcPr>
          <w:p>
            <w:pPr>
              <w:ind w:left="240"/>
              <w:spacing w:after="0" w:line="137" w:lineRule="exact"/>
              <w:rPr>
                <w:sz w:val="20"/>
                <w:szCs w:val="20"/>
                <w:color w:val="auto"/>
              </w:rPr>
            </w:pPr>
            <w:r>
              <w:rPr>
                <w:rFonts w:ascii="Arial" w:cs="Arial" w:eastAsia="Arial" w:hAnsi="Arial"/>
                <w:sz w:val="15"/>
                <w:szCs w:val="15"/>
                <w:b w:val="1"/>
                <w:bCs w:val="1"/>
                <w:color w:val="BF5B5A"/>
              </w:rPr>
              <w:t>FOR</w:t>
            </w:r>
          </w:p>
        </w:tc>
        <w:tc>
          <w:tcPr>
            <w:tcW w:w="6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80" w:type="dxa"/>
            <w:vAlign w:val="bottom"/>
            <w:tcBorders>
              <w:bottom w:val="single" w:sz="8" w:color="0000EE"/>
            </w:tcBorders>
            <w:vMerge w:val="continue"/>
          </w:tcPr>
          <w:p>
            <w:pPr>
              <w:spacing w:after="0"/>
              <w:rPr>
                <w:sz w:val="7"/>
                <w:szCs w:val="7"/>
                <w:color w:val="auto"/>
              </w:rPr>
            </w:pP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the independent registered public accounting firm for the fiscal year ending</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4434840</wp:posOffset>
            </wp:positionH>
            <wp:positionV relativeFrom="paragraph">
              <wp:posOffset>-874395</wp:posOffset>
            </wp:positionV>
            <wp:extent cx="188595" cy="1885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-556895</wp:posOffset>
            </wp:positionV>
            <wp:extent cx="188595" cy="1885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-240030</wp:posOffset>
            </wp:positionV>
            <wp:extent cx="188595" cy="1885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6"/>
          <w:szCs w:val="16"/>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90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FREQUENTLY ASKED QUESTIONS ABOUT THE ANNUAL MEETING AND VOTING</w:t>
      </w:r>
    </w:p>
    <w:p>
      <w:pPr>
        <w:sectPr>
          <w:pgSz w:w="11900" w:h="16838" w:orient="portrait"/>
          <w:cols w:equalWidth="0" w:num="1">
            <w:col w:w="9960"/>
          </w:cols>
          <w:pgMar w:left="580" w:top="97" w:right="1359" w:bottom="1440" w:gutter="0" w:footer="0" w:header="0"/>
        </w:sect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Will any other matters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7" w:lineRule="exact"/>
        <w:rPr>
          <w:sz w:val="20"/>
          <w:szCs w:val="20"/>
          <w:color w:val="auto"/>
        </w:rPr>
      </w:pPr>
    </w:p>
    <w:p>
      <w:pPr>
        <w:ind w:left="780" w:right="60"/>
        <w:spacing w:after="0" w:line="265" w:lineRule="auto"/>
        <w:rPr>
          <w:sz w:val="20"/>
          <w:szCs w:val="20"/>
          <w:color w:val="auto"/>
        </w:rPr>
      </w:pPr>
      <w:r>
        <w:rPr>
          <w:rFonts w:ascii="Arial" w:cs="Arial" w:eastAsia="Arial" w:hAnsi="Arial"/>
          <w:sz w:val="18"/>
          <w:szCs w:val="18"/>
          <w:color w:val="auto"/>
        </w:rPr>
        <w:t>First Hawaiian is not aware of any business other than the items referred to in the Notice of Annual Meeting that will be considered at the Annual Meeting. If any matters other than those referred to in the Notice of Annual Meeting properly come before the Annual Meeting, the individuals named in the accompanying proxy card will vote the proxies held by them in accordance with their best judgment.</w:t>
      </w:r>
    </w:p>
    <w:p>
      <w:pPr>
        <w:spacing w:after="0" w:line="200" w:lineRule="exact"/>
        <w:rPr>
          <w:sz w:val="20"/>
          <w:szCs w:val="20"/>
          <w:color w:val="auto"/>
        </w:rPr>
      </w:pPr>
    </w:p>
    <w:p>
      <w:pPr>
        <w:spacing w:after="0" w:line="32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Who may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77" w:lineRule="exact"/>
        <w:rPr>
          <w:sz w:val="20"/>
          <w:szCs w:val="20"/>
          <w:color w:val="auto"/>
        </w:rPr>
      </w:pPr>
    </w:p>
    <w:p>
      <w:pPr>
        <w:ind w:left="780" w:right="20"/>
        <w:spacing w:after="0" w:line="264" w:lineRule="auto"/>
        <w:rPr>
          <w:sz w:val="20"/>
          <w:szCs w:val="20"/>
          <w:color w:val="auto"/>
        </w:rPr>
      </w:pPr>
      <w:r>
        <w:rPr>
          <w:rFonts w:ascii="Arial" w:cs="Arial" w:eastAsia="Arial" w:hAnsi="Arial"/>
          <w:sz w:val="18"/>
          <w:szCs w:val="18"/>
          <w:color w:val="auto"/>
        </w:rPr>
        <w:t>Only record holders of our common stock as of the close of business on March 1, 2024 (the “Record Date”), will be entitled to vote at the Annual Meeting. On the Record Date, the Company had outstanding 127,636,937 shares of common stock. Each outstanding share of common stock entitles the holder to one vote on each matter to be voted upon at the Annual Meeting.</w:t>
      </w:r>
    </w:p>
    <w:p>
      <w:pPr>
        <w:spacing w:after="0" w:line="302" w:lineRule="exact"/>
        <w:rPr>
          <w:sz w:val="20"/>
          <w:szCs w:val="20"/>
          <w:color w:val="auto"/>
        </w:rPr>
      </w:pPr>
    </w:p>
    <w:p>
      <w:pPr>
        <w:ind w:left="820" w:right="840"/>
        <w:spacing w:after="0" w:line="298" w:lineRule="auto"/>
        <w:rPr>
          <w:sz w:val="20"/>
          <w:szCs w:val="20"/>
          <w:color w:val="auto"/>
        </w:rPr>
      </w:pPr>
      <w:r>
        <w:rPr>
          <w:rFonts w:ascii="Arial" w:cs="Arial" w:eastAsia="Arial" w:hAnsi="Arial"/>
          <w:sz w:val="22"/>
          <w:szCs w:val="22"/>
          <w:b w:val="1"/>
          <w:bCs w:val="1"/>
          <w:color w:val="auto"/>
        </w:rPr>
        <w:t>How can I attend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276034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85"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 xml:space="preserve">The Annual Meeting will be conducted online via live webcast. Stockholders of record as of March 1, 2024 will be able to participate in the Annual Meeting. To join the Annual Meeting, visit </w:t>
      </w:r>
      <w:r>
        <w:rPr>
          <w:rFonts w:ascii="Arial" w:cs="Arial" w:eastAsia="Arial" w:hAnsi="Arial"/>
          <w:sz w:val="18"/>
          <w:szCs w:val="18"/>
          <w:color w:val="BF5B5A"/>
        </w:rPr>
        <w:t>https://web.lumiagm.com/224987645</w:t>
      </w:r>
      <w:r>
        <w:rPr>
          <w:rFonts w:ascii="Arial" w:cs="Arial" w:eastAsia="Arial" w:hAnsi="Arial"/>
          <w:sz w:val="18"/>
          <w:szCs w:val="18"/>
          <w:color w:val="000000"/>
        </w:rPr>
        <w:t>, access</w:t>
      </w:r>
      <w:r>
        <w:rPr>
          <w:rFonts w:ascii="Arial" w:cs="Arial" w:eastAsia="Arial" w:hAnsi="Arial"/>
          <w:sz w:val="18"/>
          <w:szCs w:val="18"/>
          <w:color w:val="BF5B5A"/>
        </w:rPr>
        <w:t xml:space="preserve"> </w:t>
      </w:r>
      <w:r>
        <w:rPr>
          <w:rFonts w:ascii="Arial" w:cs="Arial" w:eastAsia="Arial" w:hAnsi="Arial"/>
          <w:sz w:val="18"/>
          <w:szCs w:val="18"/>
          <w:color w:val="000000"/>
        </w:rPr>
        <w:t>available beginning at 7:30 a.m. local time in Honolulu, Hawaii on April 24, 2024. Enter your voter control number found on your Important Notice Regarding the Availability of Proxy Materials, on your proxy card or on the instructions that accompanied your proxy materials, along with the password of fh2024 (case sensitive). Once admitted to the meeting platform, you may submit questions and/or vote during the Annual Meeting by following the instructions that will be available on the meeting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 xml:space="preserve">website. Help and technical support for accessing and participating in the virtual meeting is available at </w:t>
      </w:r>
      <w:r>
        <w:rPr>
          <w:rFonts w:ascii="Arial" w:cs="Arial" w:eastAsia="Arial" w:hAnsi="Arial"/>
          <w:sz w:val="18"/>
          <w:szCs w:val="18"/>
          <w:color w:val="BF5B5A"/>
        </w:rPr>
        <w:t>https://go.lumiglobal.com/faq</w:t>
      </w:r>
      <w:r>
        <w:rPr>
          <w:rFonts w:ascii="Arial" w:cs="Arial" w:eastAsia="Arial" w:hAnsi="Arial"/>
          <w:sz w:val="18"/>
          <w:szCs w:val="18"/>
          <w:color w:val="000000"/>
        </w:rPr>
        <w:t>.</w:t>
      </w:r>
      <w:r>
        <w:rPr>
          <w:rFonts w:ascii="Times New Roman" w:cs="Times New Roman" w:eastAsia="Times New Roman" w:hAnsi="Times New Roman"/>
          <w:sz w:val="21"/>
          <w:szCs w:val="21"/>
          <w:color w:val="000000"/>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holding your shares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“street name” as of the close of business 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 2024, you may gain access to the meeting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following the instructions in the voting instruction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card provided by your broker, bank or other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Annual Meeting will begin promptly at 8:00 a.m., Hawaii Standard Time, on Wednesday, April 24, 2024. You may log into the meeting platform beginning at 7:30 a.m., local time in Honolulu, Hawaii, on April 24, 2024.</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you wish to submit a question for the Annual Meeting, you may type it into the dialogue box provided on the virtual meeting platform at any point during the virtual meeting (until the floor is closed to questions).</w:t>
      </w:r>
    </w:p>
    <w:p>
      <w:pPr>
        <w:spacing w:after="0" w:line="280" w:lineRule="exact"/>
        <w:rPr>
          <w:sz w:val="20"/>
          <w:szCs w:val="20"/>
          <w:color w:val="auto"/>
        </w:rPr>
      </w:pPr>
    </w:p>
    <w:p>
      <w:pPr>
        <w:ind w:left="40" w:right="40"/>
        <w:spacing w:after="0" w:line="285" w:lineRule="auto"/>
        <w:rPr>
          <w:sz w:val="20"/>
          <w:szCs w:val="20"/>
          <w:color w:val="auto"/>
        </w:rPr>
      </w:pPr>
      <w:r>
        <w:rPr>
          <w:rFonts w:ascii="Arial" w:cs="Arial" w:eastAsia="Arial" w:hAnsi="Arial"/>
          <w:sz w:val="22"/>
          <w:szCs w:val="22"/>
          <w:b w:val="1"/>
          <w:bCs w:val="1"/>
          <w:color w:val="auto"/>
        </w:rPr>
        <w:t>What can I do if I need technical assistance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wp:posOffset>
            </wp:positionV>
            <wp:extent cx="276034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 xml:space="preserve">Help and technical support for accessing and participating in the virtual meeting is available at </w:t>
      </w:r>
      <w:r>
        <w:rPr>
          <w:rFonts w:ascii="Arial" w:cs="Arial" w:eastAsia="Arial" w:hAnsi="Arial"/>
          <w:sz w:val="18"/>
          <w:szCs w:val="18"/>
          <w:color w:val="BF5B5A"/>
        </w:rPr>
        <w:t>https://go.lumiglobal.com/faq</w:t>
      </w:r>
      <w:r>
        <w:rPr>
          <w:rFonts w:ascii="Arial" w:cs="Arial" w:eastAsia="Arial" w:hAnsi="Arial"/>
          <w:sz w:val="18"/>
          <w:szCs w:val="18"/>
          <w:color w:val="000000"/>
        </w:rPr>
        <w:t>. Technical support will</w:t>
      </w:r>
      <w:r>
        <w:rPr>
          <w:rFonts w:ascii="Arial" w:cs="Arial" w:eastAsia="Arial" w:hAnsi="Arial"/>
          <w:sz w:val="18"/>
          <w:szCs w:val="18"/>
          <w:color w:val="BF5B5A"/>
        </w:rPr>
        <w:t xml:space="preserve"> </w:t>
      </w:r>
      <w:r>
        <w:rPr>
          <w:rFonts w:ascii="Arial" w:cs="Arial" w:eastAsia="Arial" w:hAnsi="Arial"/>
          <w:sz w:val="18"/>
          <w:szCs w:val="18"/>
          <w:color w:val="000000"/>
        </w:rPr>
        <w:t>be provided one hour prior to the meeting and will be staffed one hour prior to the start of the Annual Meeting until the conclusion of the Annual Meeting.</w:t>
      </w:r>
    </w:p>
    <w:p>
      <w:pPr>
        <w:spacing w:after="0" w:line="296" w:lineRule="exact"/>
        <w:rPr>
          <w:sz w:val="20"/>
          <w:szCs w:val="20"/>
          <w:color w:val="auto"/>
        </w:rPr>
      </w:pPr>
    </w:p>
    <w:p>
      <w:pPr>
        <w:ind w:left="40" w:right="440"/>
        <w:spacing w:after="0" w:line="368" w:lineRule="auto"/>
        <w:rPr>
          <w:sz w:val="20"/>
          <w:szCs w:val="20"/>
          <w:color w:val="auto"/>
        </w:rPr>
      </w:pPr>
      <w:r>
        <w:rPr>
          <w:rFonts w:ascii="Arial" w:cs="Arial" w:eastAsia="Arial" w:hAnsi="Arial"/>
          <w:sz w:val="19"/>
          <w:szCs w:val="19"/>
          <w:b w:val="1"/>
          <w:bCs w:val="1"/>
          <w:color w:val="auto"/>
        </w:rPr>
        <w:t>If I cannot participate in the live Annual Meeting webcast, can I still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-55245</wp:posOffset>
            </wp:positionV>
            <wp:extent cx="276034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0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You may vote your shares before the meeting by telephone, by internet or by mail by following the instructions in your proxy card or voting instruction form. See “</w:t>
      </w:r>
      <w:r>
        <w:rPr>
          <w:rFonts w:ascii="Arial" w:cs="Arial" w:eastAsia="Arial" w:hAnsi="Arial"/>
          <w:sz w:val="18"/>
          <w:szCs w:val="18"/>
          <w:i w:val="1"/>
          <w:iCs w:val="1"/>
          <w:color w:val="auto"/>
        </w:rPr>
        <w:t>How do I submit by vote</w:t>
      </w:r>
      <w:r>
        <w:rPr>
          <w:rFonts w:ascii="Arial" w:cs="Arial" w:eastAsia="Arial" w:hAnsi="Arial"/>
          <w:sz w:val="18"/>
          <w:szCs w:val="18"/>
          <w:color w:val="auto"/>
        </w:rPr>
        <w:t>” below for further information.</w:t>
      </w:r>
    </w:p>
    <w:p>
      <w:pPr>
        <w:spacing w:after="0" w:line="605" w:lineRule="exact"/>
        <w:rPr>
          <w:sz w:val="20"/>
          <w:szCs w:val="20"/>
          <w:color w:val="auto"/>
        </w:rPr>
      </w:pPr>
    </w:p>
    <w:p>
      <w:pPr>
        <w:sectPr>
          <w:pgSz w:w="11900" w:h="16838" w:orient="portrait"/>
          <w:cols w:equalWidth="0" w:num="2">
            <w:col w:w="5120" w:space="50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91</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FREQUENTLY ASKED QUESTIONS ABOUT THE ANNUAL MEETING AND VOTING</w:t>
      </w:r>
    </w:p>
    <w:p>
      <w:pPr>
        <w:spacing w:after="0" w:line="32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How are votes counted, and what is the required vote for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58293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309"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320" w:type="dxa"/>
            <w:vAlign w:val="bottom"/>
            <w:shd w:val="clear" w:color="auto" w:fill="BF5B5A"/>
          </w:tcPr>
          <w:p>
            <w:pPr>
              <w:spacing w:after="0"/>
              <w:rPr>
                <w:sz w:val="19"/>
                <w:szCs w:val="19"/>
                <w:color w:val="auto"/>
              </w:rPr>
            </w:pPr>
          </w:p>
        </w:tc>
        <w:tc>
          <w:tcPr>
            <w:tcW w:w="2300" w:type="dxa"/>
            <w:vAlign w:val="bottom"/>
            <w:shd w:val="clear" w:color="auto" w:fill="BF5B5A"/>
          </w:tcPr>
          <w:p>
            <w:pPr>
              <w:spacing w:after="0"/>
              <w:rPr>
                <w:sz w:val="19"/>
                <w:szCs w:val="19"/>
                <w:color w:val="auto"/>
              </w:rPr>
            </w:pPr>
          </w:p>
        </w:tc>
        <w:tc>
          <w:tcPr>
            <w:tcW w:w="2460" w:type="dxa"/>
            <w:vAlign w:val="bottom"/>
            <w:shd w:val="clear" w:color="auto" w:fill="BF5B5A"/>
          </w:tcPr>
          <w:p>
            <w:pPr>
              <w:spacing w:after="0"/>
              <w:rPr>
                <w:sz w:val="19"/>
                <w:szCs w:val="19"/>
                <w:color w:val="auto"/>
              </w:rPr>
            </w:pPr>
          </w:p>
        </w:tc>
        <w:tc>
          <w:tcPr>
            <w:tcW w:w="1440" w:type="dxa"/>
            <w:vAlign w:val="bottom"/>
            <w:vMerge w:val="restart"/>
            <w:shd w:val="clear" w:color="auto" w:fill="BF5B5A"/>
          </w:tcPr>
          <w:p>
            <w:pPr>
              <w:ind w:left="280"/>
              <w:spacing w:after="0"/>
              <w:rPr>
                <w:sz w:val="20"/>
                <w:szCs w:val="20"/>
                <w:color w:val="auto"/>
              </w:rPr>
            </w:pPr>
            <w:r>
              <w:rPr>
                <w:rFonts w:ascii="Arial" w:cs="Arial" w:eastAsia="Arial" w:hAnsi="Arial"/>
                <w:sz w:val="16"/>
                <w:szCs w:val="16"/>
                <w:b w:val="1"/>
                <w:bCs w:val="1"/>
                <w:color w:val="FFFFFF"/>
              </w:rPr>
              <w:t>Effect of</w:t>
            </w:r>
          </w:p>
        </w:tc>
        <w:tc>
          <w:tcPr>
            <w:tcW w:w="180" w:type="dxa"/>
            <w:vAlign w:val="bottom"/>
            <w:shd w:val="clear" w:color="auto" w:fill="BF5B5A"/>
          </w:tcPr>
          <w:p>
            <w:pPr>
              <w:spacing w:after="0"/>
              <w:rPr>
                <w:sz w:val="19"/>
                <w:szCs w:val="19"/>
                <w:color w:val="auto"/>
              </w:rPr>
            </w:pPr>
          </w:p>
        </w:tc>
        <w:tc>
          <w:tcPr>
            <w:tcW w:w="11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2"/>
              </w:rPr>
              <w:t>Broker</w:t>
            </w:r>
          </w:p>
        </w:tc>
        <w:tc>
          <w:tcPr>
            <w:tcW w:w="220" w:type="dxa"/>
            <w:vAlign w:val="bottom"/>
            <w:shd w:val="clear" w:color="auto" w:fill="BF5B5A"/>
          </w:tcPr>
          <w:p>
            <w:pPr>
              <w:spacing w:after="0"/>
              <w:rPr>
                <w:sz w:val="19"/>
                <w:szCs w:val="19"/>
                <w:color w:val="auto"/>
              </w:rPr>
            </w:pPr>
          </w:p>
        </w:tc>
        <w:tc>
          <w:tcPr>
            <w:tcW w:w="920" w:type="dxa"/>
            <w:vAlign w:val="bottom"/>
            <w:shd w:val="clear" w:color="auto" w:fill="BF5B5A"/>
          </w:tcPr>
          <w:p>
            <w:pPr>
              <w:ind w:left="120"/>
              <w:spacing w:after="0"/>
              <w:rPr>
                <w:sz w:val="20"/>
                <w:szCs w:val="20"/>
                <w:color w:val="auto"/>
              </w:rPr>
            </w:pPr>
            <w:r>
              <w:rPr>
                <w:rFonts w:ascii="Arial" w:cs="Arial" w:eastAsia="Arial" w:hAnsi="Arial"/>
                <w:sz w:val="16"/>
                <w:szCs w:val="16"/>
                <w:b w:val="1"/>
                <w:bCs w:val="1"/>
                <w:color w:val="FFFFFF"/>
              </w:rPr>
              <w:t>Effect of</w:t>
            </w:r>
          </w:p>
        </w:tc>
        <w:tc>
          <w:tcPr>
            <w:tcW w:w="220" w:type="dxa"/>
            <w:vAlign w:val="bottom"/>
            <w:shd w:val="clear" w:color="auto" w:fill="BF5B5A"/>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 w:type="dxa"/>
            <w:vAlign w:val="bottom"/>
            <w:shd w:val="clear" w:color="auto" w:fill="BF5B5A"/>
          </w:tcPr>
          <w:p>
            <w:pPr>
              <w:spacing w:after="0"/>
              <w:rPr>
                <w:sz w:val="15"/>
                <w:szCs w:val="15"/>
                <w:color w:val="auto"/>
              </w:rPr>
            </w:pPr>
          </w:p>
        </w:tc>
        <w:tc>
          <w:tcPr>
            <w:tcW w:w="2300" w:type="dxa"/>
            <w:vAlign w:val="bottom"/>
            <w:shd w:val="clear" w:color="auto" w:fill="BF5B5A"/>
          </w:tcPr>
          <w:p>
            <w:pPr>
              <w:spacing w:after="0"/>
              <w:rPr>
                <w:sz w:val="15"/>
                <w:szCs w:val="15"/>
                <w:color w:val="auto"/>
              </w:rPr>
            </w:pPr>
          </w:p>
        </w:tc>
        <w:tc>
          <w:tcPr>
            <w:tcW w:w="2460" w:type="dxa"/>
            <w:vAlign w:val="bottom"/>
            <w:shd w:val="clear" w:color="auto" w:fill="BF5B5A"/>
          </w:tcPr>
          <w:p>
            <w:pPr>
              <w:spacing w:after="0"/>
              <w:rPr>
                <w:sz w:val="15"/>
                <w:szCs w:val="15"/>
                <w:color w:val="auto"/>
              </w:rPr>
            </w:pPr>
          </w:p>
        </w:tc>
        <w:tc>
          <w:tcPr>
            <w:tcW w:w="1440" w:type="dxa"/>
            <w:vAlign w:val="bottom"/>
            <w:vMerge w:val="continue"/>
            <w:shd w:val="clear" w:color="auto" w:fill="BF5B5A"/>
          </w:tcPr>
          <w:p>
            <w:pPr>
              <w:spacing w:after="0"/>
              <w:rPr>
                <w:sz w:val="15"/>
                <w:szCs w:val="15"/>
                <w:color w:val="auto"/>
              </w:rPr>
            </w:pPr>
          </w:p>
        </w:tc>
        <w:tc>
          <w:tcPr>
            <w:tcW w:w="180" w:type="dxa"/>
            <w:vAlign w:val="bottom"/>
            <w:shd w:val="clear" w:color="auto" w:fill="BF5B5A"/>
          </w:tcPr>
          <w:p>
            <w:pPr>
              <w:spacing w:after="0"/>
              <w:rPr>
                <w:sz w:val="15"/>
                <w:szCs w:val="15"/>
                <w:color w:val="auto"/>
              </w:rPr>
            </w:pPr>
          </w:p>
        </w:tc>
        <w:tc>
          <w:tcPr>
            <w:tcW w:w="1120" w:type="dxa"/>
            <w:vAlign w:val="bottom"/>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3"/>
              </w:rPr>
              <w:t>Discretionary</w:t>
            </w:r>
          </w:p>
        </w:tc>
        <w:tc>
          <w:tcPr>
            <w:tcW w:w="220" w:type="dxa"/>
            <w:vAlign w:val="bottom"/>
            <w:shd w:val="clear" w:color="auto" w:fill="BF5B5A"/>
          </w:tcPr>
          <w:p>
            <w:pPr>
              <w:spacing w:after="0"/>
              <w:rPr>
                <w:sz w:val="15"/>
                <w:szCs w:val="15"/>
                <w:color w:val="auto"/>
              </w:rPr>
            </w:pPr>
          </w:p>
        </w:tc>
        <w:tc>
          <w:tcPr>
            <w:tcW w:w="920" w:type="dxa"/>
            <w:vAlign w:val="bottom"/>
            <w:shd w:val="clear" w:color="auto" w:fill="BF5B5A"/>
          </w:tcPr>
          <w:p>
            <w:pPr>
              <w:jc w:val="center"/>
              <w:spacing w:after="0" w:line="175" w:lineRule="exact"/>
              <w:rPr>
                <w:sz w:val="20"/>
                <w:szCs w:val="20"/>
                <w:color w:val="auto"/>
              </w:rPr>
            </w:pPr>
            <w:r>
              <w:rPr>
                <w:rFonts w:ascii="Arial" w:cs="Arial" w:eastAsia="Arial" w:hAnsi="Arial"/>
                <w:sz w:val="16"/>
                <w:szCs w:val="16"/>
                <w:b w:val="1"/>
                <w:bCs w:val="1"/>
                <w:color w:val="FFFFFF"/>
                <w:w w:val="96"/>
              </w:rPr>
              <w:t>Broker</w:t>
            </w:r>
          </w:p>
        </w:tc>
        <w:tc>
          <w:tcPr>
            <w:tcW w:w="220" w:type="dxa"/>
            <w:vAlign w:val="bottom"/>
            <w:shd w:val="clear" w:color="auto" w:fill="BF5B5A"/>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20" w:type="dxa"/>
            <w:vAlign w:val="bottom"/>
            <w:gridSpan w:val="2"/>
            <w:shd w:val="clear" w:color="auto" w:fill="BF5B5A"/>
          </w:tcPr>
          <w:p>
            <w:pPr>
              <w:spacing w:after="0"/>
              <w:rPr>
                <w:sz w:val="20"/>
                <w:szCs w:val="20"/>
                <w:color w:val="auto"/>
              </w:rPr>
            </w:pPr>
            <w:r>
              <w:rPr>
                <w:rFonts w:ascii="Arial" w:cs="Arial" w:eastAsia="Arial" w:hAnsi="Arial"/>
                <w:sz w:val="16"/>
                <w:szCs w:val="16"/>
                <w:b w:val="1"/>
                <w:bCs w:val="1"/>
                <w:color w:val="FFFFFF"/>
              </w:rPr>
              <w:t>​ Proposal</w:t>
            </w:r>
          </w:p>
        </w:tc>
        <w:tc>
          <w:tcPr>
            <w:tcW w:w="2460" w:type="dxa"/>
            <w:vAlign w:val="bottom"/>
            <w:shd w:val="clear" w:color="auto" w:fill="BF5B5A"/>
          </w:tcPr>
          <w:p>
            <w:pPr>
              <w:ind w:left="140"/>
              <w:spacing w:after="0"/>
              <w:rPr>
                <w:sz w:val="20"/>
                <w:szCs w:val="20"/>
                <w:color w:val="auto"/>
              </w:rPr>
            </w:pPr>
            <w:r>
              <w:rPr>
                <w:rFonts w:ascii="Arial" w:cs="Arial" w:eastAsia="Arial" w:hAnsi="Arial"/>
                <w:sz w:val="16"/>
                <w:szCs w:val="16"/>
                <w:b w:val="1"/>
                <w:bCs w:val="1"/>
                <w:color w:val="FFFFFF"/>
              </w:rPr>
              <w:t>​​Vote Required</w:t>
            </w:r>
          </w:p>
        </w:tc>
        <w:tc>
          <w:tcPr>
            <w:tcW w:w="1440" w:type="dxa"/>
            <w:vAlign w:val="bottom"/>
            <w:shd w:val="clear" w:color="auto" w:fill="BF5B5A"/>
          </w:tcPr>
          <w:p>
            <w:pPr>
              <w:ind w:left="180"/>
              <w:spacing w:after="0"/>
              <w:rPr>
                <w:sz w:val="20"/>
                <w:szCs w:val="20"/>
                <w:color w:val="auto"/>
              </w:rPr>
            </w:pPr>
            <w:r>
              <w:rPr>
                <w:rFonts w:ascii="Arial" w:cs="Arial" w:eastAsia="Arial" w:hAnsi="Arial"/>
                <w:sz w:val="16"/>
                <w:szCs w:val="16"/>
                <w:b w:val="1"/>
                <w:bCs w:val="1"/>
                <w:color w:val="FFFFFF"/>
              </w:rPr>
              <w:t>​​Abstentions</w:t>
            </w:r>
          </w:p>
        </w:tc>
        <w:tc>
          <w:tcPr>
            <w:tcW w:w="1300" w:type="dxa"/>
            <w:vAlign w:val="bottom"/>
            <w:gridSpan w:val="2"/>
            <w:shd w:val="clear" w:color="auto" w:fill="BF5B5A"/>
          </w:tcPr>
          <w:p>
            <w:pPr>
              <w:ind w:left="40"/>
              <w:spacing w:after="0"/>
              <w:rPr>
                <w:sz w:val="20"/>
                <w:szCs w:val="20"/>
                <w:color w:val="auto"/>
              </w:rPr>
            </w:pPr>
            <w:r>
              <w:rPr>
                <w:rFonts w:ascii="Arial" w:cs="Arial" w:eastAsia="Arial" w:hAnsi="Arial"/>
                <w:sz w:val="16"/>
                <w:szCs w:val="16"/>
                <w:b w:val="1"/>
                <w:bCs w:val="1"/>
                <w:color w:val="FFFFFF"/>
              </w:rPr>
              <w:t>​​ Voting Allowed</w:t>
            </w:r>
          </w:p>
        </w:tc>
        <w:tc>
          <w:tcPr>
            <w:tcW w:w="220" w:type="dxa"/>
            <w:vAlign w:val="bottom"/>
            <w:shd w:val="clear" w:color="auto" w:fill="BF5B5A"/>
          </w:tcPr>
          <w:p>
            <w:pPr>
              <w:ind w:left="60"/>
              <w:spacing w:after="0"/>
              <w:rPr>
                <w:sz w:val="20"/>
                <w:szCs w:val="20"/>
                <w:color w:val="auto"/>
              </w:rPr>
            </w:pPr>
            <w:r>
              <w:rPr>
                <w:rFonts w:ascii="Arial" w:cs="Arial" w:eastAsia="Arial" w:hAnsi="Arial"/>
                <w:sz w:val="16"/>
                <w:szCs w:val="16"/>
                <w:b w:val="1"/>
                <w:bCs w:val="1"/>
                <w:color w:val="FFFFFF"/>
              </w:rPr>
              <w:t>​​</w:t>
            </w:r>
          </w:p>
        </w:tc>
        <w:tc>
          <w:tcPr>
            <w:tcW w:w="920" w:type="dxa"/>
            <w:vAlign w:val="bottom"/>
            <w:shd w:val="clear" w:color="auto" w:fill="BF5B5A"/>
          </w:tcPr>
          <w:p>
            <w:pPr>
              <w:jc w:val="center"/>
              <w:spacing w:after="0"/>
              <w:rPr>
                <w:sz w:val="20"/>
                <w:szCs w:val="20"/>
                <w:color w:val="auto"/>
              </w:rPr>
            </w:pPr>
            <w:r>
              <w:rPr>
                <w:rFonts w:ascii="Arial" w:cs="Arial" w:eastAsia="Arial" w:hAnsi="Arial"/>
                <w:sz w:val="16"/>
                <w:szCs w:val="16"/>
                <w:b w:val="1"/>
                <w:bCs w:val="1"/>
                <w:color w:val="FFFFFF"/>
                <w:w w:val="92"/>
              </w:rPr>
              <w:t>Non-Votes</w:t>
            </w:r>
          </w:p>
        </w:tc>
        <w:tc>
          <w:tcPr>
            <w:tcW w:w="220" w:type="dxa"/>
            <w:vAlign w:val="bottom"/>
            <w:shd w:val="clear" w:color="auto" w:fill="BF5B5A"/>
          </w:tcPr>
          <w:p>
            <w:pPr>
              <w:ind w:left="10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9"/>
        </w:trPr>
        <w:tc>
          <w:tcPr>
            <w:tcW w:w="320" w:type="dxa"/>
            <w:vAlign w:val="bottom"/>
          </w:tcPr>
          <w:p>
            <w:pPr>
              <w:spacing w:after="0" w:line="269" w:lineRule="exact"/>
              <w:rPr>
                <w:sz w:val="20"/>
                <w:szCs w:val="20"/>
                <w:color w:val="auto"/>
              </w:rPr>
            </w:pPr>
            <w:r>
              <w:rPr>
                <w:rFonts w:ascii="Arial" w:cs="Arial" w:eastAsia="Arial" w:hAnsi="Arial"/>
                <w:sz w:val="31"/>
                <w:szCs w:val="31"/>
                <w:color w:val="000000"/>
                <w:vertAlign w:val="superscript"/>
              </w:rPr>
              <w:t>​</w:t>
            </w:r>
            <w:r>
              <w:rPr>
                <w:rFonts w:ascii="Arial" w:cs="Arial" w:eastAsia="Arial" w:hAnsi="Arial"/>
                <w:sz w:val="24"/>
                <w:szCs w:val="24"/>
                <w:b w:val="1"/>
                <w:bCs w:val="1"/>
                <w:color w:val="BF5B5A"/>
              </w:rPr>
              <w:t xml:space="preserve"> 1.</w:t>
            </w:r>
          </w:p>
        </w:tc>
        <w:tc>
          <w:tcPr>
            <w:tcW w:w="230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b w:val="1"/>
                <w:bCs w:val="1"/>
                <w:color w:val="auto"/>
              </w:rPr>
              <w:t>Election of Directors</w:t>
            </w:r>
          </w:p>
        </w:tc>
        <w:tc>
          <w:tcPr>
            <w:tcW w:w="2460" w:type="dxa"/>
            <w:vAlign w:val="bottom"/>
          </w:tcPr>
          <w:p>
            <w:pPr>
              <w:ind w:left="140"/>
              <w:spacing w:after="0" w:line="269" w:lineRule="exact"/>
              <w:rPr>
                <w:sz w:val="20"/>
                <w:szCs w:val="20"/>
                <w:color w:val="auto"/>
              </w:rPr>
            </w:pPr>
            <w:r>
              <w:rPr>
                <w:rFonts w:ascii="Arial" w:cs="Arial" w:eastAsia="Arial" w:hAnsi="Arial"/>
                <w:sz w:val="31"/>
                <w:szCs w:val="31"/>
                <w:color w:val="000000"/>
                <w:vertAlign w:val="superscript"/>
              </w:rPr>
              <w:t>​​</w:t>
            </w:r>
            <w:r>
              <w:rPr>
                <w:rFonts w:ascii="Arial" w:cs="Arial" w:eastAsia="Arial" w:hAnsi="Arial"/>
                <w:sz w:val="16"/>
                <w:szCs w:val="16"/>
                <w:color w:val="BF5B5A"/>
              </w:rPr>
              <w:t>Majority of the votes cast</w:t>
            </w:r>
          </w:p>
        </w:tc>
        <w:tc>
          <w:tcPr>
            <w:tcW w:w="1440" w:type="dxa"/>
            <w:vAlign w:val="bottom"/>
          </w:tcPr>
          <w:p>
            <w:pPr>
              <w:ind w:left="18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No effect―not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60"/>
              <w:spacing w:after="0"/>
              <w:rPr>
                <w:sz w:val="20"/>
                <w:szCs w:val="20"/>
                <w:color w:val="auto"/>
              </w:rPr>
            </w:pPr>
            <w:r>
              <w:rPr>
                <w:rFonts w:ascii="Arial" w:cs="Arial" w:eastAsia="Arial" w:hAnsi="Arial"/>
                <w:sz w:val="16"/>
                <w:szCs w:val="16"/>
                <w:color w:val="auto"/>
              </w:rPr>
              <w:t>No</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ind w:left="140"/>
              <w:spacing w:after="0"/>
              <w:rPr>
                <w:sz w:val="20"/>
                <w:szCs w:val="20"/>
                <w:color w:val="auto"/>
              </w:rPr>
            </w:pPr>
            <w:r>
              <w:rPr>
                <w:rFonts w:ascii="Arial" w:cs="Arial" w:eastAsia="Arial" w:hAnsi="Arial"/>
                <w:sz w:val="16"/>
                <w:szCs w:val="16"/>
                <w:color w:val="auto"/>
              </w:rPr>
              <w:t>No effect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60" w:type="dxa"/>
            <w:vAlign w:val="bottom"/>
          </w:tcPr>
          <w:p>
            <w:pPr>
              <w:ind w:left="260"/>
              <w:spacing w:after="0"/>
              <w:rPr>
                <w:sz w:val="20"/>
                <w:szCs w:val="20"/>
                <w:color w:val="auto"/>
              </w:rPr>
            </w:pPr>
            <w:r>
              <w:rPr>
                <w:rFonts w:ascii="Arial" w:cs="Arial" w:eastAsia="Arial" w:hAnsi="Arial"/>
                <w:sz w:val="16"/>
                <w:szCs w:val="16"/>
                <w:color w:val="auto"/>
              </w:rPr>
              <w:t>FOR or AGAINST (for each</w:t>
            </w:r>
          </w:p>
        </w:tc>
        <w:tc>
          <w:tcPr>
            <w:tcW w:w="1440" w:type="dxa"/>
            <w:vAlign w:val="bottom"/>
          </w:tcPr>
          <w:p>
            <w:pPr>
              <w:ind w:left="300"/>
              <w:spacing w:after="0"/>
              <w:rPr>
                <w:sz w:val="20"/>
                <w:szCs w:val="20"/>
                <w:color w:val="auto"/>
              </w:rPr>
            </w:pPr>
            <w:r>
              <w:rPr>
                <w:rFonts w:ascii="Arial" w:cs="Arial" w:eastAsia="Arial" w:hAnsi="Arial"/>
                <w:sz w:val="16"/>
                <w:szCs w:val="16"/>
                <w:color w:val="auto"/>
              </w:rPr>
              <w:t>counted as a</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7F7F7F"/>
            </w:tcBorders>
          </w:tcPr>
          <w:p>
            <w:pPr>
              <w:spacing w:after="0"/>
              <w:rPr>
                <w:sz w:val="18"/>
                <w:szCs w:val="18"/>
                <w:color w:val="auto"/>
              </w:rPr>
            </w:pPr>
          </w:p>
        </w:tc>
        <w:tc>
          <w:tcPr>
            <w:tcW w:w="2300" w:type="dxa"/>
            <w:vAlign w:val="bottom"/>
            <w:tcBorders>
              <w:bottom w:val="single" w:sz="8" w:color="7F7F7F"/>
            </w:tcBorders>
          </w:tcPr>
          <w:p>
            <w:pPr>
              <w:spacing w:after="0"/>
              <w:rPr>
                <w:sz w:val="18"/>
                <w:szCs w:val="18"/>
                <w:color w:val="auto"/>
              </w:rPr>
            </w:pPr>
          </w:p>
        </w:tc>
        <w:tc>
          <w:tcPr>
            <w:tcW w:w="246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director nominee)</w:t>
            </w:r>
          </w:p>
        </w:tc>
        <w:tc>
          <w:tcPr>
            <w:tcW w:w="1440" w:type="dxa"/>
            <w:vAlign w:val="bottom"/>
            <w:tcBorders>
              <w:bottom w:val="single" w:sz="8" w:color="7F7F7F"/>
            </w:tcBorders>
          </w:tcPr>
          <w:p>
            <w:pPr>
              <w:ind w:left="300"/>
              <w:spacing w:after="0"/>
              <w:rPr>
                <w:sz w:val="20"/>
                <w:szCs w:val="20"/>
                <w:color w:val="auto"/>
              </w:rPr>
            </w:pPr>
            <w:r>
              <w:rPr>
                <w:rFonts w:ascii="Arial" w:cs="Arial" w:eastAsia="Arial" w:hAnsi="Arial"/>
                <w:sz w:val="16"/>
                <w:szCs w:val="16"/>
                <w:color w:val="auto"/>
              </w:rPr>
              <w:t>“vote cast”</w:t>
            </w:r>
          </w:p>
        </w:tc>
        <w:tc>
          <w:tcPr>
            <w:tcW w:w="180" w:type="dxa"/>
            <w:vAlign w:val="bottom"/>
            <w:tcBorders>
              <w:bottom w:val="single" w:sz="8" w:color="7F7F7F"/>
            </w:tcBorders>
          </w:tcPr>
          <w:p>
            <w:pPr>
              <w:spacing w:after="0"/>
              <w:rPr>
                <w:sz w:val="18"/>
                <w:szCs w:val="18"/>
                <w:color w:val="auto"/>
              </w:rPr>
            </w:pPr>
          </w:p>
        </w:tc>
        <w:tc>
          <w:tcPr>
            <w:tcW w:w="1120" w:type="dxa"/>
            <w:vAlign w:val="bottom"/>
            <w:tcBorders>
              <w:bottom w:val="single" w:sz="8" w:color="7F7F7F"/>
            </w:tcBorders>
          </w:tcPr>
          <w:p>
            <w:pPr>
              <w:spacing w:after="0"/>
              <w:rPr>
                <w:sz w:val="18"/>
                <w:szCs w:val="18"/>
                <w:color w:val="auto"/>
              </w:rPr>
            </w:pPr>
          </w:p>
        </w:tc>
        <w:tc>
          <w:tcPr>
            <w:tcW w:w="220" w:type="dxa"/>
            <w:vAlign w:val="bottom"/>
            <w:tcBorders>
              <w:bottom w:val="single" w:sz="8" w:color="7F7F7F"/>
            </w:tcBorders>
          </w:tcPr>
          <w:p>
            <w:pPr>
              <w:spacing w:after="0"/>
              <w:rPr>
                <w:sz w:val="18"/>
                <w:szCs w:val="18"/>
                <w:color w:val="auto"/>
              </w:rPr>
            </w:pPr>
          </w:p>
        </w:tc>
        <w:tc>
          <w:tcPr>
            <w:tcW w:w="920" w:type="dxa"/>
            <w:vAlign w:val="bottom"/>
            <w:tcBorders>
              <w:bottom w:val="single" w:sz="8" w:color="7F7F7F"/>
            </w:tcBorders>
          </w:tcPr>
          <w:p>
            <w:pPr>
              <w:spacing w:after="0"/>
              <w:rPr>
                <w:sz w:val="18"/>
                <w:szCs w:val="18"/>
                <w:color w:val="auto"/>
              </w:rPr>
            </w:pPr>
          </w:p>
        </w:tc>
        <w:tc>
          <w:tcPr>
            <w:tcW w:w="22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line="264" w:lineRule="exact"/>
              <w:rPr>
                <w:sz w:val="20"/>
                <w:szCs w:val="20"/>
                <w:color w:val="auto"/>
              </w:rPr>
            </w:pPr>
            <w:r>
              <w:rPr>
                <w:rFonts w:ascii="Arial" w:cs="Arial" w:eastAsia="Arial" w:hAnsi="Arial"/>
                <w:sz w:val="30"/>
                <w:szCs w:val="30"/>
                <w:color w:val="000000"/>
                <w:vertAlign w:val="superscript"/>
              </w:rPr>
              <w:t>​</w:t>
            </w:r>
            <w:r>
              <w:rPr>
                <w:rFonts w:ascii="Arial" w:cs="Arial" w:eastAsia="Arial" w:hAnsi="Arial"/>
                <w:sz w:val="24"/>
                <w:szCs w:val="24"/>
                <w:b w:val="1"/>
                <w:bCs w:val="1"/>
                <w:color w:val="BF5B5A"/>
              </w:rPr>
              <w:t xml:space="preserve"> 2.</w:t>
            </w:r>
          </w:p>
        </w:tc>
        <w:tc>
          <w:tcPr>
            <w:tcW w:w="2300" w:type="dxa"/>
            <w:vAlign w:val="bottom"/>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b w:val="1"/>
                <w:bCs w:val="1"/>
                <w:color w:val="auto"/>
              </w:rPr>
              <w:t>Advisory Approval of the</w:t>
            </w:r>
          </w:p>
        </w:tc>
        <w:tc>
          <w:tcPr>
            <w:tcW w:w="2460" w:type="dxa"/>
            <w:vAlign w:val="bottom"/>
          </w:tcPr>
          <w:p>
            <w:pPr>
              <w:ind w:left="140"/>
              <w:spacing w:after="0" w:line="264" w:lineRule="exact"/>
              <w:rPr>
                <w:sz w:val="20"/>
                <w:szCs w:val="20"/>
                <w:color w:val="auto"/>
              </w:rPr>
            </w:pPr>
            <w:r>
              <w:rPr>
                <w:rFonts w:ascii="Arial" w:cs="Arial" w:eastAsia="Arial" w:hAnsi="Arial"/>
                <w:sz w:val="30"/>
                <w:szCs w:val="30"/>
                <w:color w:val="000000"/>
                <w:vertAlign w:val="superscript"/>
              </w:rPr>
              <w:t>​​</w:t>
            </w:r>
            <w:r>
              <w:rPr>
                <w:rFonts w:ascii="Arial" w:cs="Arial" w:eastAsia="Arial" w:hAnsi="Arial"/>
                <w:sz w:val="16"/>
                <w:szCs w:val="16"/>
                <w:color w:val="BF5B5A"/>
              </w:rPr>
              <w:t>Majority of the shares</w:t>
            </w:r>
          </w:p>
        </w:tc>
        <w:tc>
          <w:tcPr>
            <w:tcW w:w="1440" w:type="dxa"/>
            <w:vAlign w:val="bottom"/>
          </w:tcPr>
          <w:p>
            <w:pPr>
              <w:ind w:left="18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Treated as a</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tcPr>
          <w:p>
            <w:pPr>
              <w:ind w:left="460"/>
              <w:spacing w:after="0"/>
              <w:rPr>
                <w:sz w:val="20"/>
                <w:szCs w:val="20"/>
                <w:color w:val="auto"/>
              </w:rPr>
            </w:pPr>
            <w:r>
              <w:rPr>
                <w:rFonts w:ascii="Arial" w:cs="Arial" w:eastAsia="Arial" w:hAnsi="Arial"/>
                <w:sz w:val="16"/>
                <w:szCs w:val="16"/>
                <w:color w:val="auto"/>
              </w:rPr>
              <w:t>No</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ind w:left="140"/>
              <w:spacing w:after="0"/>
              <w:rPr>
                <w:sz w:val="20"/>
                <w:szCs w:val="20"/>
                <w:color w:val="auto"/>
              </w:rPr>
            </w:pPr>
            <w:r>
              <w:rPr>
                <w:rFonts w:ascii="Arial" w:cs="Arial" w:eastAsia="Arial" w:hAnsi="Arial"/>
                <w:sz w:val="16"/>
                <w:szCs w:val="16"/>
                <w:color w:val="auto"/>
              </w:rPr>
              <w:t>No effect</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Arial" w:cs="Arial" w:eastAsia="Arial" w:hAnsi="Arial"/>
                <w:sz w:val="16"/>
                <w:szCs w:val="16"/>
                <w:b w:val="1"/>
                <w:bCs w:val="1"/>
                <w:color w:val="auto"/>
              </w:rPr>
              <w:t>Compensation of Our Named</w:t>
            </w:r>
          </w:p>
        </w:tc>
        <w:tc>
          <w:tcPr>
            <w:tcW w:w="2460" w:type="dxa"/>
            <w:vAlign w:val="bottom"/>
          </w:tcPr>
          <w:p>
            <w:pPr>
              <w:ind w:left="260"/>
              <w:spacing w:after="0"/>
              <w:rPr>
                <w:sz w:val="20"/>
                <w:szCs w:val="20"/>
                <w:color w:val="auto"/>
              </w:rPr>
            </w:pPr>
            <w:r>
              <w:rPr>
                <w:rFonts w:ascii="Arial" w:cs="Arial" w:eastAsia="Arial" w:hAnsi="Arial"/>
                <w:sz w:val="16"/>
                <w:szCs w:val="16"/>
                <w:color w:val="auto"/>
              </w:rPr>
              <w:t>present in person or</w:t>
            </w:r>
          </w:p>
        </w:tc>
        <w:tc>
          <w:tcPr>
            <w:tcW w:w="1440" w:type="dxa"/>
            <w:vAlign w:val="bottom"/>
          </w:tcPr>
          <w:p>
            <w:pPr>
              <w:ind w:left="300"/>
              <w:spacing w:after="0"/>
              <w:rPr>
                <w:sz w:val="20"/>
                <w:szCs w:val="20"/>
                <w:color w:val="auto"/>
              </w:rPr>
            </w:pPr>
            <w:r>
              <w:rPr>
                <w:rFonts w:ascii="Arial" w:cs="Arial" w:eastAsia="Arial" w:hAnsi="Arial"/>
                <w:sz w:val="16"/>
                <w:szCs w:val="16"/>
                <w:color w:val="auto"/>
              </w:rPr>
              <w:t>vote AGAINST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300" w:type="dxa"/>
            <w:vAlign w:val="bottom"/>
          </w:tcPr>
          <w:p>
            <w:pPr>
              <w:ind w:left="60"/>
              <w:spacing w:after="0"/>
              <w:rPr>
                <w:sz w:val="20"/>
                <w:szCs w:val="20"/>
                <w:color w:val="auto"/>
              </w:rPr>
            </w:pPr>
            <w:r>
              <w:rPr>
                <w:rFonts w:ascii="Arial" w:cs="Arial" w:eastAsia="Arial" w:hAnsi="Arial"/>
                <w:sz w:val="16"/>
                <w:szCs w:val="16"/>
                <w:b w:val="1"/>
                <w:bCs w:val="1"/>
                <w:color w:val="auto"/>
              </w:rPr>
              <w:t>Executive Officers</w:t>
            </w:r>
          </w:p>
        </w:tc>
        <w:tc>
          <w:tcPr>
            <w:tcW w:w="2460" w:type="dxa"/>
            <w:vAlign w:val="bottom"/>
          </w:tcPr>
          <w:p>
            <w:pPr>
              <w:ind w:left="260"/>
              <w:spacing w:after="0"/>
              <w:rPr>
                <w:sz w:val="20"/>
                <w:szCs w:val="20"/>
                <w:color w:val="auto"/>
              </w:rPr>
            </w:pPr>
            <w:r>
              <w:rPr>
                <w:rFonts w:ascii="Arial" w:cs="Arial" w:eastAsia="Arial" w:hAnsi="Arial"/>
                <w:sz w:val="16"/>
                <w:szCs w:val="16"/>
                <w:color w:val="auto"/>
              </w:rPr>
              <w:t>represented by proxy</w:t>
            </w:r>
          </w:p>
        </w:tc>
        <w:tc>
          <w:tcPr>
            <w:tcW w:w="1440" w:type="dxa"/>
            <w:vAlign w:val="bottom"/>
          </w:tcPr>
          <w:p>
            <w:pPr>
              <w:ind w:left="300"/>
              <w:spacing w:after="0"/>
              <w:rPr>
                <w:sz w:val="20"/>
                <w:szCs w:val="20"/>
                <w:color w:val="auto"/>
              </w:rPr>
            </w:pPr>
            <w:r>
              <w:rPr>
                <w:rFonts w:ascii="Arial" w:cs="Arial" w:eastAsia="Arial" w:hAnsi="Arial"/>
                <w:sz w:val="16"/>
                <w:szCs w:val="16"/>
                <w:color w:val="auto"/>
              </w:rPr>
              <w:t>the proposal</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-3175</wp:posOffset>
            </wp:positionV>
            <wp:extent cx="58293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10" w:lineRule="exact"/>
        <w:rPr>
          <w:sz w:val="20"/>
          <w:szCs w:val="20"/>
          <w:color w:val="auto"/>
        </w:rPr>
      </w:pPr>
    </w:p>
    <w:p>
      <w:pPr>
        <w:ind w:left="1160" w:hanging="380"/>
        <w:spacing w:after="0" w:line="201" w:lineRule="auto"/>
        <w:tabs>
          <w:tab w:leader="none" w:pos="896" w:val="left"/>
        </w:tabs>
        <w:numPr>
          <w:ilvl w:val="0"/>
          <w:numId w:val="188"/>
        </w:numPr>
        <w:rPr>
          <w:rFonts w:ascii="Arial" w:cs="Arial" w:eastAsia="Arial" w:hAnsi="Arial"/>
          <w:sz w:val="32"/>
          <w:szCs w:val="32"/>
          <w:color w:val="auto"/>
          <w:vertAlign w:val="superscript"/>
        </w:rPr>
      </w:pPr>
      <w:r>
        <w:rPr>
          <w:rFonts w:ascii="Arial" w:cs="Arial" w:eastAsia="Arial" w:hAnsi="Arial"/>
          <w:sz w:val="25"/>
          <w:szCs w:val="25"/>
          <w:b w:val="1"/>
          <w:bCs w:val="1"/>
          <w:color w:val="BF5B5A"/>
        </w:rPr>
        <w:t>3.</w:t>
      </w:r>
      <w:r>
        <w:rPr>
          <w:rFonts w:ascii="Arial" w:cs="Arial" w:eastAsia="Arial" w:hAnsi="Arial"/>
          <w:sz w:val="32"/>
          <w:szCs w:val="32"/>
          <w:color w:val="000000"/>
          <w:vertAlign w:val="superscript"/>
        </w:rPr>
        <w:t>​​</w:t>
      </w:r>
      <w:r>
        <w:rPr>
          <w:rFonts w:ascii="Arial" w:cs="Arial" w:eastAsia="Arial" w:hAnsi="Arial"/>
          <w:sz w:val="16"/>
          <w:szCs w:val="16"/>
          <w:b w:val="1"/>
          <w:bCs w:val="1"/>
          <w:color w:val="000000"/>
        </w:rPr>
        <w:t>Frequency of the vote on the</w:t>
      </w:r>
      <w:r>
        <w:rPr>
          <w:rFonts w:ascii="Arial" w:cs="Arial" w:eastAsia="Arial" w:hAnsi="Arial"/>
          <w:sz w:val="25"/>
          <w:szCs w:val="25"/>
          <w:b w:val="1"/>
          <w:bCs w:val="1"/>
          <w:color w:val="BF5B5A"/>
        </w:rPr>
        <w:t xml:space="preserve"> </w:t>
      </w:r>
      <w:r>
        <w:rPr>
          <w:rFonts w:ascii="Arial" w:cs="Arial" w:eastAsia="Arial" w:hAnsi="Arial"/>
          <w:sz w:val="16"/>
          <w:szCs w:val="16"/>
          <w:b w:val="1"/>
          <w:bCs w:val="1"/>
          <w:color w:val="000000"/>
        </w:rPr>
        <w:t>compensation of Our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160" w:type="dxa"/>
            <w:vAlign w:val="bottom"/>
            <w:gridSpan w:val="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The frequency (i.e., Every Year, </w:t>
            </w:r>
            <w:r>
              <w:rPr>
                <w:rFonts w:ascii="Arial" w:cs="Arial" w:eastAsia="Arial" w:hAnsi="Arial"/>
                <w:sz w:val="32"/>
                <w:szCs w:val="32"/>
                <w:color w:val="auto"/>
                <w:vertAlign w:val="superscript"/>
              </w:rPr>
              <w:t>​​</w:t>
            </w:r>
            <w:r>
              <w:rPr>
                <w:rFonts w:ascii="Arial" w:cs="Arial" w:eastAsia="Arial" w:hAnsi="Arial"/>
                <w:sz w:val="16"/>
                <w:szCs w:val="16"/>
                <w:color w:val="auto"/>
              </w:rPr>
              <w:t xml:space="preserve">No effect―not  </w:t>
            </w:r>
            <w:r>
              <w:rPr>
                <w:rFonts w:ascii="Arial" w:cs="Arial" w:eastAsia="Arial" w:hAnsi="Arial"/>
                <w:sz w:val="32"/>
                <w:szCs w:val="32"/>
                <w:color w:val="auto"/>
                <w:vertAlign w:val="superscript"/>
              </w:rPr>
              <w:t>​​</w:t>
            </w:r>
          </w:p>
        </w:tc>
        <w:tc>
          <w:tcPr>
            <w:tcW w:w="700" w:type="dxa"/>
            <w:vAlign w:val="bottom"/>
          </w:tcPr>
          <w:p>
            <w:pPr>
              <w:ind w:left="240"/>
              <w:spacing w:after="0"/>
              <w:rPr>
                <w:sz w:val="20"/>
                <w:szCs w:val="20"/>
                <w:color w:val="auto"/>
              </w:rPr>
            </w:pPr>
            <w:r>
              <w:rPr>
                <w:rFonts w:ascii="Arial" w:cs="Arial" w:eastAsia="Arial" w:hAnsi="Arial"/>
                <w:sz w:val="16"/>
                <w:szCs w:val="16"/>
                <w:color w:val="auto"/>
              </w:rPr>
              <w:t>No</w:t>
            </w:r>
          </w:p>
        </w:tc>
        <w:tc>
          <w:tcPr>
            <w:tcW w:w="1480" w:type="dxa"/>
            <w:vAlign w:val="bottom"/>
          </w:tcPr>
          <w:p>
            <w:pPr>
              <w:ind w:left="26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 effect   </w:t>
            </w:r>
            <w:r>
              <w:rPr>
                <w:rFonts w:ascii="Arial" w:cs="Arial" w:eastAsia="Arial" w:hAnsi="Arial"/>
                <w:sz w:val="32"/>
                <w:szCs w:val="32"/>
                <w:color w:val="auto"/>
                <w:vertAlign w:val="superscript"/>
              </w:rPr>
              <w:t>​</w:t>
            </w:r>
          </w:p>
        </w:tc>
      </w:tr>
      <w:tr>
        <w:trPr>
          <w:trHeight w:val="215"/>
        </w:trPr>
        <w:tc>
          <w:tcPr>
            <w:tcW w:w="2480" w:type="dxa"/>
            <w:vAlign w:val="bottom"/>
          </w:tcPr>
          <w:p>
            <w:pPr>
              <w:ind w:left="120"/>
              <w:spacing w:after="0"/>
              <w:rPr>
                <w:sz w:val="20"/>
                <w:szCs w:val="20"/>
                <w:color w:val="auto"/>
              </w:rPr>
            </w:pPr>
            <w:r>
              <w:rPr>
                <w:rFonts w:ascii="Arial" w:cs="Arial" w:eastAsia="Arial" w:hAnsi="Arial"/>
                <w:sz w:val="16"/>
                <w:szCs w:val="16"/>
                <w:color w:val="auto"/>
              </w:rPr>
              <w:t>Every Two Years or Every</w:t>
            </w:r>
          </w:p>
        </w:tc>
        <w:tc>
          <w:tcPr>
            <w:tcW w:w="1680" w:type="dxa"/>
            <w:vAlign w:val="bottom"/>
          </w:tcPr>
          <w:p>
            <w:pPr>
              <w:ind w:left="140"/>
              <w:spacing w:after="0"/>
              <w:rPr>
                <w:sz w:val="20"/>
                <w:szCs w:val="20"/>
                <w:color w:val="auto"/>
              </w:rPr>
            </w:pPr>
            <w:r>
              <w:rPr>
                <w:rFonts w:ascii="Arial" w:cs="Arial" w:eastAsia="Arial" w:hAnsi="Arial"/>
                <w:sz w:val="16"/>
                <w:szCs w:val="16"/>
                <w:color w:val="auto"/>
              </w:rPr>
              <w:t>counted as a</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480" w:type="dxa"/>
            <w:vAlign w:val="bottom"/>
          </w:tcPr>
          <w:p>
            <w:pPr>
              <w:ind w:left="120"/>
              <w:spacing w:after="0"/>
              <w:rPr>
                <w:sz w:val="20"/>
                <w:szCs w:val="20"/>
                <w:color w:val="auto"/>
              </w:rPr>
            </w:pPr>
            <w:r>
              <w:rPr>
                <w:rFonts w:ascii="Arial" w:cs="Arial" w:eastAsia="Arial" w:hAnsi="Arial"/>
                <w:sz w:val="16"/>
                <w:szCs w:val="16"/>
                <w:color w:val="auto"/>
              </w:rPr>
              <w:t>Three Years) that receives the</w:t>
            </w:r>
          </w:p>
        </w:tc>
        <w:tc>
          <w:tcPr>
            <w:tcW w:w="1680" w:type="dxa"/>
            <w:vAlign w:val="bottom"/>
          </w:tcPr>
          <w:p>
            <w:pPr>
              <w:ind w:left="140"/>
              <w:spacing w:after="0"/>
              <w:rPr>
                <w:sz w:val="20"/>
                <w:szCs w:val="20"/>
                <w:color w:val="auto"/>
              </w:rPr>
            </w:pPr>
            <w:r>
              <w:rPr>
                <w:rFonts w:ascii="Arial" w:cs="Arial" w:eastAsia="Arial" w:hAnsi="Arial"/>
                <w:sz w:val="16"/>
                <w:szCs w:val="16"/>
                <w:color w:val="auto"/>
              </w:rPr>
              <w:t>“vote cast”</w:t>
            </w: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BF5B5A"/>
        </w:rPr>
        <w:t xml:space="preserve">highest number of votes cast </w:t>
      </w:r>
      <w:r>
        <w:rPr>
          <w:rFonts w:ascii="Arial" w:cs="Arial" w:eastAsia="Arial" w:hAnsi="Arial"/>
          <w:sz w:val="16"/>
          <w:szCs w:val="16"/>
          <w:color w:val="000000"/>
        </w:rPr>
        <w:t>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will be considered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us as the stockholders’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recommendation as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frequency of future stockholder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advisory votes to approve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of our named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20955</wp:posOffset>
            </wp:positionV>
            <wp:extent cx="58293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20" w:space="320"/>
            <w:col w:w="6420"/>
          </w:cols>
          <w:pgMar w:left="580" w:top="97" w:right="1359" w:bottom="1440" w:gutter="0" w:footer="0" w:header="0"/>
          <w:type w:val="continuous"/>
        </w:sectPr>
      </w:pPr>
    </w:p>
    <w:tbl>
      <w:tblPr>
        <w:tblLayout w:type="fixed"/>
        <w:tblInd w:w="780" w:type="dxa"/>
        <w:tblCellMar>
          <w:top w:w="0" w:type="dxa"/>
          <w:left w:w="0" w:type="dxa"/>
          <w:bottom w:w="0" w:type="dxa"/>
          <w:right w:w="0" w:type="dxa"/>
        </w:tblCellMar>
      </w:tblPr>
      <w:tr>
        <w:trPr>
          <w:trHeight w:val="315"/>
        </w:trPr>
        <w:tc>
          <w:tcPr>
            <w:tcW w:w="2700" w:type="dxa"/>
            <w:vAlign w:val="bottom"/>
          </w:tcPr>
          <w:p>
            <w:pPr>
              <w:spacing w:after="0" w:line="315"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25"/>
                <w:szCs w:val="25"/>
                <w:b w:val="1"/>
                <w:bCs w:val="1"/>
                <w:color w:val="BF5B5A"/>
              </w:rPr>
              <w:t xml:space="preserve"> 4.</w:t>
            </w:r>
            <w:r>
              <w:rPr>
                <w:rFonts w:ascii="Arial" w:cs="Arial" w:eastAsia="Arial" w:hAnsi="Arial"/>
                <w:sz w:val="32"/>
                <w:szCs w:val="32"/>
                <w:color w:val="000000"/>
                <w:vertAlign w:val="superscript"/>
              </w:rPr>
              <w:t>​​</w:t>
            </w:r>
            <w:r>
              <w:rPr>
                <w:rFonts w:ascii="Arial" w:cs="Arial" w:eastAsia="Arial" w:hAnsi="Arial"/>
                <w:sz w:val="16"/>
                <w:szCs w:val="16"/>
                <w:b w:val="1"/>
                <w:bCs w:val="1"/>
                <w:color w:val="000000"/>
              </w:rPr>
              <w:t>Ratification of the Appointment</w:t>
            </w:r>
          </w:p>
        </w:tc>
        <w:tc>
          <w:tcPr>
            <w:tcW w:w="2480" w:type="dxa"/>
            <w:vAlign w:val="bottom"/>
          </w:tcPr>
          <w:p>
            <w:pPr>
              <w:ind w:left="60"/>
              <w:spacing w:after="0" w:line="315"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BF5B5A"/>
              </w:rPr>
              <w:t xml:space="preserve">Majority of the shares </w:t>
            </w:r>
            <w:r>
              <w:rPr>
                <w:rFonts w:ascii="Arial" w:cs="Arial" w:eastAsia="Arial" w:hAnsi="Arial"/>
                <w:sz w:val="16"/>
                <w:szCs w:val="16"/>
                <w:color w:val="000000"/>
              </w:rPr>
              <w:t>present</w:t>
            </w:r>
          </w:p>
        </w:tc>
        <w:tc>
          <w:tcPr>
            <w:tcW w:w="1720" w:type="dxa"/>
            <w:vAlign w:val="bottom"/>
          </w:tcPr>
          <w:p>
            <w:pPr>
              <w:ind w:left="80"/>
              <w:spacing w:after="0" w:line="315"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Treated as a   </w:t>
            </w:r>
            <w:r>
              <w:rPr>
                <w:rFonts w:ascii="Arial" w:cs="Arial" w:eastAsia="Arial" w:hAnsi="Arial"/>
                <w:sz w:val="32"/>
                <w:szCs w:val="32"/>
                <w:color w:val="auto"/>
                <w:vertAlign w:val="superscript"/>
              </w:rPr>
              <w:t>​​</w:t>
            </w:r>
          </w:p>
        </w:tc>
        <w:tc>
          <w:tcPr>
            <w:tcW w:w="740" w:type="dxa"/>
            <w:vAlign w:val="bottom"/>
          </w:tcPr>
          <w:p>
            <w:pPr>
              <w:ind w:left="240"/>
              <w:spacing w:after="0"/>
              <w:rPr>
                <w:sz w:val="20"/>
                <w:szCs w:val="20"/>
                <w:color w:val="auto"/>
              </w:rPr>
            </w:pPr>
            <w:r>
              <w:rPr>
                <w:rFonts w:ascii="Arial" w:cs="Arial" w:eastAsia="Arial" w:hAnsi="Arial"/>
                <w:sz w:val="16"/>
                <w:szCs w:val="16"/>
                <w:color w:val="auto"/>
              </w:rPr>
              <w:t>Yes</w:t>
            </w:r>
          </w:p>
        </w:tc>
        <w:tc>
          <w:tcPr>
            <w:tcW w:w="1540" w:type="dxa"/>
            <w:vAlign w:val="bottom"/>
          </w:tcPr>
          <w:p>
            <w:pPr>
              <w:ind w:left="240"/>
              <w:spacing w:after="0" w:line="315"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Not applicable</w:t>
            </w:r>
            <w:r>
              <w:rPr>
                <w:rFonts w:ascii="Arial" w:cs="Arial" w:eastAsia="Arial" w:hAnsi="Arial"/>
                <w:sz w:val="32"/>
                <w:szCs w:val="32"/>
                <w:color w:val="auto"/>
                <w:vertAlign w:val="superscript"/>
              </w:rPr>
              <w:t>​</w:t>
            </w:r>
          </w:p>
        </w:tc>
      </w:tr>
      <w:tr>
        <w:trPr>
          <w:trHeight w:val="216"/>
        </w:trPr>
        <w:tc>
          <w:tcPr>
            <w:tcW w:w="2700" w:type="dxa"/>
            <w:vAlign w:val="bottom"/>
          </w:tcPr>
          <w:p>
            <w:pPr>
              <w:ind w:left="380"/>
              <w:spacing w:after="0"/>
              <w:rPr>
                <w:sz w:val="20"/>
                <w:szCs w:val="20"/>
                <w:color w:val="auto"/>
              </w:rPr>
            </w:pPr>
            <w:r>
              <w:rPr>
                <w:rFonts w:ascii="Arial" w:cs="Arial" w:eastAsia="Arial" w:hAnsi="Arial"/>
                <w:sz w:val="16"/>
                <w:szCs w:val="16"/>
                <w:b w:val="1"/>
                <w:bCs w:val="1"/>
                <w:color w:val="auto"/>
              </w:rPr>
              <w:t>of Deloitte &amp; Touche LLP</w:t>
            </w:r>
          </w:p>
        </w:tc>
        <w:tc>
          <w:tcPr>
            <w:tcW w:w="2480" w:type="dxa"/>
            <w:vAlign w:val="bottom"/>
          </w:tcPr>
          <w:p>
            <w:pPr>
              <w:ind w:left="180"/>
              <w:spacing w:after="0"/>
              <w:rPr>
                <w:sz w:val="20"/>
                <w:szCs w:val="20"/>
                <w:color w:val="auto"/>
              </w:rPr>
            </w:pPr>
            <w:r>
              <w:rPr>
                <w:rFonts w:ascii="Arial" w:cs="Arial" w:eastAsia="Arial" w:hAnsi="Arial"/>
                <w:sz w:val="16"/>
                <w:szCs w:val="16"/>
                <w:color w:val="auto"/>
              </w:rPr>
              <w:t>in person or represented by</w:t>
            </w:r>
          </w:p>
        </w:tc>
        <w:tc>
          <w:tcPr>
            <w:tcW w:w="1720" w:type="dxa"/>
            <w:vAlign w:val="bottom"/>
          </w:tcPr>
          <w:p>
            <w:pPr>
              <w:ind w:left="200"/>
              <w:spacing w:after="0"/>
              <w:rPr>
                <w:sz w:val="20"/>
                <w:szCs w:val="20"/>
                <w:color w:val="auto"/>
              </w:rPr>
            </w:pPr>
            <w:r>
              <w:rPr>
                <w:rFonts w:ascii="Arial" w:cs="Arial" w:eastAsia="Arial" w:hAnsi="Arial"/>
                <w:sz w:val="16"/>
                <w:szCs w:val="16"/>
                <w:color w:val="auto"/>
              </w:rPr>
              <w:t>vote AGAINST</w:t>
            </w: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2480" w:type="dxa"/>
            <w:vAlign w:val="bottom"/>
          </w:tcPr>
          <w:p>
            <w:pPr>
              <w:ind w:left="180"/>
              <w:spacing w:after="0"/>
              <w:rPr>
                <w:sz w:val="20"/>
                <w:szCs w:val="20"/>
                <w:color w:val="auto"/>
              </w:rPr>
            </w:pPr>
            <w:r>
              <w:rPr>
                <w:rFonts w:ascii="Arial" w:cs="Arial" w:eastAsia="Arial" w:hAnsi="Arial"/>
                <w:sz w:val="16"/>
                <w:szCs w:val="16"/>
                <w:color w:val="auto"/>
              </w:rPr>
              <w:t>proxy Majority of the shares</w:t>
            </w:r>
          </w:p>
        </w:tc>
        <w:tc>
          <w:tcPr>
            <w:tcW w:w="1720" w:type="dxa"/>
            <w:vAlign w:val="bottom"/>
          </w:tcPr>
          <w:p>
            <w:pPr>
              <w:ind w:left="200"/>
              <w:spacing w:after="0"/>
              <w:rPr>
                <w:sz w:val="20"/>
                <w:szCs w:val="20"/>
                <w:color w:val="auto"/>
              </w:rPr>
            </w:pPr>
            <w:r>
              <w:rPr>
                <w:rFonts w:ascii="Arial" w:cs="Arial" w:eastAsia="Arial" w:hAnsi="Arial"/>
                <w:sz w:val="16"/>
                <w:szCs w:val="16"/>
                <w:color w:val="auto"/>
              </w:rPr>
              <w:t>the proposal</w:t>
            </w: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480" w:type="dxa"/>
            <w:vAlign w:val="bottom"/>
          </w:tcPr>
          <w:p>
            <w:pPr>
              <w:ind w:left="180"/>
              <w:spacing w:after="0"/>
              <w:rPr>
                <w:sz w:val="20"/>
                <w:szCs w:val="20"/>
                <w:color w:val="auto"/>
              </w:rPr>
            </w:pPr>
            <w:r>
              <w:rPr>
                <w:rFonts w:ascii="Arial" w:cs="Arial" w:eastAsia="Arial" w:hAnsi="Arial"/>
                <w:sz w:val="16"/>
                <w:szCs w:val="16"/>
                <w:color w:val="auto"/>
              </w:rPr>
              <w:t>present in person or</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480" w:type="dxa"/>
            <w:vAlign w:val="bottom"/>
          </w:tcPr>
          <w:p>
            <w:pPr>
              <w:ind w:left="180"/>
              <w:spacing w:after="0"/>
              <w:rPr>
                <w:sz w:val="20"/>
                <w:szCs w:val="20"/>
                <w:color w:val="auto"/>
              </w:rPr>
            </w:pPr>
            <w:r>
              <w:rPr>
                <w:rFonts w:ascii="Arial" w:cs="Arial" w:eastAsia="Arial" w:hAnsi="Arial"/>
                <w:sz w:val="16"/>
                <w:szCs w:val="16"/>
                <w:color w:val="auto"/>
              </w:rPr>
              <w:t>represented by proxy</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70"/>
        </w:trPr>
        <w:tc>
          <w:tcPr>
            <w:tcW w:w="2700" w:type="dxa"/>
            <w:vAlign w:val="bottom"/>
            <w:tcBorders>
              <w:bottom w:val="single" w:sz="8" w:color="BF5B5A"/>
            </w:tcBorders>
          </w:tcPr>
          <w:p>
            <w:pPr>
              <w:spacing w:after="0"/>
              <w:rPr>
                <w:sz w:val="6"/>
                <w:szCs w:val="6"/>
                <w:color w:val="auto"/>
              </w:rPr>
            </w:pPr>
          </w:p>
        </w:tc>
        <w:tc>
          <w:tcPr>
            <w:tcW w:w="2480" w:type="dxa"/>
            <w:vAlign w:val="bottom"/>
            <w:tcBorders>
              <w:bottom w:val="single" w:sz="8" w:color="BF5B5A"/>
            </w:tcBorders>
          </w:tcPr>
          <w:p>
            <w:pPr>
              <w:spacing w:after="0"/>
              <w:rPr>
                <w:sz w:val="6"/>
                <w:szCs w:val="6"/>
                <w:color w:val="auto"/>
              </w:rPr>
            </w:pPr>
          </w:p>
        </w:tc>
        <w:tc>
          <w:tcPr>
            <w:tcW w:w="1720" w:type="dxa"/>
            <w:vAlign w:val="bottom"/>
            <w:tcBorders>
              <w:bottom w:val="single" w:sz="8" w:color="BF5B5A"/>
            </w:tcBorders>
          </w:tcPr>
          <w:p>
            <w:pPr>
              <w:spacing w:after="0"/>
              <w:rPr>
                <w:sz w:val="6"/>
                <w:szCs w:val="6"/>
                <w:color w:val="auto"/>
              </w:rPr>
            </w:pPr>
          </w:p>
        </w:tc>
        <w:tc>
          <w:tcPr>
            <w:tcW w:w="740" w:type="dxa"/>
            <w:vAlign w:val="bottom"/>
            <w:tcBorders>
              <w:bottom w:val="single" w:sz="8" w:color="BF5B5A"/>
            </w:tcBorders>
          </w:tcPr>
          <w:p>
            <w:pPr>
              <w:spacing w:after="0"/>
              <w:rPr>
                <w:sz w:val="6"/>
                <w:szCs w:val="6"/>
                <w:color w:val="auto"/>
              </w:rPr>
            </w:pPr>
          </w:p>
        </w:tc>
        <w:tc>
          <w:tcPr>
            <w:tcW w:w="1540" w:type="dxa"/>
            <w:vAlign w:val="bottom"/>
            <w:tcBorders>
              <w:bottom w:val="single" w:sz="8" w:color="BF5B5A"/>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960"/>
          </w:cols>
          <w:pgMar w:left="580" w:top="97" w:right="1359" w:bottom="1440" w:gutter="0" w:footer="0" w:header="0"/>
          <w:type w:val="continuous"/>
        </w:sectPr>
      </w:pPr>
    </w:p>
    <w:p>
      <w:pPr>
        <w:spacing w:after="0" w:line="105" w:lineRule="exact"/>
        <w:rPr>
          <w:sz w:val="20"/>
          <w:szCs w:val="20"/>
          <w:color w:val="auto"/>
        </w:rPr>
      </w:pPr>
    </w:p>
    <w:p>
      <w:pPr>
        <w:ind w:left="780" w:right="20"/>
        <w:spacing w:after="0" w:line="267" w:lineRule="auto"/>
        <w:rPr>
          <w:sz w:val="20"/>
          <w:szCs w:val="20"/>
          <w:color w:val="auto"/>
        </w:rPr>
      </w:pPr>
      <w:r>
        <w:rPr>
          <w:rFonts w:ascii="Arial" w:cs="Arial" w:eastAsia="Arial" w:hAnsi="Arial"/>
          <w:sz w:val="18"/>
          <w:szCs w:val="18"/>
          <w:color w:val="auto"/>
        </w:rPr>
        <w:t>As of March 1, 2024, the Record Date, there were 127,636,937 shares of our common stock outstanding, each of which entitles the holder to one vote for each matter to be voted upon at our Annual Meeting.</w:t>
      </w:r>
    </w:p>
    <w:p>
      <w:pPr>
        <w:spacing w:after="0" w:line="118" w:lineRule="exact"/>
        <w:rPr>
          <w:sz w:val="20"/>
          <w:szCs w:val="20"/>
          <w:color w:val="auto"/>
        </w:rPr>
      </w:pPr>
    </w:p>
    <w:p>
      <w:pPr>
        <w:ind w:left="780"/>
        <w:spacing w:after="0" w:line="267" w:lineRule="auto"/>
        <w:rPr>
          <w:sz w:val="20"/>
          <w:szCs w:val="20"/>
          <w:color w:val="auto"/>
        </w:rPr>
      </w:pPr>
      <w:r>
        <w:rPr>
          <w:rFonts w:ascii="Arial" w:cs="Arial" w:eastAsia="Arial" w:hAnsi="Arial"/>
          <w:sz w:val="18"/>
          <w:szCs w:val="18"/>
          <w:color w:val="auto"/>
        </w:rPr>
        <w:t>Shares of capital stock of the Company (i) belonging to the Company or (ii) held by another corporation if the Company owns, directly or indirectly, a sufficient number of shares entitled to elect a majority of the directors of such other corporation, are not counted in determining the total number of outstanding shares and will not be voted.</w:t>
      </w:r>
    </w:p>
    <w:p>
      <w:pPr>
        <w:spacing w:after="0" w:line="103" w:lineRule="exact"/>
        <w:rPr>
          <w:sz w:val="20"/>
          <w:szCs w:val="20"/>
          <w:color w:val="auto"/>
        </w:rPr>
      </w:pPr>
    </w:p>
    <w:p>
      <w:pPr>
        <w:ind w:left="780" w:right="120"/>
        <w:spacing w:after="0" w:line="273" w:lineRule="auto"/>
        <w:rPr>
          <w:sz w:val="20"/>
          <w:szCs w:val="20"/>
          <w:color w:val="auto"/>
        </w:rPr>
      </w:pPr>
      <w:r>
        <w:rPr>
          <w:rFonts w:ascii="Arial" w:cs="Arial" w:eastAsia="Arial" w:hAnsi="Arial"/>
          <w:sz w:val="18"/>
          <w:szCs w:val="18"/>
          <w:color w:val="auto"/>
        </w:rPr>
        <w:t>Notwithstanding the foregoing, shares held by the Company in a fiduciary capacity are counted in determining the total number of outstanding shares at any given time and may be voted.</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20"/>
          <w:szCs w:val="20"/>
          <w:color w:val="BF5B5A"/>
        </w:rPr>
        <w:t>PROPOSAL 1―ELECTION OF DIRECTORS</w:t>
      </w:r>
    </w:p>
    <w:p>
      <w:pPr>
        <w:spacing w:after="0" w:line="151" w:lineRule="exact"/>
        <w:rPr>
          <w:sz w:val="20"/>
          <w:szCs w:val="20"/>
          <w:color w:val="auto"/>
        </w:rPr>
      </w:pPr>
    </w:p>
    <w:p>
      <w:pPr>
        <w:ind w:left="780" w:right="20"/>
        <w:spacing w:after="0" w:line="267" w:lineRule="auto"/>
        <w:rPr>
          <w:sz w:val="20"/>
          <w:szCs w:val="20"/>
          <w:color w:val="auto"/>
        </w:rPr>
      </w:pPr>
      <w:r>
        <w:rPr>
          <w:rFonts w:ascii="Arial" w:cs="Arial" w:eastAsia="Arial" w:hAnsi="Arial"/>
          <w:sz w:val="18"/>
          <w:szCs w:val="18"/>
          <w:color w:val="auto"/>
        </w:rPr>
        <w:t>The affirmative vote of a majority of the votes cast is required for the election of directors in an uncontested election, such as the election of directors at the 2024 Annual Meeting. This means that the number of votes cast “FOR” a director nominee must exceed the number of votes cast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“AGAINST” that nominee. Abstentions and broker non-votes are not counted as votes “for” or “against” a director nominee. Any nominee who does not receive a majority of votes cast “for” his or her election would be required to tender his or her resignation promptly following the failure to receive the required vote. Within 90 days of the certification of the stockholder vote, the Corporate Governance and Nominating Committee would then be required to make a recommendation to the Board as to whether the Board should accept the resignation, and the Board would be required to decide whether to accept the resignation and disclose its decision-making process. In a contested election, the required vote would be a plurality of votes cast. Full details of this policy are set forth in our Corporate Governance Guidelines, which can be found on the investor relations section of our website located at </w:t>
      </w:r>
      <w:r>
        <w:rPr>
          <w:rFonts w:ascii="Arial" w:cs="Arial" w:eastAsia="Arial" w:hAnsi="Arial"/>
          <w:sz w:val="18"/>
          <w:szCs w:val="18"/>
          <w:color w:val="BF5B5A"/>
        </w:rPr>
        <w:t>http://www.fhb.com</w:t>
      </w:r>
      <w:r>
        <w:rPr>
          <w:rFonts w:ascii="Arial" w:cs="Arial" w:eastAsia="Arial" w:hAnsi="Arial"/>
          <w:sz w:val="18"/>
          <w:szCs w:val="18"/>
          <w:color w:val="000000"/>
        </w:rPr>
        <w:t>.</w:t>
      </w:r>
      <w:r>
        <w:rPr>
          <w:rFonts w:ascii="Times New Roman" w:cs="Times New Roman" w:eastAsia="Times New Roman" w:hAnsi="Times New Roman"/>
          <w:sz w:val="19"/>
          <w:szCs w:val="19"/>
          <w:color w:val="000000"/>
        </w:rPr>
        <w:t>​</w:t>
      </w:r>
    </w:p>
    <w:p>
      <w:pPr>
        <w:spacing w:after="0" w:line="183" w:lineRule="exact"/>
        <w:rPr>
          <w:sz w:val="20"/>
          <w:szCs w:val="20"/>
          <w:color w:val="auto"/>
        </w:rPr>
      </w:pPr>
    </w:p>
    <w:p>
      <w:pPr>
        <w:ind w:right="160"/>
        <w:spacing w:after="0" w:line="269" w:lineRule="auto"/>
        <w:rPr>
          <w:sz w:val="20"/>
          <w:szCs w:val="20"/>
          <w:color w:val="auto"/>
        </w:rPr>
      </w:pPr>
      <w:r>
        <w:rPr>
          <w:rFonts w:ascii="Arial" w:cs="Arial" w:eastAsia="Arial" w:hAnsi="Arial"/>
          <w:sz w:val="20"/>
          <w:szCs w:val="20"/>
          <w:color w:val="BF5B5A"/>
        </w:rPr>
        <w:t>PROPOSAL 2―ADVISORY VOTE ON THE COMPENSATION OF OUR NAMED EXECUTIVE OFFICERS</w:t>
      </w:r>
    </w:p>
    <w:p>
      <w:pPr>
        <w:spacing w:after="0" w:line="93"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color w:val="auto"/>
        </w:rPr>
        <w:t>The affirmative vote of a majority of the shares present in person or represented by proxy and</w:t>
      </w:r>
    </w:p>
    <w:p>
      <w:pPr>
        <w:spacing w:after="0" w:line="184"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92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7F7F7F"/>
        </w:rPr>
        <w:t>FREQUENTLY ASKED QUESTIONS ABOUT THE ANNUAL MEETING AND VOTING</w:t>
      </w:r>
    </w:p>
    <w:p>
      <w:pPr>
        <w:sectPr>
          <w:pgSz w:w="11900" w:h="16838" w:orient="portrait"/>
          <w:cols w:equalWidth="0" w:num="1">
            <w:col w:w="10000"/>
          </w:cols>
          <w:pgMar w:left="580" w:top="97" w:right="1319" w:bottom="1440" w:gutter="0" w:footer="0" w:header="0"/>
        </w:sectPr>
      </w:pPr>
    </w:p>
    <w:p>
      <w:pPr>
        <w:spacing w:after="0" w:line="266" w:lineRule="exact"/>
        <w:rPr>
          <w:sz w:val="20"/>
          <w:szCs w:val="20"/>
          <w:color w:val="auto"/>
        </w:rPr>
      </w:pPr>
    </w:p>
    <w:p>
      <w:pPr>
        <w:ind w:left="780"/>
        <w:spacing w:after="0" w:line="266" w:lineRule="auto"/>
        <w:rPr>
          <w:sz w:val="20"/>
          <w:szCs w:val="20"/>
          <w:color w:val="auto"/>
        </w:rPr>
      </w:pPr>
      <w:r>
        <w:rPr>
          <w:rFonts w:ascii="Arial" w:cs="Arial" w:eastAsia="Arial" w:hAnsi="Arial"/>
          <w:sz w:val="18"/>
          <w:szCs w:val="18"/>
          <w:color w:val="auto"/>
        </w:rPr>
        <w:t>entitled to vote on Proposal 2 is required for the approval, on an advisory basis, of the compensation of our named executive officers as disclosed in this Proxy Statement. The results of the vote on the proposal are not binding on the Board of Directors. Abstentions will have the effect of voting against this proposal. Broker non-votes will have no effect on the outcome of this proposal.</w:t>
      </w:r>
    </w:p>
    <w:p>
      <w:pPr>
        <w:spacing w:after="0" w:line="187" w:lineRule="exact"/>
        <w:rPr>
          <w:sz w:val="20"/>
          <w:szCs w:val="20"/>
          <w:color w:val="auto"/>
        </w:rPr>
      </w:pPr>
    </w:p>
    <w:p>
      <w:pPr>
        <w:ind w:left="780" w:right="140"/>
        <w:spacing w:after="0" w:line="264" w:lineRule="auto"/>
        <w:rPr>
          <w:sz w:val="20"/>
          <w:szCs w:val="20"/>
          <w:color w:val="auto"/>
        </w:rPr>
      </w:pPr>
      <w:r>
        <w:rPr>
          <w:rFonts w:ascii="Arial" w:cs="Arial" w:eastAsia="Arial" w:hAnsi="Arial"/>
          <w:sz w:val="20"/>
          <w:szCs w:val="20"/>
          <w:color w:val="BF5B5A"/>
        </w:rPr>
        <w:t>PROPOSAL 3―ADVISORY VOTE ON THE FREQUENCY OF FUTURE VOTES ON THE COMPENSATION OF OUR NAMED EXECUTIVE OFFICERS</w:t>
      </w:r>
    </w:p>
    <w:p>
      <w:pPr>
        <w:spacing w:after="0" w:line="98" w:lineRule="exact"/>
        <w:rPr>
          <w:sz w:val="20"/>
          <w:szCs w:val="20"/>
          <w:color w:val="auto"/>
        </w:rPr>
      </w:pPr>
    </w:p>
    <w:p>
      <w:pPr>
        <w:ind w:left="780" w:right="80"/>
        <w:spacing w:after="0" w:line="277" w:lineRule="auto"/>
        <w:rPr>
          <w:sz w:val="20"/>
          <w:szCs w:val="20"/>
          <w:color w:val="auto"/>
        </w:rPr>
      </w:pPr>
      <w:r>
        <w:rPr>
          <w:rFonts w:ascii="Arial" w:cs="Arial" w:eastAsia="Arial" w:hAnsi="Arial"/>
          <w:sz w:val="18"/>
          <w:szCs w:val="18"/>
          <w:color w:val="auto"/>
        </w:rPr>
        <w:t>The frequency (i.e., Every Year, Every Two Years or Every Three Years) that receives the highest number of votes cast by stockholders will be considered 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color w:val="auto"/>
        </w:rPr>
        <w:t>us as the stockholders’ recommendation as to the frequency of future stockholder advisory votes to approve the compensation of our named executive officers. Abstentions and broker non-votes will not be included in the total votes cast and will not affect the results.</w:t>
      </w:r>
    </w:p>
    <w:p>
      <w:pPr>
        <w:spacing w:after="0" w:line="176" w:lineRule="exact"/>
        <w:rPr>
          <w:sz w:val="20"/>
          <w:szCs w:val="20"/>
          <w:color w:val="auto"/>
        </w:rPr>
      </w:pPr>
    </w:p>
    <w:p>
      <w:pPr>
        <w:ind w:right="300"/>
        <w:spacing w:after="0" w:line="360" w:lineRule="auto"/>
        <w:rPr>
          <w:sz w:val="20"/>
          <w:szCs w:val="20"/>
          <w:color w:val="auto"/>
        </w:rPr>
      </w:pPr>
      <w:r>
        <w:rPr>
          <w:rFonts w:ascii="Arial" w:cs="Arial" w:eastAsia="Arial" w:hAnsi="Arial"/>
          <w:sz w:val="18"/>
          <w:szCs w:val="18"/>
          <w:color w:val="BF5B5A"/>
        </w:rPr>
        <w:t>PROPOSAL 4―RATIFICATION OF THE APPOINTMENT OF DELOITTE &amp; TOUCHE LLP</w:t>
      </w:r>
    </w:p>
    <w:p>
      <w:pPr>
        <w:spacing w:after="0" w:line="43" w:lineRule="exact"/>
        <w:rPr>
          <w:sz w:val="20"/>
          <w:szCs w:val="20"/>
          <w:color w:val="auto"/>
        </w:rPr>
      </w:pPr>
    </w:p>
    <w:p>
      <w:pPr>
        <w:ind w:right="320"/>
        <w:spacing w:after="0" w:line="289" w:lineRule="auto"/>
        <w:rPr>
          <w:sz w:val="20"/>
          <w:szCs w:val="20"/>
          <w:color w:val="auto"/>
        </w:rPr>
      </w:pPr>
      <w:r>
        <w:rPr>
          <w:rFonts w:ascii="Arial" w:cs="Arial" w:eastAsia="Arial" w:hAnsi="Arial"/>
          <w:sz w:val="18"/>
          <w:szCs w:val="18"/>
          <w:color w:val="auto"/>
        </w:rPr>
        <w:t>The affirmative vote of a majority of the shares present in person or represented by proxy and entitled to vote on Proposal 4 is required for the ratification of the appointment of our independent registered public accounting firm. Abstentions will have the effect of voting against this proposal.</w:t>
      </w:r>
    </w:p>
    <w:p>
      <w:pPr>
        <w:spacing w:after="0" w:line="204" w:lineRule="exact"/>
        <w:rPr>
          <w:sz w:val="20"/>
          <w:szCs w:val="20"/>
          <w:color w:val="auto"/>
        </w:rPr>
      </w:pPr>
    </w:p>
    <w:p>
      <w:pPr>
        <w:sectPr>
          <w:pgSz w:w="11900" w:h="16838" w:orient="portrait"/>
          <w:cols w:equalWidth="0" w:num="2">
            <w:col w:w="5120" w:space="500"/>
            <w:col w:w="4380"/>
          </w:cols>
          <w:pgMar w:left="580" w:top="97" w:right="1319" w:bottom="1440" w:gutter="0" w:footer="0" w:header="0"/>
          <w:type w:val="continuous"/>
        </w:sectPr>
      </w:pPr>
    </w:p>
    <w:p>
      <w:pPr>
        <w:spacing w:after="0" w:line="24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How do I submit my vote?</w:t>
      </w:r>
    </w:p>
    <w:p>
      <w:pPr>
        <w:spacing w:after="0" w:line="240" w:lineRule="exact"/>
        <w:rPr>
          <w:sz w:val="20"/>
          <w:szCs w:val="20"/>
          <w:color w:val="auto"/>
        </w:rPr>
      </w:pPr>
    </w:p>
    <w:p>
      <w:pPr>
        <w:ind w:left="780"/>
        <w:spacing w:after="0"/>
        <w:rPr>
          <w:sz w:val="20"/>
          <w:szCs w:val="20"/>
          <w:color w:val="auto"/>
        </w:rPr>
      </w:pPr>
      <w:r>
        <w:rPr>
          <w:rFonts w:ascii="Arial" w:cs="Arial" w:eastAsia="Arial" w:hAnsi="Arial"/>
          <w:sz w:val="19"/>
          <w:szCs w:val="19"/>
          <w:color w:val="BF5B5A"/>
        </w:rPr>
        <w:t>STOCKHOLDERS OF RECORD</w:t>
      </w:r>
    </w:p>
    <w:p>
      <w:pPr>
        <w:sectPr>
          <w:pgSz w:w="11900" w:h="16838" w:orient="portrait"/>
          <w:cols w:equalWidth="0" w:num="1">
            <w:col w:w="10000"/>
          </w:cols>
          <w:pgMar w:left="580" w:top="97" w:right="1319" w:bottom="1440" w:gutter="0" w:footer="0" w:header="0"/>
          <w:type w:val="continuous"/>
        </w:sectPr>
      </w:pPr>
    </w:p>
    <w:p>
      <w:pPr>
        <w:spacing w:after="0" w:line="249" w:lineRule="exact"/>
        <w:rPr>
          <w:sz w:val="20"/>
          <w:szCs w:val="20"/>
          <w:color w:val="auto"/>
        </w:rPr>
      </w:pPr>
    </w:p>
    <w:tbl>
      <w:tblPr>
        <w:tblLayout w:type="fixed"/>
        <w:tblInd w:w="780" w:type="dxa"/>
        <w:tblCellMar>
          <w:top w:w="0" w:type="dxa"/>
          <w:left w:w="0" w:type="dxa"/>
          <w:bottom w:w="0" w:type="dxa"/>
          <w:right w:w="0" w:type="dxa"/>
        </w:tblCellMar>
      </w:tblPr>
      <w:tr>
        <w:trPr>
          <w:trHeight w:val="486"/>
        </w:trPr>
        <w:tc>
          <w:tcPr>
            <w:tcW w:w="440" w:type="dxa"/>
            <w:vAlign w:val="bottom"/>
          </w:tcPr>
          <w:p>
            <w:pPr>
              <w:spacing w:after="0"/>
              <w:rPr>
                <w:sz w:val="20"/>
                <w:szCs w:val="20"/>
                <w:color w:val="auto"/>
              </w:rPr>
            </w:pPr>
            <w:r>
              <w:rPr>
                <w:rFonts w:ascii="Arial" w:cs="Arial" w:eastAsia="Arial" w:hAnsi="Arial"/>
                <w:sz w:val="15"/>
                <w:szCs w:val="15"/>
                <w:b w:val="1"/>
                <w:bCs w:val="1"/>
                <w:color w:val="FFFFFF"/>
              </w:rPr>
              <w:t>​</w:t>
            </w:r>
          </w:p>
        </w:tc>
        <w:tc>
          <w:tcPr>
            <w:tcW w:w="2380" w:type="dxa"/>
            <w:vAlign w:val="bottom"/>
          </w:tcPr>
          <w:p>
            <w:pPr>
              <w:spacing w:after="0"/>
              <w:rPr>
                <w:sz w:val="24"/>
                <w:szCs w:val="24"/>
                <w:color w:val="auto"/>
              </w:rPr>
            </w:pPr>
          </w:p>
        </w:tc>
        <w:tc>
          <w:tcPr>
            <w:tcW w:w="220" w:type="dxa"/>
            <w:vAlign w:val="bottom"/>
            <w:shd w:val="clear" w:color="auto" w:fill="FEFEFE"/>
          </w:tcPr>
          <w:p>
            <w:pPr>
              <w:ind w:left="20"/>
              <w:spacing w:after="0"/>
              <w:rPr>
                <w:sz w:val="20"/>
                <w:szCs w:val="20"/>
                <w:color w:val="auto"/>
              </w:rPr>
            </w:pPr>
            <w:r>
              <w:rPr>
                <w:rFonts w:ascii="Arial" w:cs="Arial" w:eastAsia="Arial" w:hAnsi="Arial"/>
                <w:sz w:val="15"/>
                <w:szCs w:val="15"/>
                <w:b w:val="1"/>
                <w:bCs w:val="1"/>
                <w:color w:val="FFFFFF"/>
              </w:rPr>
              <w:t>​</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FFFFFF"/>
              </w:rPr>
              <w:t>​</w:t>
            </w:r>
          </w:p>
        </w:tc>
        <w:tc>
          <w:tcPr>
            <w:tcW w:w="254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5"/>
                <w:szCs w:val="15"/>
                <w:b w:val="1"/>
                <w:bCs w:val="1"/>
                <w:color w:val="FFFFFF"/>
              </w:rPr>
              <w:t>​</w:t>
            </w:r>
          </w:p>
        </w:tc>
        <w:tc>
          <w:tcPr>
            <w:tcW w:w="880" w:type="dxa"/>
            <w:vAlign w:val="bottom"/>
          </w:tcPr>
          <w:p>
            <w:pPr>
              <w:spacing w:after="0"/>
              <w:rPr>
                <w:sz w:val="20"/>
                <w:szCs w:val="20"/>
                <w:color w:val="auto"/>
              </w:rPr>
            </w:pPr>
            <w:r>
              <w:rPr>
                <w:rFonts w:ascii="Arial" w:cs="Arial" w:eastAsia="Arial" w:hAnsi="Arial"/>
                <w:sz w:val="15"/>
                <w:szCs w:val="15"/>
                <w:b w:val="1"/>
                <w:bCs w:val="1"/>
                <w:color w:val="FFFFFF"/>
              </w:rPr>
              <w:t>​</w:t>
            </w:r>
          </w:p>
        </w:tc>
        <w:tc>
          <w:tcPr>
            <w:tcW w:w="1940" w:type="dxa"/>
            <w:vAlign w:val="bottom"/>
          </w:tcPr>
          <w:p>
            <w:pPr>
              <w:spacing w:after="0"/>
              <w:rPr>
                <w:sz w:val="24"/>
                <w:szCs w:val="24"/>
                <w:color w:val="auto"/>
              </w:rPr>
            </w:pPr>
          </w:p>
        </w:tc>
      </w:tr>
      <w:tr>
        <w:trPr>
          <w:trHeight w:val="257"/>
        </w:trPr>
        <w:tc>
          <w:tcPr>
            <w:tcW w:w="440" w:type="dxa"/>
            <w:vAlign w:val="bottom"/>
            <w:shd w:val="clear" w:color="auto" w:fill="BF5B5A"/>
          </w:tcPr>
          <w:p>
            <w:pPr>
              <w:spacing w:after="0"/>
              <w:rPr>
                <w:sz w:val="20"/>
                <w:szCs w:val="20"/>
                <w:color w:val="auto"/>
              </w:rPr>
            </w:pPr>
            <w:r>
              <w:rPr>
                <w:rFonts w:ascii="Arial" w:cs="Arial" w:eastAsia="Arial" w:hAnsi="Arial"/>
                <w:sz w:val="15"/>
                <w:szCs w:val="15"/>
                <w:b w:val="1"/>
                <w:bCs w:val="1"/>
                <w:color w:val="FFFFFF"/>
              </w:rPr>
              <w:t>​</w:t>
            </w:r>
          </w:p>
        </w:tc>
        <w:tc>
          <w:tcPr>
            <w:tcW w:w="2380" w:type="dxa"/>
            <w:vAlign w:val="bottom"/>
            <w:shd w:val="clear" w:color="auto" w:fill="BF5B5A"/>
          </w:tcPr>
          <w:p>
            <w:pPr>
              <w:ind w:left="420"/>
              <w:spacing w:after="0"/>
              <w:rPr>
                <w:sz w:val="20"/>
                <w:szCs w:val="20"/>
                <w:color w:val="auto"/>
              </w:rPr>
            </w:pPr>
            <w:r>
              <w:rPr>
                <w:rFonts w:ascii="Arial" w:cs="Arial" w:eastAsia="Arial" w:hAnsi="Arial"/>
                <w:sz w:val="15"/>
                <w:szCs w:val="15"/>
                <w:b w:val="1"/>
                <w:bCs w:val="1"/>
                <w:color w:val="FFFFFF"/>
              </w:rPr>
              <w:t>BY TELEPHONE</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5"/>
                <w:szCs w:val="15"/>
                <w:b w:val="1"/>
                <w:bCs w:val="1"/>
                <w:color w:val="FFFFFF"/>
              </w:rPr>
              <w:t>​</w:t>
            </w:r>
          </w:p>
        </w:tc>
        <w:tc>
          <w:tcPr>
            <w:tcW w:w="560" w:type="dxa"/>
            <w:vAlign w:val="bottom"/>
            <w:shd w:val="clear" w:color="auto" w:fill="BF5B5A"/>
          </w:tcPr>
          <w:p>
            <w:pPr>
              <w:ind w:left="20"/>
              <w:spacing w:after="0"/>
              <w:rPr>
                <w:sz w:val="20"/>
                <w:szCs w:val="20"/>
                <w:color w:val="auto"/>
              </w:rPr>
            </w:pPr>
            <w:r>
              <w:rPr>
                <w:rFonts w:ascii="Arial" w:cs="Arial" w:eastAsia="Arial" w:hAnsi="Arial"/>
                <w:sz w:val="15"/>
                <w:szCs w:val="15"/>
                <w:b w:val="1"/>
                <w:bCs w:val="1"/>
                <w:color w:val="FFFFFF"/>
              </w:rPr>
              <w:t>​</w:t>
            </w:r>
          </w:p>
        </w:tc>
        <w:tc>
          <w:tcPr>
            <w:tcW w:w="2540" w:type="dxa"/>
            <w:vAlign w:val="bottom"/>
            <w:shd w:val="clear" w:color="auto" w:fill="BF5B5A"/>
          </w:tcPr>
          <w:p>
            <w:pPr>
              <w:ind w:left="520"/>
              <w:spacing w:after="0"/>
              <w:rPr>
                <w:sz w:val="20"/>
                <w:szCs w:val="20"/>
                <w:color w:val="auto"/>
              </w:rPr>
            </w:pPr>
            <w:r>
              <w:rPr>
                <w:rFonts w:ascii="Arial" w:cs="Arial" w:eastAsia="Arial" w:hAnsi="Arial"/>
                <w:sz w:val="15"/>
                <w:szCs w:val="15"/>
                <w:b w:val="1"/>
                <w:bCs w:val="1"/>
                <w:color w:val="FFFFFF"/>
              </w:rPr>
              <w:t>BY INTERNET</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5"/>
                <w:szCs w:val="15"/>
                <w:b w:val="1"/>
                <w:bCs w:val="1"/>
                <w:color w:val="FFFFFF"/>
              </w:rPr>
              <w:t>​</w:t>
            </w:r>
          </w:p>
        </w:tc>
        <w:tc>
          <w:tcPr>
            <w:tcW w:w="880" w:type="dxa"/>
            <w:vAlign w:val="bottom"/>
            <w:shd w:val="clear" w:color="auto" w:fill="BF5B5A"/>
          </w:tcPr>
          <w:p>
            <w:pPr>
              <w:spacing w:after="0"/>
              <w:rPr>
                <w:sz w:val="20"/>
                <w:szCs w:val="20"/>
                <w:color w:val="auto"/>
              </w:rPr>
            </w:pPr>
            <w:r>
              <w:rPr>
                <w:rFonts w:ascii="Arial" w:cs="Arial" w:eastAsia="Arial" w:hAnsi="Arial"/>
                <w:sz w:val="15"/>
                <w:szCs w:val="15"/>
                <w:b w:val="1"/>
                <w:bCs w:val="1"/>
                <w:color w:val="FFFFFF"/>
              </w:rPr>
              <w:t>​</w:t>
            </w:r>
          </w:p>
        </w:tc>
        <w:tc>
          <w:tcPr>
            <w:tcW w:w="1940" w:type="dxa"/>
            <w:vAlign w:val="bottom"/>
            <w:shd w:val="clear" w:color="auto" w:fill="BF5B5A"/>
          </w:tcPr>
          <w:p>
            <w:pPr>
              <w:ind w:left="240"/>
              <w:spacing w:after="0"/>
              <w:rPr>
                <w:sz w:val="20"/>
                <w:szCs w:val="20"/>
                <w:color w:val="auto"/>
              </w:rPr>
            </w:pPr>
            <w:r>
              <w:rPr>
                <w:rFonts w:ascii="Arial" w:cs="Arial" w:eastAsia="Arial" w:hAnsi="Arial"/>
                <w:sz w:val="15"/>
                <w:szCs w:val="15"/>
                <w:b w:val="1"/>
                <w:bCs w:val="1"/>
                <w:color w:val="FFFFFF"/>
              </w:rPr>
              <w:t>BY MAIL</w:t>
            </w:r>
          </w:p>
        </w:tc>
      </w:tr>
      <w:tr>
        <w:trPr>
          <w:trHeight w:val="115"/>
        </w:trPr>
        <w:tc>
          <w:tcPr>
            <w:tcW w:w="4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2380" w:type="dxa"/>
            <w:vAlign w:val="bottom"/>
          </w:tcPr>
          <w:p>
            <w:pPr>
              <w:spacing w:after="0"/>
              <w:rPr>
                <w:sz w:val="10"/>
                <w:szCs w:val="10"/>
                <w:color w:val="auto"/>
              </w:rPr>
            </w:pP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540" w:type="dxa"/>
            <w:vAlign w:val="bottom"/>
          </w:tcPr>
          <w:p>
            <w:pPr>
              <w:spacing w:after="0"/>
              <w:rPr>
                <w:sz w:val="10"/>
                <w:szCs w:val="10"/>
                <w:color w:val="auto"/>
              </w:rPr>
            </w:pPr>
          </w:p>
        </w:tc>
        <w:tc>
          <w:tcPr>
            <w:tcW w:w="22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940" w:type="dxa"/>
            <w:vAlign w:val="bottom"/>
          </w:tcPr>
          <w:p>
            <w:pPr>
              <w:spacing w:after="0"/>
              <w:rPr>
                <w:sz w:val="10"/>
                <w:szCs w:val="10"/>
                <w:color w:val="auto"/>
              </w:rPr>
            </w:pPr>
          </w:p>
        </w:tc>
      </w:tr>
      <w:tr>
        <w:trPr>
          <w:trHeight w:val="62"/>
        </w:trPr>
        <w:tc>
          <w:tcPr>
            <w:tcW w:w="2820" w:type="dxa"/>
            <w:vAlign w:val="bottom"/>
            <w:gridSpan w:val="2"/>
          </w:tcPr>
          <w:p>
            <w:pPr>
              <w:spacing w:after="0" w:line="62" w:lineRule="exact"/>
              <w:rPr>
                <w:sz w:val="20"/>
                <w:szCs w:val="20"/>
                <w:color w:val="auto"/>
              </w:rPr>
            </w:pPr>
            <w:r>
              <w:rPr>
                <w:rFonts w:ascii="Arial" w:cs="Arial" w:eastAsia="Arial" w:hAnsi="Arial"/>
                <w:sz w:val="7"/>
                <w:szCs w:val="7"/>
                <w:color w:val="auto"/>
              </w:rPr>
              <w:t xml:space="preserve">Call toll-free </w:t>
            </w:r>
            <w:r>
              <w:rPr>
                <w:rFonts w:ascii="Arial" w:cs="Arial" w:eastAsia="Arial" w:hAnsi="Arial"/>
                <w:sz w:val="7"/>
                <w:szCs w:val="7"/>
                <w:b w:val="1"/>
                <w:bCs w:val="1"/>
                <w:color w:val="auto"/>
              </w:rPr>
              <w:t>1-800-PROXIES</w:t>
            </w:r>
          </w:p>
        </w:tc>
        <w:tc>
          <w:tcPr>
            <w:tcW w:w="220" w:type="dxa"/>
            <w:vAlign w:val="bottom"/>
          </w:tcPr>
          <w:p>
            <w:pPr>
              <w:spacing w:after="0"/>
              <w:rPr>
                <w:sz w:val="5"/>
                <w:szCs w:val="5"/>
                <w:color w:val="auto"/>
              </w:rPr>
            </w:pPr>
          </w:p>
        </w:tc>
        <w:tc>
          <w:tcPr>
            <w:tcW w:w="3100" w:type="dxa"/>
            <w:vAlign w:val="bottom"/>
            <w:gridSpan w:val="2"/>
          </w:tcPr>
          <w:p>
            <w:pPr>
              <w:ind w:left="20"/>
              <w:spacing w:after="0" w:line="62" w:lineRule="exact"/>
              <w:rPr>
                <w:sz w:val="20"/>
                <w:szCs w:val="20"/>
                <w:color w:val="auto"/>
              </w:rPr>
            </w:pPr>
            <w:r>
              <w:rPr>
                <w:rFonts w:ascii="Arial" w:cs="Arial" w:eastAsia="Arial" w:hAnsi="Arial"/>
                <w:sz w:val="7"/>
                <w:szCs w:val="7"/>
                <w:color w:val="auto"/>
              </w:rPr>
              <w:t>Prior to the Annual Meeting, visit the</w:t>
            </w:r>
          </w:p>
        </w:tc>
        <w:tc>
          <w:tcPr>
            <w:tcW w:w="220" w:type="dxa"/>
            <w:vAlign w:val="bottom"/>
          </w:tcPr>
          <w:p>
            <w:pPr>
              <w:spacing w:after="0"/>
              <w:rPr>
                <w:sz w:val="5"/>
                <w:szCs w:val="5"/>
                <w:color w:val="auto"/>
              </w:rPr>
            </w:pPr>
          </w:p>
        </w:tc>
        <w:tc>
          <w:tcPr>
            <w:tcW w:w="2820" w:type="dxa"/>
            <w:vAlign w:val="bottom"/>
            <w:gridSpan w:val="2"/>
          </w:tcPr>
          <w:p>
            <w:pPr>
              <w:spacing w:after="0" w:line="62" w:lineRule="exact"/>
              <w:rPr>
                <w:sz w:val="20"/>
                <w:szCs w:val="20"/>
                <w:color w:val="auto"/>
              </w:rPr>
            </w:pPr>
            <w:r>
              <w:rPr>
                <w:rFonts w:ascii="Arial" w:cs="Arial" w:eastAsia="Arial" w:hAnsi="Arial"/>
                <w:sz w:val="7"/>
                <w:szCs w:val="7"/>
                <w:color w:val="auto"/>
              </w:rPr>
              <w:t>Complete, sign and date the proxy card</w:t>
            </w:r>
          </w:p>
        </w:tc>
      </w:tr>
      <w:tr>
        <w:trPr>
          <w:trHeight w:val="189"/>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(1-800-776-9437) </w:t>
            </w:r>
            <w:r>
              <w:rPr>
                <w:rFonts w:ascii="Arial" w:cs="Arial" w:eastAsia="Arial" w:hAnsi="Arial"/>
                <w:sz w:val="15"/>
                <w:szCs w:val="15"/>
                <w:color w:val="auto"/>
              </w:rPr>
              <w:t>in the United States or</w:t>
            </w:r>
          </w:p>
        </w:tc>
        <w:tc>
          <w:tcPr>
            <w:tcW w:w="220" w:type="dxa"/>
            <w:vAlign w:val="bottom"/>
          </w:tcPr>
          <w:p>
            <w:pPr>
              <w:spacing w:after="0"/>
              <w:rPr>
                <w:sz w:val="16"/>
                <w:szCs w:val="16"/>
                <w:color w:val="auto"/>
              </w:rPr>
            </w:pPr>
          </w:p>
        </w:tc>
        <w:tc>
          <w:tcPr>
            <w:tcW w:w="3100" w:type="dxa"/>
            <w:vAlign w:val="bottom"/>
            <w:gridSpan w:val="2"/>
          </w:tcPr>
          <w:p>
            <w:pPr>
              <w:ind w:left="20"/>
              <w:spacing w:after="0"/>
              <w:rPr>
                <w:sz w:val="20"/>
                <w:szCs w:val="20"/>
                <w:color w:val="auto"/>
              </w:rPr>
            </w:pPr>
            <w:r>
              <w:rPr>
                <w:rFonts w:ascii="Arial" w:cs="Arial" w:eastAsia="Arial" w:hAnsi="Arial"/>
                <w:sz w:val="15"/>
                <w:szCs w:val="15"/>
                <w:color w:val="auto"/>
              </w:rPr>
              <w:t>website listed on your proxy card/voting</w:t>
            </w:r>
          </w:p>
        </w:tc>
        <w:tc>
          <w:tcPr>
            <w:tcW w:w="2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5"/>
                <w:szCs w:val="15"/>
                <w:color w:val="auto"/>
              </w:rPr>
              <w:t>and mail it in the enclosed postage-paid</w:t>
            </w:r>
          </w:p>
        </w:tc>
      </w:tr>
      <w:tr>
        <w:trPr>
          <w:trHeight w:val="210"/>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1-201-299-4446 </w:t>
            </w:r>
            <w:r>
              <w:rPr>
                <w:rFonts w:ascii="Arial" w:cs="Arial" w:eastAsia="Arial" w:hAnsi="Arial"/>
                <w:sz w:val="15"/>
                <w:szCs w:val="15"/>
                <w:color w:val="auto"/>
              </w:rPr>
              <w:t>from foreign countries</w:t>
            </w:r>
          </w:p>
        </w:tc>
        <w:tc>
          <w:tcPr>
            <w:tcW w:w="2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5"/>
                <w:szCs w:val="15"/>
                <w:color w:val="auto"/>
              </w:rPr>
              <w:t>instruction form to vote via the Internet.</w:t>
            </w:r>
          </w:p>
        </w:tc>
        <w:tc>
          <w:tcPr>
            <w:tcW w:w="2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envelope</w:t>
            </w:r>
          </w:p>
        </w:tc>
        <w:tc>
          <w:tcPr>
            <w:tcW w:w="1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-840740</wp:posOffset>
            </wp:positionV>
            <wp:extent cx="154305" cy="2571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54305" cy="25717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-823595</wp:posOffset>
            </wp:positionV>
            <wp:extent cx="274320" cy="2400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4320" cy="24003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-772160</wp:posOffset>
            </wp:positionV>
            <wp:extent cx="248920" cy="18859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48920" cy="188595"/>
                    </a:xfrm>
                    <a:prstGeom prst="rect">
                      <a:avLst/>
                    </a:prstGeom>
                    <a:noFill/>
                  </pic:spPr>
                </pic:pic>
              </a:graphicData>
            </a:graphic>
          </wp:anchor>
        </w:drawing>
      </w:r>
    </w:p>
    <w:p>
      <w:pPr>
        <w:spacing w:after="0" w:line="6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During the Annual Meeting, visit our Annual</w:t>
      </w:r>
    </w:p>
    <w:p>
      <w:pPr>
        <w:spacing w:after="0" w:line="17"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Meeting website at</w:t>
      </w:r>
    </w:p>
    <w:p>
      <w:pPr>
        <w:spacing w:after="0" w:line="14" w:lineRule="exact"/>
        <w:rPr>
          <w:sz w:val="20"/>
          <w:szCs w:val="20"/>
          <w:color w:val="auto"/>
        </w:rPr>
      </w:pPr>
    </w:p>
    <w:p>
      <w:pPr>
        <w:ind w:left="3840"/>
        <w:spacing w:after="0"/>
        <w:rPr>
          <w:sz w:val="20"/>
          <w:szCs w:val="20"/>
          <w:color w:val="auto"/>
        </w:rPr>
      </w:pPr>
      <w:r>
        <w:rPr>
          <w:rFonts w:ascii="Arial" w:cs="Arial" w:eastAsia="Arial" w:hAnsi="Arial"/>
          <w:sz w:val="15"/>
          <w:szCs w:val="15"/>
          <w:color w:val="BF5B5A"/>
        </w:rPr>
        <w:t>https://web.lumiagm.com/224987645</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password fh2024 (case sensitive)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29845</wp:posOffset>
            </wp:positionV>
            <wp:extent cx="58293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442" w:lineRule="exact"/>
        <w:rPr>
          <w:sz w:val="20"/>
          <w:szCs w:val="20"/>
          <w:color w:val="auto"/>
        </w:rPr>
      </w:pPr>
    </w:p>
    <w:p>
      <w:pPr>
        <w:sectPr>
          <w:pgSz w:w="11900" w:h="16838" w:orient="portrait"/>
          <w:cols w:equalWidth="0" w:num="2">
            <w:col w:w="9960" w:space="0"/>
            <w:col w:w="40"/>
          </w:cols>
          <w:pgMar w:left="580" w:top="97" w:right="1319" w:bottom="1440" w:gutter="0" w:footer="0" w:header="0"/>
          <w:type w:val="continuous"/>
        </w:sectPr>
      </w:pPr>
    </w:p>
    <w:p>
      <w:pPr>
        <w:spacing w:after="0" w:line="179" w:lineRule="exact"/>
        <w:rPr>
          <w:sz w:val="20"/>
          <w:szCs w:val="20"/>
          <w:color w:val="auto"/>
        </w:rPr>
      </w:pPr>
    </w:p>
    <w:p>
      <w:pPr>
        <w:ind w:left="1420" w:right="180" w:hanging="280"/>
        <w:spacing w:after="0" w:line="303" w:lineRule="auto"/>
        <w:tabs>
          <w:tab w:leader="none" w:pos="1420" w:val="left"/>
        </w:tabs>
        <w:numPr>
          <w:ilvl w:val="0"/>
          <w:numId w:val="189"/>
        </w:numPr>
        <w:rPr>
          <w:rFonts w:ascii="Arial" w:cs="Arial" w:eastAsia="Arial" w:hAnsi="Arial"/>
          <w:sz w:val="18"/>
          <w:szCs w:val="18"/>
          <w:color w:val="BF5B5A"/>
        </w:rPr>
      </w:pPr>
      <w:r>
        <w:rPr>
          <w:rFonts w:ascii="Arial" w:cs="Arial" w:eastAsia="Arial" w:hAnsi="Arial"/>
          <w:sz w:val="18"/>
          <w:szCs w:val="18"/>
          <w:color w:val="auto"/>
        </w:rPr>
        <w:t>Have your proxy card available and follow the instructions.</w:t>
      </w:r>
    </w:p>
    <w:p>
      <w:pPr>
        <w:spacing w:after="0" w:line="44" w:lineRule="exact"/>
        <w:rPr>
          <w:rFonts w:ascii="Arial" w:cs="Arial" w:eastAsia="Arial" w:hAnsi="Arial"/>
          <w:sz w:val="18"/>
          <w:szCs w:val="18"/>
          <w:color w:val="BF5B5A"/>
        </w:rPr>
      </w:pPr>
    </w:p>
    <w:p>
      <w:pPr>
        <w:ind w:left="1420" w:right="440" w:hanging="280"/>
        <w:spacing w:after="0" w:line="303" w:lineRule="auto"/>
        <w:tabs>
          <w:tab w:leader="none" w:pos="1420" w:val="left"/>
        </w:tabs>
        <w:numPr>
          <w:ilvl w:val="0"/>
          <w:numId w:val="189"/>
        </w:numPr>
        <w:rPr>
          <w:rFonts w:ascii="Arial" w:cs="Arial" w:eastAsia="Arial" w:hAnsi="Arial"/>
          <w:sz w:val="18"/>
          <w:szCs w:val="18"/>
          <w:color w:val="BF5B5A"/>
        </w:rPr>
      </w:pPr>
      <w:r>
        <w:rPr>
          <w:rFonts w:ascii="Arial" w:cs="Arial" w:eastAsia="Arial" w:hAnsi="Arial"/>
          <w:sz w:val="18"/>
          <w:szCs w:val="18"/>
          <w:color w:val="auto"/>
        </w:rPr>
        <w:t>Proxy cards submitted by mail must be received by us by April 23, 2024.</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20"/>
          <w:szCs w:val="20"/>
          <w:color w:val="BF5B5A"/>
        </w:rPr>
        <w:t>BENEFICIAL OWNERS</w:t>
      </w:r>
    </w:p>
    <w:p>
      <w:pPr>
        <w:spacing w:after="0" w:line="151" w:lineRule="exact"/>
        <w:rPr>
          <w:sz w:val="20"/>
          <w:szCs w:val="20"/>
          <w:color w:val="auto"/>
        </w:rPr>
      </w:pPr>
    </w:p>
    <w:p>
      <w:pPr>
        <w:ind w:left="780" w:right="40"/>
        <w:spacing w:after="0" w:line="271" w:lineRule="auto"/>
        <w:rPr>
          <w:sz w:val="20"/>
          <w:szCs w:val="20"/>
          <w:color w:val="auto"/>
        </w:rPr>
      </w:pPr>
      <w:r>
        <w:rPr>
          <w:rFonts w:ascii="Arial" w:cs="Arial" w:eastAsia="Arial" w:hAnsi="Arial"/>
          <w:sz w:val="18"/>
          <w:szCs w:val="18"/>
          <w:color w:val="auto"/>
        </w:rPr>
        <w:t>If you hold your shares through a broker, bank or other nominee, that institution will instruct you as to how your shares may be voted by proxy, including whether telephone or Internet voting options are available.</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77" w:lineRule="exact"/>
        <w:rPr>
          <w:sz w:val="20"/>
          <w:szCs w:val="20"/>
          <w:color w:val="auto"/>
        </w:rPr>
      </w:pPr>
    </w:p>
    <w:p>
      <w:pPr>
        <w:jc w:val="both"/>
        <w:ind w:left="780"/>
        <w:spacing w:after="0" w:line="267" w:lineRule="auto"/>
        <w:rPr>
          <w:sz w:val="20"/>
          <w:szCs w:val="20"/>
          <w:color w:val="auto"/>
        </w:rPr>
      </w:pPr>
      <w:r>
        <w:rPr>
          <w:rFonts w:ascii="Arial" w:cs="Arial" w:eastAsia="Arial" w:hAnsi="Arial"/>
          <w:sz w:val="18"/>
          <w:szCs w:val="18"/>
          <w:color w:val="auto"/>
        </w:rPr>
        <w:t>The Annual Meeting will be held only if a quorum is present. A quorum will be present if the holders of a majority of the shares of common stock outstanding on the Record Date and entitled to vote on a matter at the Annual Meeting are represented, in person or by proxy, at the Annual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Meeting. Shares represented by properly completed proxy cards either marked “abstain” or “withhold,” or returned without voting instructions, are counted as present and entitled to vote for the purpose of determining whether a quorum is present at the Annual Meeting. If shares are held by brokers who are prohibited from exercising discretionary authority for beneficial owners who have not given voting instructions (“broker non-votes”), those shares will be counted as represented at the Annual Meeting for the purpose of determining whether a quorum is present at the Annual Meeting.</w:t>
      </w:r>
    </w:p>
    <w:p>
      <w:pPr>
        <w:spacing w:after="0" w:line="306" w:lineRule="exact"/>
        <w:rPr>
          <w:sz w:val="20"/>
          <w:szCs w:val="20"/>
          <w:color w:val="auto"/>
        </w:rPr>
      </w:pPr>
    </w:p>
    <w:p>
      <w:pPr>
        <w:ind w:left="40" w:right="600"/>
        <w:spacing w:after="0" w:line="285" w:lineRule="auto"/>
        <w:rPr>
          <w:sz w:val="20"/>
          <w:szCs w:val="20"/>
          <w:color w:val="auto"/>
        </w:rPr>
      </w:pPr>
      <w:r>
        <w:rPr>
          <w:rFonts w:ascii="Arial" w:cs="Arial" w:eastAsia="Arial" w:hAnsi="Arial"/>
          <w:sz w:val="22"/>
          <w:szCs w:val="22"/>
          <w:b w:val="1"/>
          <w:bCs w:val="1"/>
          <w:color w:val="auto"/>
        </w:rPr>
        <w:t>Can I change or revoke my vote after I return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-11430</wp:posOffset>
            </wp:positionV>
            <wp:extent cx="27603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72"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color w:val="auto"/>
        </w:rPr>
        <w:t>Yes. If you are a stockholder of record, you may change your vote by:</w:t>
      </w:r>
    </w:p>
    <w:p>
      <w:pPr>
        <w:spacing w:after="0" w:line="44" w:lineRule="exact"/>
        <w:rPr>
          <w:sz w:val="20"/>
          <w:szCs w:val="20"/>
          <w:color w:val="auto"/>
        </w:rPr>
      </w:pPr>
    </w:p>
    <w:p>
      <w:pPr>
        <w:ind w:left="620" w:hanging="267"/>
        <w:spacing w:after="0"/>
        <w:tabs>
          <w:tab w:leader="none" w:pos="620" w:val="left"/>
        </w:tabs>
        <w:numPr>
          <w:ilvl w:val="0"/>
          <w:numId w:val="190"/>
        </w:numPr>
        <w:rPr>
          <w:rFonts w:ascii="Arial" w:cs="Arial" w:eastAsia="Arial" w:hAnsi="Arial"/>
          <w:sz w:val="18"/>
          <w:szCs w:val="18"/>
          <w:color w:val="BF5B5A"/>
        </w:rPr>
      </w:pPr>
      <w:r>
        <w:rPr>
          <w:rFonts w:ascii="Arial" w:cs="Arial" w:eastAsia="Arial" w:hAnsi="Arial"/>
          <w:sz w:val="18"/>
          <w:szCs w:val="18"/>
          <w:color w:val="auto"/>
        </w:rPr>
        <w:t>voting at the Annual Meeting;</w:t>
      </w:r>
    </w:p>
    <w:p>
      <w:pPr>
        <w:spacing w:after="0" w:line="130" w:lineRule="exact"/>
        <w:rPr>
          <w:rFonts w:ascii="Arial" w:cs="Arial" w:eastAsia="Arial" w:hAnsi="Arial"/>
          <w:sz w:val="18"/>
          <w:szCs w:val="18"/>
          <w:color w:val="BF5B5A"/>
        </w:rPr>
      </w:pPr>
    </w:p>
    <w:p>
      <w:pPr>
        <w:ind w:left="620" w:hanging="267"/>
        <w:spacing w:after="0"/>
        <w:tabs>
          <w:tab w:leader="none" w:pos="620" w:val="left"/>
        </w:tabs>
        <w:numPr>
          <w:ilvl w:val="0"/>
          <w:numId w:val="190"/>
        </w:numPr>
        <w:rPr>
          <w:rFonts w:ascii="Arial" w:cs="Arial" w:eastAsia="Arial" w:hAnsi="Arial"/>
          <w:sz w:val="18"/>
          <w:szCs w:val="18"/>
          <w:color w:val="BF5B5A"/>
        </w:rPr>
      </w:pPr>
      <w:r>
        <w:rPr>
          <w:rFonts w:ascii="Arial" w:cs="Arial" w:eastAsia="Arial" w:hAnsi="Arial"/>
          <w:sz w:val="18"/>
          <w:szCs w:val="18"/>
          <w:color w:val="auto"/>
        </w:rPr>
        <w:t>returning a later-dated proxy card;</w:t>
      </w:r>
    </w:p>
    <w:p>
      <w:pPr>
        <w:spacing w:after="0" w:line="294" w:lineRule="exact"/>
        <w:rPr>
          <w:sz w:val="20"/>
          <w:szCs w:val="20"/>
          <w:color w:val="auto"/>
        </w:rPr>
      </w:pPr>
    </w:p>
    <w:p>
      <w:pPr>
        <w:sectPr>
          <w:pgSz w:w="11900" w:h="16838" w:orient="portrait"/>
          <w:cols w:equalWidth="0" w:num="2">
            <w:col w:w="5040" w:space="580"/>
            <w:col w:w="4380"/>
          </w:cols>
          <w:pgMar w:left="580" w:top="97" w:right="1319" w:bottom="1440" w:gutter="0" w:footer="0" w:header="0"/>
          <w:type w:val="continuous"/>
        </w:sectPr>
      </w:pPr>
    </w:p>
    <w:p>
      <w:pPr>
        <w:spacing w:after="0" w:line="3"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93</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2620"/>
        <w:spacing w:after="0"/>
        <w:rPr>
          <w:sz w:val="20"/>
          <w:szCs w:val="20"/>
          <w:color w:val="auto"/>
        </w:rPr>
      </w:pPr>
      <w:r>
        <w:rPr>
          <w:rFonts w:ascii="Arial" w:cs="Arial" w:eastAsia="Arial" w:hAnsi="Arial"/>
          <w:sz w:val="18"/>
          <w:szCs w:val="18"/>
          <w:b w:val="1"/>
          <w:bCs w:val="1"/>
          <w:color w:val="7F7F7F"/>
        </w:rPr>
        <w:t>FREQUENTLY ASKED QUESTIONS ABOUT THE ANNUAL MEETING AND VOTING</w:t>
      </w:r>
    </w:p>
    <w:p>
      <w:pPr>
        <w:sectPr>
          <w:pgSz w:w="11900" w:h="16838" w:orient="portrait"/>
          <w:cols w:equalWidth="0" w:num="1">
            <w:col w:w="9960"/>
          </w:cols>
          <w:pgMar w:left="580" w:top="97" w:right="1359" w:bottom="1440" w:gutter="0" w:footer="0" w:header="0"/>
        </w:sectPr>
      </w:pPr>
    </w:p>
    <w:p>
      <w:pPr>
        <w:spacing w:after="0" w:line="279" w:lineRule="exact"/>
        <w:rPr>
          <w:sz w:val="20"/>
          <w:szCs w:val="20"/>
          <w:color w:val="auto"/>
        </w:rPr>
      </w:pPr>
    </w:p>
    <w:p>
      <w:pPr>
        <w:ind w:left="1420" w:right="180" w:hanging="280"/>
        <w:spacing w:after="0" w:line="303" w:lineRule="auto"/>
        <w:tabs>
          <w:tab w:leader="none" w:pos="1420" w:val="left"/>
        </w:tabs>
        <w:numPr>
          <w:ilvl w:val="0"/>
          <w:numId w:val="191"/>
        </w:numPr>
        <w:rPr>
          <w:rFonts w:ascii="Arial" w:cs="Arial" w:eastAsia="Arial" w:hAnsi="Arial"/>
          <w:sz w:val="18"/>
          <w:szCs w:val="18"/>
          <w:color w:val="BF5B5A"/>
        </w:rPr>
      </w:pPr>
      <w:r>
        <w:rPr>
          <w:rFonts w:ascii="Arial" w:cs="Arial" w:eastAsia="Arial" w:hAnsi="Arial"/>
          <w:sz w:val="18"/>
          <w:szCs w:val="18"/>
          <w:color w:val="auto"/>
        </w:rPr>
        <w:t>entering a new vote by telephone or on the Internet; or</w:t>
      </w:r>
    </w:p>
    <w:p>
      <w:pPr>
        <w:spacing w:after="0" w:line="30" w:lineRule="exact"/>
        <w:rPr>
          <w:rFonts w:ascii="Arial" w:cs="Arial" w:eastAsia="Arial" w:hAnsi="Arial"/>
          <w:sz w:val="18"/>
          <w:szCs w:val="18"/>
          <w:color w:val="BF5B5A"/>
        </w:rPr>
      </w:pPr>
    </w:p>
    <w:p>
      <w:pPr>
        <w:jc w:val="both"/>
        <w:ind w:left="1420" w:right="100" w:hanging="280"/>
        <w:spacing w:after="0" w:line="292" w:lineRule="auto"/>
        <w:tabs>
          <w:tab w:leader="none" w:pos="1420" w:val="left"/>
        </w:tabs>
        <w:numPr>
          <w:ilvl w:val="0"/>
          <w:numId w:val="191"/>
        </w:numPr>
        <w:rPr>
          <w:rFonts w:ascii="Arial" w:cs="Arial" w:eastAsia="Arial" w:hAnsi="Arial"/>
          <w:sz w:val="18"/>
          <w:szCs w:val="18"/>
          <w:color w:val="BF5B5A"/>
        </w:rPr>
      </w:pPr>
      <w:r>
        <w:rPr>
          <w:rFonts w:ascii="Arial" w:cs="Arial" w:eastAsia="Arial" w:hAnsi="Arial"/>
          <w:sz w:val="18"/>
          <w:szCs w:val="18"/>
          <w:color w:val="auto"/>
        </w:rPr>
        <w:t>delivering written notice of revocation to the Company’s Secretary by mail at 999 Bishop Street, Honolulu, Hawaii 96813.</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50" w:lineRule="exact"/>
        <w:rPr>
          <w:sz w:val="20"/>
          <w:szCs w:val="20"/>
          <w:color w:val="auto"/>
        </w:rPr>
      </w:pPr>
    </w:p>
    <w:p>
      <w:pPr>
        <w:ind w:left="780"/>
        <w:spacing w:after="0" w:line="284" w:lineRule="auto"/>
        <w:rPr>
          <w:sz w:val="20"/>
          <w:szCs w:val="20"/>
          <w:color w:val="auto"/>
        </w:rPr>
      </w:pPr>
      <w:r>
        <w:rPr>
          <w:rFonts w:ascii="Arial" w:cs="Arial" w:eastAsia="Arial" w:hAnsi="Arial"/>
          <w:sz w:val="18"/>
          <w:szCs w:val="18"/>
          <w:color w:val="auto"/>
        </w:rPr>
        <w:t>A representative of our Transfer Agent, Equiniti Trust Company, LLC, will act as inspector of election at the Annual Meeting and will count the votes.</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Will my vote be kept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54610</wp:posOffset>
            </wp:positionV>
            <wp:extent cx="276034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63" w:lineRule="exact"/>
        <w:rPr>
          <w:sz w:val="20"/>
          <w:szCs w:val="20"/>
          <w:color w:val="auto"/>
        </w:rPr>
      </w:pPr>
    </w:p>
    <w:p>
      <w:pPr>
        <w:ind w:left="780" w:right="20"/>
        <w:spacing w:after="0" w:line="268" w:lineRule="auto"/>
        <w:rPr>
          <w:sz w:val="20"/>
          <w:szCs w:val="20"/>
          <w:color w:val="auto"/>
        </w:rPr>
      </w:pPr>
      <w:r>
        <w:rPr>
          <w:rFonts w:ascii="Arial" w:cs="Arial" w:eastAsia="Arial" w:hAnsi="Arial"/>
          <w:sz w:val="18"/>
          <w:szCs w:val="18"/>
          <w:color w:val="auto"/>
        </w:rPr>
        <w:t>Yes. As a matter of policy, stockholder proxies, ballots and tabulations that identify individual stockholders are kept secret and are available only to the Company and its inspectors, who are required to acknowledge their obligation to keep your votes confidential.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620" w:right="280" w:hanging="267"/>
        <w:spacing w:after="0" w:line="303" w:lineRule="auto"/>
        <w:tabs>
          <w:tab w:leader="none" w:pos="620" w:val="left"/>
        </w:tabs>
        <w:numPr>
          <w:ilvl w:val="0"/>
          <w:numId w:val="192"/>
        </w:numPr>
        <w:rPr>
          <w:rFonts w:ascii="Arial" w:cs="Arial" w:eastAsia="Arial" w:hAnsi="Arial"/>
          <w:sz w:val="18"/>
          <w:szCs w:val="18"/>
          <w:color w:val="BF5B5A"/>
        </w:rPr>
      </w:pPr>
      <w:r>
        <w:rPr>
          <w:rFonts w:ascii="Arial" w:cs="Arial" w:eastAsia="Arial" w:hAnsi="Arial"/>
          <w:sz w:val="18"/>
          <w:szCs w:val="18"/>
          <w:color w:val="auto"/>
        </w:rPr>
        <w:t>“</w:t>
      </w:r>
      <w:r>
        <w:rPr>
          <w:rFonts w:ascii="Arial" w:cs="Arial" w:eastAsia="Arial" w:hAnsi="Arial"/>
          <w:sz w:val="18"/>
          <w:szCs w:val="18"/>
          <w:b w:val="1"/>
          <w:bCs w:val="1"/>
          <w:color w:val="BF5B5A"/>
        </w:rPr>
        <w:t>FOR</w:t>
      </w:r>
      <w:r>
        <w:rPr>
          <w:rFonts w:ascii="Arial" w:cs="Arial" w:eastAsia="Arial" w:hAnsi="Arial"/>
          <w:sz w:val="18"/>
          <w:szCs w:val="18"/>
          <w:color w:val="auto"/>
        </w:rPr>
        <w:t>” the election of each of the nine nominees named in this Proxy Statement;</w:t>
      </w:r>
    </w:p>
    <w:p>
      <w:pPr>
        <w:spacing w:after="0" w:line="57" w:lineRule="exact"/>
        <w:rPr>
          <w:rFonts w:ascii="Arial" w:cs="Arial" w:eastAsia="Arial" w:hAnsi="Arial"/>
          <w:sz w:val="18"/>
          <w:szCs w:val="18"/>
          <w:color w:val="BF5B5A"/>
        </w:rPr>
      </w:pPr>
    </w:p>
    <w:p>
      <w:pPr>
        <w:ind w:left="620" w:right="140" w:hanging="267"/>
        <w:spacing w:after="0" w:line="283" w:lineRule="auto"/>
        <w:tabs>
          <w:tab w:leader="none" w:pos="620" w:val="left"/>
        </w:tabs>
        <w:numPr>
          <w:ilvl w:val="0"/>
          <w:numId w:val="192"/>
        </w:numPr>
        <w:rPr>
          <w:rFonts w:ascii="Arial" w:cs="Arial" w:eastAsia="Arial" w:hAnsi="Arial"/>
          <w:sz w:val="18"/>
          <w:szCs w:val="18"/>
          <w:color w:val="BF5B5A"/>
        </w:rPr>
      </w:pPr>
      <w:r>
        <w:rPr>
          <w:rFonts w:ascii="Arial" w:cs="Arial" w:eastAsia="Arial" w:hAnsi="Arial"/>
          <w:sz w:val="18"/>
          <w:szCs w:val="18"/>
          <w:color w:val="auto"/>
        </w:rPr>
        <w:t>“</w:t>
      </w:r>
      <w:r>
        <w:rPr>
          <w:rFonts w:ascii="Arial" w:cs="Arial" w:eastAsia="Arial" w:hAnsi="Arial"/>
          <w:sz w:val="18"/>
          <w:szCs w:val="18"/>
          <w:b w:val="1"/>
          <w:bCs w:val="1"/>
          <w:color w:val="BF5B5A"/>
        </w:rPr>
        <w:t>FOR</w:t>
      </w:r>
      <w:r>
        <w:rPr>
          <w:rFonts w:ascii="Arial" w:cs="Arial" w:eastAsia="Arial" w:hAnsi="Arial"/>
          <w:sz w:val="18"/>
          <w:szCs w:val="18"/>
          <w:color w:val="auto"/>
        </w:rPr>
        <w:t>” the resolution approving the compensation of the Company’s named executive officers as disclosed in this Proxy Statement;</w:t>
      </w:r>
    </w:p>
    <w:p>
      <w:pPr>
        <w:spacing w:after="0" w:line="63" w:lineRule="exact"/>
        <w:rPr>
          <w:rFonts w:ascii="Arial" w:cs="Arial" w:eastAsia="Arial" w:hAnsi="Arial"/>
          <w:sz w:val="18"/>
          <w:szCs w:val="18"/>
          <w:color w:val="BF5B5A"/>
        </w:rPr>
      </w:pPr>
    </w:p>
    <w:p>
      <w:pPr>
        <w:ind w:left="620" w:right="220" w:hanging="267"/>
        <w:spacing w:after="0" w:line="292" w:lineRule="auto"/>
        <w:tabs>
          <w:tab w:leader="none" w:pos="620" w:val="left"/>
        </w:tabs>
        <w:numPr>
          <w:ilvl w:val="0"/>
          <w:numId w:val="192"/>
        </w:numPr>
        <w:rPr>
          <w:rFonts w:ascii="Arial" w:cs="Arial" w:eastAsia="Arial" w:hAnsi="Arial"/>
          <w:sz w:val="18"/>
          <w:szCs w:val="18"/>
          <w:color w:val="BF5B5A"/>
        </w:rPr>
      </w:pPr>
      <w:r>
        <w:rPr>
          <w:rFonts w:ascii="Arial" w:cs="Arial" w:eastAsia="Arial" w:hAnsi="Arial"/>
          <w:sz w:val="18"/>
          <w:szCs w:val="18"/>
          <w:color w:val="auto"/>
        </w:rPr>
        <w:t>a frequency of “</w:t>
      </w:r>
      <w:r>
        <w:rPr>
          <w:rFonts w:ascii="Arial" w:cs="Arial" w:eastAsia="Arial" w:hAnsi="Arial"/>
          <w:sz w:val="18"/>
          <w:szCs w:val="18"/>
          <w:b w:val="1"/>
          <w:bCs w:val="1"/>
          <w:color w:val="BF5B5A"/>
        </w:rPr>
        <w:t>EVERY YEAR</w:t>
      </w:r>
      <w:r>
        <w:rPr>
          <w:rFonts w:ascii="Arial" w:cs="Arial" w:eastAsia="Arial" w:hAnsi="Arial"/>
          <w:sz w:val="18"/>
          <w:szCs w:val="18"/>
          <w:color w:val="auto"/>
        </w:rPr>
        <w:t>” for future advisory votes on the compensation of our named executive officers; and</w:t>
      </w:r>
    </w:p>
    <w:p>
      <w:pPr>
        <w:spacing w:after="0" w:line="54" w:lineRule="exact"/>
        <w:rPr>
          <w:rFonts w:ascii="Arial" w:cs="Arial" w:eastAsia="Arial" w:hAnsi="Arial"/>
          <w:sz w:val="18"/>
          <w:szCs w:val="18"/>
          <w:color w:val="BF5B5A"/>
        </w:rPr>
      </w:pPr>
    </w:p>
    <w:p>
      <w:pPr>
        <w:ind w:left="620" w:right="220" w:hanging="267"/>
        <w:spacing w:after="0" w:line="283" w:lineRule="auto"/>
        <w:tabs>
          <w:tab w:leader="none" w:pos="620" w:val="left"/>
        </w:tabs>
        <w:numPr>
          <w:ilvl w:val="0"/>
          <w:numId w:val="192"/>
        </w:numPr>
        <w:rPr>
          <w:rFonts w:ascii="Arial" w:cs="Arial" w:eastAsia="Arial" w:hAnsi="Arial"/>
          <w:sz w:val="18"/>
          <w:szCs w:val="18"/>
          <w:color w:val="BF5B5A"/>
        </w:rPr>
      </w:pPr>
      <w:r>
        <w:rPr>
          <w:rFonts w:ascii="Arial" w:cs="Arial" w:eastAsia="Arial" w:hAnsi="Arial"/>
          <w:sz w:val="18"/>
          <w:szCs w:val="18"/>
          <w:color w:val="auto"/>
        </w:rPr>
        <w:t>“</w:t>
      </w:r>
      <w:r>
        <w:rPr>
          <w:rFonts w:ascii="Arial" w:cs="Arial" w:eastAsia="Arial" w:hAnsi="Arial"/>
          <w:sz w:val="18"/>
          <w:szCs w:val="18"/>
          <w:b w:val="1"/>
          <w:bCs w:val="1"/>
          <w:color w:val="BF5B5A"/>
        </w:rPr>
        <w:t>FOR</w:t>
      </w:r>
      <w:r>
        <w:rPr>
          <w:rFonts w:ascii="Arial" w:cs="Arial" w:eastAsia="Arial" w:hAnsi="Arial"/>
          <w:sz w:val="18"/>
          <w:szCs w:val="18"/>
          <w:color w:val="auto"/>
        </w:rPr>
        <w:t>” the ratification of the appointment of Deloitte &amp; Touche LLP as the Company’s independent registered public accounting firm for fiscal year 2023.</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With respect to any other business that may properly come before the Annual Meeting that is submitted to a vote of the stockholders, including whether or not to adjourn the Annual Meeting, your shares will be voted in accordance with the best judgment of the persons voting the proxies.</w:t>
      </w:r>
    </w:p>
    <w:p>
      <w:pPr>
        <w:spacing w:after="0" w:line="200" w:lineRule="exact"/>
        <w:rPr>
          <w:sz w:val="20"/>
          <w:szCs w:val="20"/>
          <w:color w:val="auto"/>
        </w:rPr>
      </w:pPr>
    </w:p>
    <w:p>
      <w:pPr>
        <w:sectPr>
          <w:pgSz w:w="11900" w:h="16838" w:orient="portrait"/>
          <w:cols w:equalWidth="0" w:num="2">
            <w:col w:w="5120" w:space="500"/>
            <w:col w:w="4340"/>
          </w:cols>
          <w:pgMar w:left="580" w:top="97" w:right="1359" w:bottom="1440" w:gutter="0" w:footer="0" w:header="0"/>
          <w:type w:val="continuous"/>
        </w:sectPr>
      </w:pPr>
    </w:p>
    <w:p>
      <w:pPr>
        <w:spacing w:after="0" w:line="129" w:lineRule="exact"/>
        <w:rPr>
          <w:sz w:val="20"/>
          <w:szCs w:val="20"/>
          <w:color w:val="auto"/>
        </w:rPr>
      </w:pPr>
    </w:p>
    <w:p>
      <w:pPr>
        <w:ind w:left="820" w:right="240"/>
        <w:spacing w:after="0" w:line="285" w:lineRule="auto"/>
        <w:rPr>
          <w:sz w:val="20"/>
          <w:szCs w:val="20"/>
          <w:color w:val="auto"/>
        </w:rPr>
      </w:pPr>
      <w:r>
        <w:rPr>
          <w:rFonts w:ascii="Arial" w:cs="Arial" w:eastAsia="Arial" w:hAnsi="Arial"/>
          <w:sz w:val="22"/>
          <w:szCs w:val="22"/>
          <w:b w:val="1"/>
          <w:bCs w:val="1"/>
          <w:color w:val="auto"/>
        </w:rPr>
        <w:t>Who pays to prepare, mail and solicit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-2540</wp:posOffset>
            </wp:positionV>
            <wp:extent cx="276034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58"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Company pays all of the costs of preparing, mailing and soliciting proxies in connection with this Proxy Statement. In addition to soliciting proxies through the mail by means of this Proxy Statement, we may solicit proxies through our directors, officers and employees in person and by telephone, facsimile or email. The Company asks brokers, banks, voting trustees and other nominees and fiduciaries to forward proxy materials to the beneficial owners and to obtain authority to execute proxies. The Company will reimburse the brokers, banks, voting trustees and other nominees and fiduciaries upon request. In addition to solicitation by mail, telephone, facsimile, email or personal contact by its directors, officers and employees, the Company has retained the services of D.F. King &amp; Co., Inc., 48 Wall Street, New York, NY 10005 to solicit proxies for a fee of $10,000, plus expenses.</w:t>
      </w:r>
    </w:p>
    <w:p>
      <w:pPr>
        <w:spacing w:after="0" w:line="311" w:lineRule="exact"/>
        <w:rPr>
          <w:sz w:val="20"/>
          <w:szCs w:val="20"/>
          <w:color w:val="auto"/>
        </w:rPr>
      </w:pPr>
    </w:p>
    <w:p>
      <w:pPr>
        <w:ind w:left="820" w:right="120"/>
        <w:spacing w:after="0" w:line="285" w:lineRule="auto"/>
        <w:rPr>
          <w:sz w:val="20"/>
          <w:szCs w:val="20"/>
          <w:color w:val="auto"/>
        </w:rPr>
      </w:pPr>
      <w:r>
        <w:rPr>
          <w:rFonts w:ascii="Arial" w:cs="Arial" w:eastAsia="Arial" w:hAnsi="Arial"/>
          <w:sz w:val="22"/>
          <w:szCs w:val="22"/>
          <w:b w:val="1"/>
          <w:bCs w:val="1"/>
          <w:color w:val="auto"/>
        </w:rPr>
        <w:t>How will my shares be voted if I sign, date and return my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-2540</wp:posOffset>
            </wp:positionV>
            <wp:extent cx="276034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58" w:lineRule="exact"/>
        <w:rPr>
          <w:sz w:val="20"/>
          <w:szCs w:val="20"/>
          <w:color w:val="auto"/>
        </w:rPr>
      </w:pPr>
    </w:p>
    <w:p>
      <w:pPr>
        <w:ind w:left="780" w:right="60"/>
        <w:spacing w:after="0" w:line="276" w:lineRule="auto"/>
        <w:rPr>
          <w:sz w:val="20"/>
          <w:szCs w:val="20"/>
          <w:color w:val="auto"/>
        </w:rPr>
      </w:pPr>
      <w:r>
        <w:rPr>
          <w:rFonts w:ascii="Arial" w:cs="Arial" w:eastAsia="Arial" w:hAnsi="Arial"/>
          <w:sz w:val="18"/>
          <w:szCs w:val="18"/>
          <w:color w:val="auto"/>
        </w:rPr>
        <w:t>If you sign, date and return your proxy card and indicate how you would like your shares voted, your shares will be voted as you have instructed.</w:t>
      </w:r>
    </w:p>
    <w:p>
      <w:pPr>
        <w:spacing w:after="0" w:line="96" w:lineRule="exact"/>
        <w:rPr>
          <w:sz w:val="20"/>
          <w:szCs w:val="20"/>
          <w:color w:val="auto"/>
        </w:rPr>
      </w:pPr>
    </w:p>
    <w:p>
      <w:pPr>
        <w:jc w:val="both"/>
        <w:ind w:left="780" w:right="160"/>
        <w:spacing w:after="0" w:line="284" w:lineRule="auto"/>
        <w:rPr>
          <w:sz w:val="20"/>
          <w:szCs w:val="20"/>
          <w:color w:val="auto"/>
        </w:rPr>
      </w:pPr>
      <w:r>
        <w:rPr>
          <w:rFonts w:ascii="Arial" w:cs="Arial" w:eastAsia="Arial" w:hAnsi="Arial"/>
          <w:sz w:val="18"/>
          <w:szCs w:val="18"/>
          <w:color w:val="auto"/>
        </w:rPr>
        <w:t>If you sign, date and return your proxy card but do not indicate how you would like your shares voted, your proxy will be voted: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493"/>
        <w:spacing w:after="0"/>
        <w:rPr>
          <w:sz w:val="20"/>
          <w:szCs w:val="20"/>
          <w:color w:val="auto"/>
        </w:rPr>
      </w:pPr>
      <w:r>
        <w:rPr>
          <w:rFonts w:ascii="Arial" w:cs="Arial" w:eastAsia="Arial" w:hAnsi="Arial"/>
          <w:sz w:val="21"/>
          <w:szCs w:val="21"/>
          <w:b w:val="1"/>
          <w:bCs w:val="1"/>
          <w:color w:val="auto"/>
        </w:rPr>
        <w:t>How will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276034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02" w:lineRule="exact"/>
        <w:rPr>
          <w:sz w:val="20"/>
          <w:szCs w:val="20"/>
          <w:color w:val="auto"/>
        </w:rPr>
      </w:pPr>
    </w:p>
    <w:p>
      <w:pPr>
        <w:ind w:left="7" w:right="20" w:hanging="7"/>
        <w:spacing w:after="0" w:line="283" w:lineRule="auto"/>
        <w:tabs>
          <w:tab w:leader="none" w:pos="18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broker non-vote occurs when a broker who holds its customer’s shares in street name submits proxies for such shares but indicates that it does not have authority to vote on a particular matter.</w:t>
      </w:r>
    </w:p>
    <w:p>
      <w:pPr>
        <w:spacing w:after="0" w:line="104" w:lineRule="exact"/>
        <w:rPr>
          <w:sz w:val="20"/>
          <w:szCs w:val="20"/>
          <w:color w:val="auto"/>
        </w:rPr>
      </w:pPr>
    </w:p>
    <w:p>
      <w:pPr>
        <w:ind w:left="7" w:right="20"/>
        <w:spacing w:after="0" w:line="278" w:lineRule="auto"/>
        <w:rPr>
          <w:sz w:val="20"/>
          <w:szCs w:val="20"/>
          <w:color w:val="auto"/>
        </w:rPr>
      </w:pPr>
      <w:r>
        <w:rPr>
          <w:rFonts w:ascii="Arial" w:cs="Arial" w:eastAsia="Arial" w:hAnsi="Arial"/>
          <w:sz w:val="18"/>
          <w:szCs w:val="18"/>
          <w:color w:val="auto"/>
        </w:rPr>
        <w:t>Generally, this occurs when brokers have not received any instructions from their customers. In these cases, the brokers, as the holders of record, are permitted to vote on “routine” matters only, but not on other matters. If you are a beneficial owner whose shares are held of record by a broker, then your broker has discretionary voting authority to vote your shares on the following proposal:</w:t>
      </w:r>
    </w:p>
    <w:p>
      <w:pPr>
        <w:spacing w:after="0" w:line="66" w:lineRule="exact"/>
        <w:rPr>
          <w:sz w:val="20"/>
          <w:szCs w:val="20"/>
          <w:color w:val="auto"/>
        </w:rPr>
      </w:pPr>
    </w:p>
    <w:p>
      <w:pPr>
        <w:ind w:left="627" w:hanging="267"/>
        <w:spacing w:after="0" w:line="283" w:lineRule="auto"/>
        <w:tabs>
          <w:tab w:leader="none" w:pos="627" w:val="left"/>
        </w:tabs>
        <w:numPr>
          <w:ilvl w:val="0"/>
          <w:numId w:val="194"/>
        </w:numPr>
        <w:rPr>
          <w:rFonts w:ascii="Arial" w:cs="Arial" w:eastAsia="Arial" w:hAnsi="Arial"/>
          <w:sz w:val="18"/>
          <w:szCs w:val="18"/>
          <w:color w:val="BF5B5A"/>
        </w:rPr>
      </w:pPr>
      <w:r>
        <w:rPr>
          <w:rFonts w:ascii="Arial" w:cs="Arial" w:eastAsia="Arial" w:hAnsi="Arial"/>
          <w:sz w:val="18"/>
          <w:szCs w:val="18"/>
          <w:color w:val="auto"/>
        </w:rPr>
        <w:t>The ratification of the appointment of Deloitte &amp; Touche LLP as the Company’s independent registered public accounting firm for fiscal year 2023.</w:t>
      </w:r>
    </w:p>
    <w:p>
      <w:pPr>
        <w:spacing w:after="0" w:line="104" w:lineRule="exact"/>
        <w:rPr>
          <w:sz w:val="20"/>
          <w:szCs w:val="20"/>
          <w:color w:val="auto"/>
        </w:rPr>
      </w:pPr>
    </w:p>
    <w:p>
      <w:pPr>
        <w:ind w:left="7" w:right="260"/>
        <w:spacing w:after="0" w:line="303" w:lineRule="auto"/>
        <w:rPr>
          <w:sz w:val="20"/>
          <w:szCs w:val="20"/>
          <w:color w:val="auto"/>
        </w:rPr>
      </w:pPr>
      <w:r>
        <w:rPr>
          <w:rFonts w:ascii="Arial" w:cs="Arial" w:eastAsia="Arial" w:hAnsi="Arial"/>
          <w:sz w:val="18"/>
          <w:szCs w:val="18"/>
          <w:color w:val="auto"/>
        </w:rPr>
        <w:t>However, your broker does not have discretionary authority to vote on the following proposals:</w:t>
      </w:r>
    </w:p>
    <w:p>
      <w:pPr>
        <w:spacing w:after="0" w:line="58" w:lineRule="exact"/>
        <w:rPr>
          <w:sz w:val="20"/>
          <w:szCs w:val="20"/>
          <w:color w:val="auto"/>
        </w:rPr>
      </w:pPr>
    </w:p>
    <w:p>
      <w:pPr>
        <w:ind w:left="627" w:right="340" w:hanging="267"/>
        <w:spacing w:after="0" w:line="303" w:lineRule="auto"/>
        <w:tabs>
          <w:tab w:leader="none" w:pos="627" w:val="left"/>
        </w:tabs>
        <w:numPr>
          <w:ilvl w:val="0"/>
          <w:numId w:val="195"/>
        </w:numPr>
        <w:rPr>
          <w:rFonts w:ascii="Arial" w:cs="Arial" w:eastAsia="Arial" w:hAnsi="Arial"/>
          <w:sz w:val="18"/>
          <w:szCs w:val="18"/>
          <w:color w:val="BF5B5A"/>
        </w:rPr>
      </w:pPr>
      <w:r>
        <w:rPr>
          <w:rFonts w:ascii="Arial" w:cs="Arial" w:eastAsia="Arial" w:hAnsi="Arial"/>
          <w:sz w:val="18"/>
          <w:szCs w:val="18"/>
          <w:color w:val="auto"/>
        </w:rPr>
        <w:t>To elect the nine nominees named in this Proxy Statement.</w:t>
      </w:r>
    </w:p>
    <w:p>
      <w:pPr>
        <w:spacing w:after="0" w:line="44" w:lineRule="exact"/>
        <w:rPr>
          <w:rFonts w:ascii="Arial" w:cs="Arial" w:eastAsia="Arial" w:hAnsi="Arial"/>
          <w:sz w:val="18"/>
          <w:szCs w:val="18"/>
          <w:color w:val="BF5B5A"/>
        </w:rPr>
      </w:pPr>
    </w:p>
    <w:p>
      <w:pPr>
        <w:ind w:left="627" w:right="20" w:hanging="267"/>
        <w:spacing w:after="0" w:line="292" w:lineRule="auto"/>
        <w:tabs>
          <w:tab w:leader="none" w:pos="627" w:val="left"/>
        </w:tabs>
        <w:numPr>
          <w:ilvl w:val="0"/>
          <w:numId w:val="195"/>
        </w:numPr>
        <w:rPr>
          <w:rFonts w:ascii="Arial" w:cs="Arial" w:eastAsia="Arial" w:hAnsi="Arial"/>
          <w:sz w:val="18"/>
          <w:szCs w:val="18"/>
          <w:color w:val="BF5B5A"/>
        </w:rPr>
      </w:pPr>
      <w:r>
        <w:rPr>
          <w:rFonts w:ascii="Arial" w:cs="Arial" w:eastAsia="Arial" w:hAnsi="Arial"/>
          <w:sz w:val="18"/>
          <w:szCs w:val="18"/>
          <w:color w:val="auto"/>
        </w:rPr>
        <w:t>To approve, on advisory basis, the compensation of our named executive officers as disclosed in this Proxy Statement.</w:t>
      </w:r>
    </w:p>
    <w:p>
      <w:pPr>
        <w:spacing w:after="0" w:line="54" w:lineRule="exact"/>
        <w:rPr>
          <w:rFonts w:ascii="Arial" w:cs="Arial" w:eastAsia="Arial" w:hAnsi="Arial"/>
          <w:sz w:val="18"/>
          <w:szCs w:val="18"/>
          <w:color w:val="BF5B5A"/>
        </w:rPr>
      </w:pPr>
    </w:p>
    <w:p>
      <w:pPr>
        <w:ind w:left="627" w:right="180" w:hanging="267"/>
        <w:spacing w:after="0" w:line="292" w:lineRule="auto"/>
        <w:tabs>
          <w:tab w:leader="none" w:pos="627" w:val="left"/>
        </w:tabs>
        <w:numPr>
          <w:ilvl w:val="0"/>
          <w:numId w:val="195"/>
        </w:numPr>
        <w:rPr>
          <w:rFonts w:ascii="Arial" w:cs="Arial" w:eastAsia="Arial" w:hAnsi="Arial"/>
          <w:sz w:val="18"/>
          <w:szCs w:val="18"/>
          <w:color w:val="BF5B5A"/>
        </w:rPr>
      </w:pPr>
      <w:r>
        <w:rPr>
          <w:rFonts w:ascii="Arial" w:cs="Arial" w:eastAsia="Arial" w:hAnsi="Arial"/>
          <w:sz w:val="18"/>
          <w:szCs w:val="18"/>
          <w:color w:val="auto"/>
        </w:rPr>
        <w:t>To vote on the frequency of future votes on the compensation of our named executive officers.</w:t>
      </w:r>
    </w:p>
    <w:p>
      <w:pPr>
        <w:spacing w:after="0" w:line="302" w:lineRule="exact"/>
        <w:rPr>
          <w:sz w:val="20"/>
          <w:szCs w:val="20"/>
          <w:color w:val="auto"/>
        </w:rPr>
      </w:pPr>
    </w:p>
    <w:p>
      <w:pPr>
        <w:sectPr>
          <w:pgSz w:w="11900" w:h="16838" w:orient="portrait"/>
          <w:cols w:equalWidth="0" w:num="2">
            <w:col w:w="5100" w:space="513"/>
            <w:col w:w="4347"/>
          </w:cols>
          <w:pgMar w:left="580" w:top="97" w:right="1359" w:bottom="1440" w:gutter="0" w:footer="0" w:header="0"/>
          <w:type w:val="continuous"/>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94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FREQUENTLY ASKED QUESTIONS ABOUT THE ANNUAL MEETING AND VOTING</w:t>
      </w:r>
    </w:p>
    <w:p>
      <w:pPr>
        <w:sectPr>
          <w:pgSz w:w="11900" w:h="16838" w:orient="portrait"/>
          <w:cols w:equalWidth="0" w:num="1">
            <w:col w:w="9960"/>
          </w:cols>
          <w:pgMar w:left="580" w:top="97" w:right="1359" w:bottom="1440" w:gutter="0" w:footer="0" w:header="0"/>
        </w:sectPr>
      </w:pPr>
    </w:p>
    <w:p>
      <w:pPr>
        <w:spacing w:after="0" w:line="260"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BF5B5A"/>
        </w:rPr>
        <w:t>YOUR VOTE IS IMPORTANT</w:t>
      </w:r>
    </w:p>
    <w:p>
      <w:pPr>
        <w:spacing w:after="0" w:line="177" w:lineRule="exact"/>
        <w:rPr>
          <w:sz w:val="20"/>
          <w:szCs w:val="20"/>
          <w:color w:val="auto"/>
        </w:rPr>
      </w:pPr>
    </w:p>
    <w:p>
      <w:pPr>
        <w:ind w:left="780"/>
        <w:spacing w:after="0" w:line="289" w:lineRule="auto"/>
        <w:rPr>
          <w:sz w:val="20"/>
          <w:szCs w:val="20"/>
          <w:color w:val="auto"/>
        </w:rPr>
      </w:pPr>
      <w:r>
        <w:rPr>
          <w:rFonts w:ascii="Arial" w:cs="Arial" w:eastAsia="Arial" w:hAnsi="Arial"/>
          <w:sz w:val="18"/>
          <w:szCs w:val="18"/>
          <w:color w:val="auto"/>
        </w:rPr>
        <w:t>Because many stockholders cannot personally attend the Annual Meeting, it is necessary that a large number be represented by proxy in order to satisfy that a quorum be present to conduct business at the Annual Meeting. Whether or not you plan to attend the meeting in person, prompt voting will be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appreciated. Stockholders of record can vote their shares via the Internet or by using a toll- free telephone number. Instructions for using these convenient services are provided on the proxy card.</w:t>
      </w:r>
    </w:p>
    <w:p>
      <w:pPr>
        <w:spacing w:after="0" w:line="98" w:lineRule="exact"/>
        <w:rPr>
          <w:sz w:val="20"/>
          <w:szCs w:val="20"/>
          <w:color w:val="auto"/>
        </w:rPr>
      </w:pPr>
    </w:p>
    <w:p>
      <w:pPr>
        <w:ind w:right="420"/>
        <w:spacing w:after="0" w:line="273" w:lineRule="auto"/>
        <w:rPr>
          <w:sz w:val="20"/>
          <w:szCs w:val="20"/>
          <w:color w:val="auto"/>
        </w:rPr>
      </w:pPr>
      <w:r>
        <w:rPr>
          <w:rFonts w:ascii="Arial" w:cs="Arial" w:eastAsia="Arial" w:hAnsi="Arial"/>
          <w:sz w:val="18"/>
          <w:szCs w:val="18"/>
          <w:color w:val="auto"/>
        </w:rPr>
        <w:t>Of course, you may still vote your shares on the proxy card. To do so, we ask that you complete, sign, date and return the enclosed proxy card promptly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288290</wp:posOffset>
            </wp:positionV>
            <wp:extent cx="5829300" cy="3086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82930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560"/>
            <w:col w:w="4340"/>
          </w:cols>
          <w:pgMar w:left="580" w:top="97" w:right="1359" w:bottom="1440" w:gutter="0" w:footer="0" w:header="0"/>
          <w:type w:val="continuous"/>
        </w:sectPr>
      </w:pPr>
    </w:p>
    <w:p>
      <w:pPr>
        <w:spacing w:after="0" w:line="31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4" w:lineRule="exact"/>
        <w:rPr>
          <w:sz w:val="20"/>
          <w:szCs w:val="20"/>
          <w:color w:val="auto"/>
        </w:rPr>
      </w:pPr>
    </w:p>
    <w:p>
      <w:pPr>
        <w:ind w:left="840"/>
        <w:spacing w:after="0"/>
        <w:tabs>
          <w:tab w:leader="none" w:pos="2340" w:val="left"/>
          <w:tab w:leader="none" w:pos="9880" w:val="left"/>
        </w:tabs>
        <w:rPr>
          <w:sz w:val="20"/>
          <w:szCs w:val="20"/>
          <w:color w:val="auto"/>
        </w:rPr>
      </w:pPr>
      <w:r>
        <w:rPr>
          <w:rFonts w:ascii="Arial" w:cs="Arial" w:eastAsia="Arial" w:hAnsi="Arial"/>
          <w:sz w:val="18"/>
          <w:szCs w:val="18"/>
          <w:b w:val="1"/>
          <w:bCs w:val="1"/>
          <w:color w:val="FFFFFF"/>
        </w:rPr>
        <w:t>​</w:t>
      </w:r>
      <w:r>
        <w:rPr>
          <w:sz w:val="20"/>
          <w:szCs w:val="20"/>
          <w:color w:val="auto"/>
        </w:rPr>
        <w:tab/>
      </w:r>
      <w:r>
        <w:rPr>
          <w:rFonts w:ascii="Arial" w:cs="Arial" w:eastAsia="Arial" w:hAnsi="Arial"/>
          <w:sz w:val="18"/>
          <w:szCs w:val="18"/>
          <w:b w:val="1"/>
          <w:bCs w:val="1"/>
          <w:color w:val="FFFFFF"/>
        </w:rPr>
        <w:t>Annual Meeting of Stockholders to Be Held on Wednesday, April 24, 2024</w:t>
      </w:r>
      <w:r>
        <w:rPr>
          <w:sz w:val="20"/>
          <w:szCs w:val="20"/>
          <w:color w:val="auto"/>
        </w:rPr>
        <w:tab/>
      </w:r>
      <w:r>
        <w:rPr>
          <w:rFonts w:ascii="Arial" w:cs="Arial" w:eastAsia="Arial" w:hAnsi="Arial"/>
          <w:sz w:val="18"/>
          <w:szCs w:val="18"/>
          <w:b w:val="1"/>
          <w:bCs w:val="1"/>
          <w:color w:val="FFFFFF"/>
        </w:rPr>
        <w:t>​</w:t>
      </w:r>
    </w:p>
    <w:p>
      <w:pPr>
        <w:spacing w:after="0" w:line="4" w:lineRule="exact"/>
        <w:rPr>
          <w:sz w:val="20"/>
          <w:szCs w:val="20"/>
          <w:color w:val="auto"/>
        </w:rPr>
      </w:pPr>
    </w:p>
    <w:p>
      <w:pPr>
        <w:jc w:val="center"/>
        <w:ind w:left="840"/>
        <w:spacing w:after="0" w:line="314" w:lineRule="auto"/>
        <w:rPr>
          <w:sz w:val="20"/>
          <w:szCs w:val="20"/>
          <w:color w:val="auto"/>
        </w:rPr>
      </w:pPr>
      <w:r>
        <w:rPr>
          <w:rFonts w:ascii="Arial" w:cs="Arial" w:eastAsia="Arial" w:hAnsi="Arial"/>
          <w:sz w:val="17"/>
          <w:szCs w:val="17"/>
          <w:color w:val="auto"/>
        </w:rPr>
        <w:t xml:space="preserve">​ This Proxy Statement, our 2023 Annual Report to Stockholders and our Annual Report on Form 10-K for the fiscal ​ year ended December 31, 2023 are available free of charge on our website at </w:t>
      </w:r>
      <w:r>
        <w:rPr>
          <w:rFonts w:ascii="Arial" w:cs="Arial" w:eastAsia="Arial" w:hAnsi="Arial"/>
          <w:sz w:val="17"/>
          <w:szCs w:val="17"/>
          <w:color w:val="BF5B5A"/>
        </w:rPr>
        <w:t>http://proxy.fhb.com.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-11430</wp:posOffset>
            </wp:positionV>
            <wp:extent cx="58293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95</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398145</wp:posOffset>
            </wp:positionV>
            <wp:extent cx="2562860" cy="4889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628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7200"/>
        <w:spacing w:after="0"/>
        <w:rPr>
          <w:sz w:val="20"/>
          <w:szCs w:val="20"/>
          <w:color w:val="auto"/>
        </w:rPr>
      </w:pPr>
      <w:r>
        <w:rPr>
          <w:rFonts w:ascii="Arial" w:cs="Arial" w:eastAsia="Arial" w:hAnsi="Arial"/>
          <w:sz w:val="20"/>
          <w:szCs w:val="20"/>
          <w:b w:val="1"/>
          <w:bCs w:val="1"/>
          <w:color w:val="FFFFFF"/>
        </w:rPr>
        <w:t>OTHER BUSINESS</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As of the date of this Proxy Statement, management of the Company has no knowledge of any matters to be presented for consideration at the Annual Meeting other than those referred to above. If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other matters properly come before the Annual Meeting, the persons named in the accompanying proxy card intend to vote each proxy, to the extent entitled, in accordance with their best judgment.</w:t>
      </w:r>
    </w:p>
    <w:p>
      <w:pPr>
        <w:spacing w:after="0" w:line="200" w:lineRule="exact"/>
        <w:rPr>
          <w:sz w:val="20"/>
          <w:szCs w:val="20"/>
          <w:color w:val="auto"/>
        </w:rPr>
      </w:pPr>
    </w:p>
    <w:p>
      <w:pPr>
        <w:sectPr>
          <w:pgSz w:w="11900" w:h="16838" w:orient="portrait"/>
          <w:cols w:equalWidth="0" w:num="2">
            <w:col w:w="5100" w:space="520"/>
            <w:col w:w="4340"/>
          </w:cols>
          <w:pgMar w:left="580" w:top="97" w:right="1359" w:bottom="1440" w:gutter="0" w:footer="0" w:header="0"/>
          <w:type w:val="continuous"/>
        </w:sectPr>
      </w:pPr>
    </w:p>
    <w:p>
      <w:pPr>
        <w:spacing w:after="0" w:line="6"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auto"/>
        </w:rPr>
        <w:t>STOCKHOLDER PROPOSALS FOR THE 2025 ANNUAL MEETING</w:t>
      </w:r>
    </w:p>
    <w:p>
      <w:pPr>
        <w:sectPr>
          <w:pgSz w:w="11900" w:h="16838" w:orient="portrait"/>
          <w:cols w:equalWidth="0" w:num="1">
            <w:col w:w="9960"/>
          </w:cols>
          <w:pgMar w:left="580" w:top="97" w:right="1359" w:bottom="1440" w:gutter="0" w:footer="0" w:header="0"/>
          <w:type w:val="continuous"/>
        </w:sectPr>
      </w:pPr>
    </w:p>
    <w:p>
      <w:pPr>
        <w:spacing w:after="0" w:line="268"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Stockholders who, in accordance with the SEC’s Rule 14a-8, wish to present proposals for inclusion in the proxy materials to be distributed by us in connection with our 2025 Annual Meeting of Stockholders must submit their proposals by certified mail, return receipt requested, and must be received by the Company’s Secretary at our principal offices in Honolulu, Hawaii on or before November 14, 2024, to be eligible for inclusion in our proxy statement and proxy card relating to that meeting. In the event that we hold our 2025 Annual Meeting of Stockholders more than 30 days before or after the one-year anniversary date of the Annual Meeting, we will disclose the new deadline by which stockholders’ proposals must be received in our earliest possible Quarterly Report on Form 10-Q or, if impracticable, by any means reasonably calculated to inform stockholders. As the rules of the SEC make clear, simply submitting a proposal does not guarantee its inclusion.</w:t>
      </w:r>
    </w:p>
    <w:p>
      <w:pPr>
        <w:spacing w:after="0" w:line="351"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In accordance with the Company’s Bylaws, proposals of stockholders intended to be presented at the 2025 Annual Meeting of Stockholders (other than director nominations) must be received by the Company’s Secretary no later than January 24, 2025, nor earlier than December 25, 2024, provided that if the 2025 Annual Meeting is held more than 30 days before, or 60 days after, April 24, 2025, such notice must be given by the later of the close of business on the date 90 days prior to the meeting date or the tenth day following the date the meeting date is first publicly announced or disclosed. Furthermore, in order for any stockholder to properly propose any business for consideration at the 2025 Annual Meeting, including the nomination of any person for election as a director, or any other matter raised other than pursuant to Rule 14a-8 of the proxy rules adopted under the Exchange Act, written notice of the stockholder’s intention to make such proposal must be furnished to the Company in accordance with, and including such information required by, the Company’s Bylaws.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and Nominating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considers nominees recommended 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as candidates for election to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using the same criteria as candidates selected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Corporate Governance and Nominating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Committee discussed in the section entitled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1—Election of Directors</w:t>
      </w:r>
      <w:r>
        <w:rPr>
          <w:rFonts w:ascii="Arial" w:cs="Arial" w:eastAsia="Arial" w:hAnsi="Arial"/>
          <w:sz w:val="18"/>
          <w:szCs w:val="18"/>
          <w:color w:val="auto"/>
        </w:rPr>
        <w:t>.” A stockholder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wishing to nominate a candidate for election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at an annual meeting is required to give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notice to the Company’s Secretary of his 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her intention to make a nomination in accordance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with the requirements contained in the Company’s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Bylaws. Pursuant to the Company’s Bylaws, notice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director nominations to be presented at the 2025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 must be received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Secretary no later than January 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 nor earlier than December 25, 2024, provided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that if the 2025 Annual Meeting of Stockholders 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held more than 30 days before, or 60 days after,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24, 2025, such notice must be given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later of the close of business on the date 90 days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meeting date or the tenth day following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date the meeting date is first publicly announced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disclosed. If the number of directors to be elected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is increased and either all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nominees for director or the size of the increased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is not publicly announced or disclosed by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Company at least 100 days prior to the first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preceding year’s annual meeting,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notice of any stockholder nominees to serve 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directors for any newly created positions resulting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from the increased size may be delivered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Secretary no later than the close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business on the tenth day following the first date 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such nominees or the size of the increased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have been publicly announced or disclosed.</w:t>
      </w:r>
    </w:p>
    <w:p>
      <w:pPr>
        <w:spacing w:after="0" w:line="16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addition, Section 1.13 of the Company’s Bylaws (the “Proxy Access Bylaw”) provides a right of proxy access, which enables stockholders, under specified conditions, to include their nominees for election as directors in the Company’s proxy materials. Under</w:t>
      </w:r>
    </w:p>
    <w:p>
      <w:pPr>
        <w:spacing w:after="0" w:line="462" w:lineRule="exact"/>
        <w:rPr>
          <w:sz w:val="20"/>
          <w:szCs w:val="20"/>
          <w:color w:val="auto"/>
        </w:rPr>
      </w:pPr>
    </w:p>
    <w:p>
      <w:pPr>
        <w:sectPr>
          <w:pgSz w:w="11900" w:h="16838" w:orient="portrait"/>
          <w:cols w:equalWidth="0" w:num="2">
            <w:col w:w="5120" w:space="500"/>
            <w:col w:w="4340"/>
          </w:cols>
          <w:pgMar w:left="580" w:top="97" w:right="1359" w:bottom="1440" w:gutter="0" w:footer="0" w:header="0"/>
          <w:type w:val="continuous"/>
        </w:sect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96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80"/>
        <w:spacing w:after="0" w:line="272" w:lineRule="auto"/>
        <w:rPr>
          <w:sz w:val="20"/>
          <w:szCs w:val="20"/>
          <w:color w:val="auto"/>
        </w:rPr>
      </w:pPr>
      <w:r>
        <w:rPr>
          <w:rFonts w:ascii="Arial" w:cs="Arial" w:eastAsia="Arial" w:hAnsi="Arial"/>
          <w:sz w:val="18"/>
          <w:szCs w:val="18"/>
          <w:color w:val="auto"/>
        </w:rPr>
        <w:t>the Bylaws, any stockholder, or a group of up to twenty stockholders, owning at least three percent of the Company’s outstanding shares of common stock continuously for at least three years is eligible to nominate and include in the Company’s annual meeting proxy materials director nominees constituting the greater of two directors or</w:t>
      </w:r>
    </w:p>
    <w:p>
      <w:pPr>
        <w:spacing w:after="0" w:line="1" w:lineRule="exact"/>
        <w:rPr>
          <w:sz w:val="20"/>
          <w:szCs w:val="20"/>
          <w:color w:val="auto"/>
        </w:rPr>
      </w:pPr>
    </w:p>
    <w:p>
      <w:pPr>
        <w:ind w:left="780"/>
        <w:spacing w:after="0" w:line="273" w:lineRule="auto"/>
        <w:rPr>
          <w:sz w:val="20"/>
          <w:szCs w:val="20"/>
          <w:color w:val="auto"/>
        </w:rPr>
      </w:pPr>
      <w:r>
        <w:rPr>
          <w:rFonts w:ascii="Arial" w:cs="Arial" w:eastAsia="Arial" w:hAnsi="Arial"/>
          <w:sz w:val="18"/>
          <w:szCs w:val="18"/>
          <w:color w:val="auto"/>
        </w:rPr>
        <w:t>twenty percent of the total number of directors of the Company, provided that the stockholder(s) and nominee(s) satisfy the requirements specified in the Proxy Access Bylaw. Stockholders seeking to have one or more nominees included in the Company’s proxy statement for its 2025 annual meeting of stockholders must deliver the notice required by the Company’s Proxy Access Bylaw. To be timely, the notice must be received at the Company’s principal executive offices no later than January 24, 2025, nor earlier than December 25, 2024, provided that if the 2025 Annual Meeting of Stockholders is held more than 30 days before, or 60 days after, April 24, 2025, such notice must be given by the later of the close of business on the date 90 days prior to the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7F7F7F"/>
        </w:rPr>
        <w:t>OTHER BUSINESS</w:t>
      </w:r>
    </w:p>
    <w:p>
      <w:pPr>
        <w:spacing w:after="0" w:line="2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meeting date or the tenth day following the date the meeting date is first publicly announced or disclosed.</w:t>
      </w:r>
      <w:r>
        <w:rPr>
          <w:rFonts w:ascii="Times New Roman" w:cs="Times New Roman" w:eastAsia="Times New Roman" w:hAnsi="Times New Roman"/>
          <w:sz w:val="25"/>
          <w:szCs w:val="25"/>
          <w:color w:val="auto"/>
        </w:rPr>
        <w:t>​</w:t>
      </w:r>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satisfying the foregoing requirements under the Company’s Bylaws, to comply with the universal proxy rules (once effective), stockholders who intend to solicit proxies in support of director nominees other than the Company’s nominees must provide notice that sets forth the information required by Rule 14a-19 under the Exchange Act no later than February 24, 2025.</w:t>
      </w:r>
    </w:p>
    <w:p>
      <w:pPr>
        <w:spacing w:after="0" w:line="1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copy of the Company’s Bylaws is available upon request to:</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 Hawaiian, Inc.</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 the Secretary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999 Bishop Street</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Honolulu, Hawaii 96813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and can also be found under the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of our website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BF5B5A"/>
        </w:rPr>
        <w:t>ir.fhb.com/corporate-governance/highlights</w:t>
      </w:r>
      <w:r>
        <w:rPr>
          <w:rFonts w:ascii="Arial" w:cs="Arial" w:eastAsia="Arial" w:hAnsi="Arial"/>
          <w:sz w:val="18"/>
          <w:szCs w:val="18"/>
          <w:color w:val="000000"/>
        </w:rPr>
        <w:t>.</w:t>
      </w:r>
    </w:p>
    <w:p>
      <w:pPr>
        <w:spacing w:after="0" w:line="200" w:lineRule="exact"/>
        <w:rPr>
          <w:sz w:val="20"/>
          <w:szCs w:val="20"/>
          <w:color w:val="auto"/>
        </w:rPr>
      </w:pPr>
    </w:p>
    <w:p>
      <w:pPr>
        <w:sectPr>
          <w:pgSz w:w="11900" w:h="16838" w:orient="portrait"/>
          <w:cols w:equalWidth="0" w:num="2">
            <w:col w:w="5120" w:space="500"/>
            <w:col w:w="4340"/>
          </w:cols>
          <w:pgMar w:left="580" w:top="97" w:right="1359" w:bottom="1440" w:gutter="0" w:footer="0" w:header="0"/>
        </w:sectPr>
      </w:pPr>
    </w:p>
    <w:p>
      <w:pPr>
        <w:spacing w:after="0" w:line="78" w:lineRule="exact"/>
        <w:rPr>
          <w:sz w:val="20"/>
          <w:szCs w:val="20"/>
          <w:color w:val="auto"/>
        </w:rPr>
      </w:pPr>
    </w:p>
    <w:p>
      <w:pPr>
        <w:ind w:left="780"/>
        <w:spacing w:after="0"/>
        <w:rPr>
          <w:sz w:val="20"/>
          <w:szCs w:val="20"/>
          <w:color w:val="auto"/>
        </w:rPr>
      </w:pPr>
      <w:r>
        <w:rPr>
          <w:rFonts w:ascii="Arial" w:cs="Arial" w:eastAsia="Arial" w:hAnsi="Arial"/>
          <w:sz w:val="23"/>
          <w:szCs w:val="23"/>
          <w:b w:val="1"/>
          <w:bCs w:val="1"/>
          <w:color w:val="auto"/>
        </w:rPr>
        <w:t>DISTRIBUTION OF CERTAIN DOCUMENTS</w:t>
      </w:r>
    </w:p>
    <w:p>
      <w:pPr>
        <w:sectPr>
          <w:pgSz w:w="11900" w:h="16838" w:orient="portrait"/>
          <w:cols w:equalWidth="0" w:num="1">
            <w:col w:w="9960"/>
          </w:cols>
          <w:pgMar w:left="580" w:top="97" w:right="1359" w:bottom="1440" w:gutter="0" w:footer="0" w:header="0"/>
          <w:type w:val="continuous"/>
        </w:sectPr>
      </w:pPr>
    </w:p>
    <w:p>
      <w:pPr>
        <w:spacing w:after="0" w:line="268" w:lineRule="exact"/>
        <w:rPr>
          <w:sz w:val="20"/>
          <w:szCs w:val="20"/>
          <w:color w:val="auto"/>
        </w:rPr>
      </w:pPr>
    </w:p>
    <w:p>
      <w:pPr>
        <w:ind w:left="780" w:right="80"/>
        <w:spacing w:after="0" w:line="294" w:lineRule="auto"/>
        <w:rPr>
          <w:sz w:val="20"/>
          <w:szCs w:val="20"/>
          <w:color w:val="auto"/>
        </w:rPr>
      </w:pPr>
      <w:r>
        <w:rPr>
          <w:rFonts w:ascii="Arial" w:cs="Arial" w:eastAsia="Arial" w:hAnsi="Arial"/>
          <w:sz w:val="18"/>
          <w:szCs w:val="18"/>
          <w:color w:val="auto"/>
        </w:rPr>
        <w:t xml:space="preserve">This Proxy Statement, our 2023 Annual Report to Stockholders and our Annual Report on Form 10-K for the fiscal year ended December 31, 2023 are available at </w:t>
      </w:r>
      <w:r>
        <w:rPr>
          <w:rFonts w:ascii="Arial" w:cs="Arial" w:eastAsia="Arial" w:hAnsi="Arial"/>
          <w:sz w:val="18"/>
          <w:szCs w:val="18"/>
          <w:color w:val="BF5B5A"/>
        </w:rPr>
        <w:t>http://proxy.fhb.com</w:t>
      </w:r>
      <w:r>
        <w:rPr>
          <w:rFonts w:ascii="Arial" w:cs="Arial" w:eastAsia="Arial" w:hAnsi="Arial"/>
          <w:sz w:val="18"/>
          <w:szCs w:val="18"/>
          <w:color w:val="auto"/>
        </w:rPr>
        <w:t>.</w:t>
      </w:r>
    </w:p>
    <w:p>
      <w:pPr>
        <w:spacing w:after="0" w:line="106" w:lineRule="exact"/>
        <w:rPr>
          <w:sz w:val="20"/>
          <w:szCs w:val="20"/>
          <w:color w:val="auto"/>
        </w:rPr>
      </w:pPr>
    </w:p>
    <w:p>
      <w:pPr>
        <w:jc w:val="both"/>
        <w:ind w:left="780"/>
        <w:spacing w:after="0" w:line="300" w:lineRule="auto"/>
        <w:rPr>
          <w:sz w:val="20"/>
          <w:szCs w:val="20"/>
          <w:color w:val="auto"/>
        </w:rPr>
      </w:pPr>
      <w:r>
        <w:rPr>
          <w:rFonts w:ascii="Arial" w:cs="Arial" w:eastAsia="Arial" w:hAnsi="Arial"/>
          <w:sz w:val="18"/>
          <w:szCs w:val="18"/>
          <w:color w:val="auto"/>
        </w:rPr>
        <w:t>We are required to file annual, quarterly and current reports, proxy statements and other reports with the SEC. Copies of these filings are available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560"/>
        <w:spacing w:after="0" w:line="288" w:lineRule="auto"/>
        <w:rPr>
          <w:sz w:val="20"/>
          <w:szCs w:val="20"/>
          <w:color w:val="auto"/>
        </w:rPr>
      </w:pPr>
      <w:r>
        <w:rPr>
          <w:rFonts w:ascii="Arial" w:cs="Arial" w:eastAsia="Arial" w:hAnsi="Arial"/>
          <w:sz w:val="18"/>
          <w:szCs w:val="18"/>
          <w:color w:val="auto"/>
        </w:rPr>
        <w:t xml:space="preserve">through our website at </w:t>
      </w:r>
      <w:r>
        <w:rPr>
          <w:rFonts w:ascii="Arial" w:cs="Arial" w:eastAsia="Arial" w:hAnsi="Arial"/>
          <w:sz w:val="18"/>
          <w:szCs w:val="18"/>
          <w:color w:val="BF5B5A"/>
        </w:rPr>
        <w:t>ir.fhb.com</w:t>
      </w:r>
      <w:r>
        <w:rPr>
          <w:rFonts w:ascii="Arial" w:cs="Arial" w:eastAsia="Arial" w:hAnsi="Arial"/>
          <w:sz w:val="18"/>
          <w:szCs w:val="18"/>
          <w:color w:val="auto"/>
        </w:rPr>
        <w:t xml:space="preserve"> or the SEC’s website at </w:t>
      </w:r>
      <w:r>
        <w:rPr>
          <w:rFonts w:ascii="Arial" w:cs="Arial" w:eastAsia="Arial" w:hAnsi="Arial"/>
          <w:sz w:val="18"/>
          <w:szCs w:val="18"/>
          <w:color w:val="BF5B5A"/>
        </w:rPr>
        <w:t>www.sec.gov</w:t>
      </w:r>
      <w:r>
        <w:rPr>
          <w:rFonts w:ascii="Arial" w:cs="Arial" w:eastAsia="Arial" w:hAnsi="Arial"/>
          <w:sz w:val="18"/>
          <w:szCs w:val="18"/>
          <w:color w:val="auto"/>
        </w:rPr>
        <w:t>.</w:t>
      </w:r>
      <w:r>
        <w:rPr>
          <w:rFonts w:ascii="Times New Roman" w:cs="Times New Roman" w:eastAsia="Times New Roman" w:hAnsi="Times New Roman"/>
          <w:sz w:val="25"/>
          <w:szCs w:val="25"/>
          <w:color w:val="auto"/>
        </w:rPr>
        <w:t>​</w:t>
      </w:r>
    </w:p>
    <w:p>
      <w:pPr>
        <w:spacing w:after="0" w:line="8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This Proxy Statement includes several website addresses. These website addresses are intended to provide inactive, textual references only. The information on these websites is not part of this Proxy Statement.</w:t>
      </w:r>
    </w:p>
    <w:p>
      <w:pPr>
        <w:spacing w:after="0" w:line="256" w:lineRule="exact"/>
        <w:rPr>
          <w:sz w:val="20"/>
          <w:szCs w:val="20"/>
          <w:color w:val="auto"/>
        </w:rPr>
      </w:pPr>
    </w:p>
    <w:p>
      <w:pPr>
        <w:sectPr>
          <w:pgSz w:w="11900" w:h="16838" w:orient="portrait"/>
          <w:cols w:equalWidth="0" w:num="2">
            <w:col w:w="5040" w:space="580"/>
            <w:col w:w="4340"/>
          </w:cols>
          <w:pgMar w:left="580" w:top="97" w:right="1359" w:bottom="1440" w:gutter="0" w:footer="0" w:header="0"/>
          <w:type w:val="continuous"/>
        </w:sectPr>
      </w:pPr>
    </w:p>
    <w:p>
      <w:pPr>
        <w:spacing w:after="0" w:line="4" w:lineRule="exact"/>
        <w:rPr>
          <w:sz w:val="20"/>
          <w:szCs w:val="20"/>
          <w:color w:val="auto"/>
        </w:rPr>
      </w:pPr>
    </w:p>
    <w:p>
      <w:pPr>
        <w:ind w:left="780" w:right="1060"/>
        <w:spacing w:after="0" w:line="357" w:lineRule="auto"/>
        <w:rPr>
          <w:sz w:val="20"/>
          <w:szCs w:val="20"/>
          <w:color w:val="auto"/>
        </w:rPr>
      </w:pPr>
      <w:r>
        <w:rPr>
          <w:rFonts w:ascii="Arial" w:cs="Arial" w:eastAsia="Arial" w:hAnsi="Arial"/>
          <w:sz w:val="23"/>
          <w:szCs w:val="23"/>
          <w:b w:val="1"/>
          <w:bCs w:val="1"/>
          <w:color w:val="auto"/>
        </w:rPr>
        <w:t>STATEMENT REGARDING THE DELIVERY OF A SINGLE SET OF PROXY MATERIALS TO HOUSEHOLDS WITH MULTIPLE STOCKHOLDERS</w:t>
      </w:r>
    </w:p>
    <w:p>
      <w:pPr>
        <w:sectPr>
          <w:pgSz w:w="11900" w:h="16838" w:orient="portrait"/>
          <w:cols w:equalWidth="0" w:num="1">
            <w:col w:w="9960"/>
          </w:cols>
          <w:pgMar w:left="580" w:top="97" w:right="1359" w:bottom="1440" w:gutter="0" w:footer="0" w:header="0"/>
          <w:type w:val="continuous"/>
        </w:sectPr>
      </w:pPr>
    </w:p>
    <w:p>
      <w:pPr>
        <w:spacing w:after="0" w:line="56" w:lineRule="exact"/>
        <w:rPr>
          <w:sz w:val="20"/>
          <w:szCs w:val="20"/>
          <w:color w:val="auto"/>
        </w:rPr>
      </w:pPr>
    </w:p>
    <w:p>
      <w:pPr>
        <w:ind w:left="780"/>
        <w:spacing w:after="0" w:line="274" w:lineRule="auto"/>
        <w:rPr>
          <w:sz w:val="20"/>
          <w:szCs w:val="20"/>
          <w:color w:val="auto"/>
        </w:rPr>
      </w:pPr>
      <w:r>
        <w:rPr>
          <w:rFonts w:ascii="Arial" w:cs="Arial" w:eastAsia="Arial" w:hAnsi="Arial"/>
          <w:sz w:val="18"/>
          <w:szCs w:val="18"/>
          <w:color w:val="auto"/>
        </w:rPr>
        <w:t>To reduce the expense of delivering duplicate proxy materials to our stockholders, we are relying on SEC rules that permit us to deliver only one proxy statement to multiple stockholders who share an address unless we receive contrary instructions from any stockholder at that address. This practice, known as “householding,” reduces duplicate mailings, saves printing and postage costs as well as natural resources and will not affect dividend check mailings. If you wish to receive a separate copy of this Proxy Statement, our 2023 Annual Report to Stockholders and our Annual Report on Form 10-K</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for the fiscal year ended December 31, 2023, or if you wish to receive separate copies of future annual reports or proxy statements, you may write to: First Hawaiian, Inc., c/o the Secretary, 999 Bishop Street, Honolulu, Hawaii 96813. We will deliver promptly upon written request a separate copy of any or all such documents to a stockholder at a shared address to which a single copy of the documents was delivered. Stockholders sharing an address who now receive multiple copies of the proxy materials may request delivery of a single copy by writing to us at the above address.</w:t>
      </w:r>
    </w:p>
    <w:p>
      <w:pPr>
        <w:spacing w:after="0" w:line="200" w:lineRule="exact"/>
        <w:rPr>
          <w:sz w:val="20"/>
          <w:szCs w:val="20"/>
          <w:color w:val="auto"/>
        </w:rPr>
      </w:pPr>
    </w:p>
    <w:p>
      <w:pPr>
        <w:sectPr>
          <w:pgSz w:w="11900" w:h="16838" w:orient="portrait"/>
          <w:cols w:equalWidth="0" w:num="2">
            <w:col w:w="5120" w:space="500"/>
            <w:col w:w="4340"/>
          </w:cols>
          <w:pgMar w:left="580" w:top="97"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80"/>
        <w:spacing w:after="0"/>
        <w:tabs>
          <w:tab w:leader="none" w:pos="942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32"/>
          <w:szCs w:val="32"/>
          <w:b w:val="1"/>
          <w:bCs w:val="1"/>
          <w:color w:val="auto"/>
          <w:vertAlign w:val="superscript"/>
        </w:rPr>
        <w:t xml:space="preserve">​ ​ </w:t>
      </w:r>
      <w:r>
        <w:rPr>
          <w:rFonts w:ascii="Arial" w:cs="Arial" w:eastAsia="Arial" w:hAnsi="Arial"/>
          <w:sz w:val="32"/>
          <w:szCs w:val="32"/>
          <w:b w:val="1"/>
          <w:bCs w:val="1"/>
          <w:color w:val="BF5B5A"/>
        </w:rPr>
        <w:t>97</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11430</wp:posOffset>
            </wp:positionV>
            <wp:extent cx="68319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OTHER BUSINESS</w:t>
      </w:r>
    </w:p>
    <w:p>
      <w:pPr>
        <w:spacing w:after="0" w:line="314" w:lineRule="exact"/>
        <w:rPr>
          <w:sz w:val="20"/>
          <w:szCs w:val="20"/>
          <w:color w:val="auto"/>
        </w:rPr>
      </w:pPr>
    </w:p>
    <w:p>
      <w:pPr>
        <w:jc w:val="right"/>
        <w:ind w:right="3000"/>
        <w:spacing w:after="0"/>
        <w:rPr>
          <w:sz w:val="20"/>
          <w:szCs w:val="20"/>
          <w:color w:val="auto"/>
        </w:rPr>
      </w:pPr>
      <w:r>
        <w:rPr>
          <w:rFonts w:ascii="Arial" w:cs="Arial" w:eastAsia="Arial" w:hAnsi="Arial"/>
          <w:sz w:val="25"/>
          <w:szCs w:val="25"/>
          <w:b w:val="1"/>
          <w:bCs w:val="1"/>
          <w:color w:val="auto"/>
        </w:rPr>
        <w:t>INFORMATION NOT INCORPORATED BY REFERENCE</w:t>
      </w:r>
    </w:p>
    <w:p>
      <w:pPr>
        <w:sectPr>
          <w:pgSz w:w="11900" w:h="16838" w:orient="portrait"/>
          <w:cols w:equalWidth="0" w:num="1">
            <w:col w:w="9920"/>
          </w:cols>
          <w:pgMar w:left="580" w:top="97" w:right="1399" w:bottom="1440" w:gutter="0" w:footer="0" w:header="0"/>
        </w:sectPr>
      </w:pPr>
    </w:p>
    <w:p>
      <w:pPr>
        <w:spacing w:after="0" w:line="258" w:lineRule="exact"/>
        <w:rPr>
          <w:sz w:val="20"/>
          <w:szCs w:val="20"/>
          <w:color w:val="auto"/>
        </w:rPr>
      </w:pPr>
    </w:p>
    <w:p>
      <w:pPr>
        <w:ind w:left="780"/>
        <w:spacing w:after="0" w:line="283" w:lineRule="auto"/>
        <w:rPr>
          <w:sz w:val="20"/>
          <w:szCs w:val="20"/>
          <w:color w:val="auto"/>
        </w:rPr>
      </w:pPr>
      <w:r>
        <w:rPr>
          <w:rFonts w:ascii="Arial" w:cs="Arial" w:eastAsia="Arial" w:hAnsi="Arial"/>
          <w:sz w:val="18"/>
          <w:szCs w:val="18"/>
          <w:color w:val="auto"/>
        </w:rPr>
        <w:t>No reports, documents or websites that are cited or referred to in this Proxy Statement shall be deemed to form part of, or to be incorporated by reference into, this Proxy Statement or otherwise incorporated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auto"/>
        </w:rPr>
        <w:t>into any other filings we make with the SEC, except to the extent we specifically incorporate such information by reference.</w:t>
      </w:r>
    </w:p>
    <w:p>
      <w:pPr>
        <w:spacing w:after="0" w:line="400" w:lineRule="exact"/>
        <w:rPr>
          <w:sz w:val="20"/>
          <w:szCs w:val="20"/>
          <w:color w:val="auto"/>
        </w:rPr>
      </w:pPr>
    </w:p>
    <w:p>
      <w:pPr>
        <w:sectPr>
          <w:pgSz w:w="11900" w:h="16838" w:orient="portrait"/>
          <w:cols w:equalWidth="0" w:num="2">
            <w:col w:w="5060" w:space="560"/>
            <w:col w:w="4300"/>
          </w:cols>
          <w:pgMar w:left="580" w:top="97" w:right="1399" w:bottom="1440" w:gutter="0" w:footer="0" w:header="0"/>
          <w:type w:val="continuous"/>
        </w:sectPr>
      </w:pPr>
    </w:p>
    <w:p>
      <w:pPr>
        <w:spacing w:after="0" w:line="6"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auto"/>
        </w:rPr>
        <w:t>FORWARD-LOOKING STATEMENTS</w:t>
      </w:r>
    </w:p>
    <w:p>
      <w:pPr>
        <w:spacing w:after="0" w:line="270" w:lineRule="exact"/>
        <w:rPr>
          <w:sz w:val="20"/>
          <w:szCs w:val="20"/>
          <w:color w:val="auto"/>
        </w:rPr>
      </w:pPr>
    </w:p>
    <w:p>
      <w:pPr>
        <w:ind w:left="780" w:right="160"/>
        <w:spacing w:after="0" w:line="273" w:lineRule="auto"/>
        <w:rPr>
          <w:sz w:val="20"/>
          <w:szCs w:val="20"/>
          <w:color w:val="auto"/>
        </w:rPr>
      </w:pPr>
      <w:r>
        <w:rPr>
          <w:rFonts w:ascii="Arial" w:cs="Arial" w:eastAsia="Arial" w:hAnsi="Arial"/>
          <w:sz w:val="18"/>
          <w:szCs w:val="18"/>
          <w:color w:val="auto"/>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the Company’s future results and financial condition, see “Item 1A. Risk Factors” in the Company’s Annual Report on Form 10-K for the fiscal year ended December 31, 2023.</w:t>
      </w:r>
    </w:p>
    <w:p>
      <w:pPr>
        <w:spacing w:after="0" w:line="22"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i w:val="1"/>
          <w:iCs w:val="1"/>
          <w:color w:val="BF5B5A"/>
        </w:rPr>
        <w:t>We will furnish copies of our SEC filings (without exhibits), including this Proxy Statement and our Annual Report on Form 10-K for the fiscal year ended December 31, 2023, as well as the 2023 Annual Report, without charge to any stockholder upon written request or verbal request to our Company’s Secretary at:</w:t>
      </w:r>
    </w:p>
    <w:p>
      <w:pPr>
        <w:spacing w:after="0" w:line="53" w:lineRule="exact"/>
        <w:rPr>
          <w:sz w:val="20"/>
          <w:szCs w:val="20"/>
          <w:color w:val="auto"/>
        </w:rPr>
      </w:pPr>
    </w:p>
    <w:tbl>
      <w:tblPr>
        <w:tblLayout w:type="fixed"/>
        <w:tblInd w:w="780" w:type="dxa"/>
        <w:tblCellMar>
          <w:top w:w="0" w:type="dxa"/>
          <w:left w:w="0" w:type="dxa"/>
          <w:bottom w:w="0" w:type="dxa"/>
          <w:right w:w="0" w:type="dxa"/>
        </w:tblCellMar>
      </w:tblPr>
      <w:tr>
        <w:trPr>
          <w:trHeight w:val="296"/>
        </w:trPr>
        <w:tc>
          <w:tcPr>
            <w:tcW w:w="340" w:type="dxa"/>
            <w:vAlign w:val="bottom"/>
            <w:tcBorders>
              <w:top w:val="single" w:sz="8" w:color="BF5B5A"/>
            </w:tcBorders>
          </w:tcPr>
          <w:p>
            <w:pPr>
              <w:spacing w:after="0"/>
              <w:rPr>
                <w:sz w:val="20"/>
                <w:szCs w:val="20"/>
                <w:color w:val="auto"/>
              </w:rPr>
            </w:pPr>
            <w:r>
              <w:rPr>
                <w:rFonts w:ascii="Arial" w:cs="Arial" w:eastAsia="Arial" w:hAnsi="Arial"/>
                <w:sz w:val="16"/>
                <w:szCs w:val="16"/>
                <w:color w:val="auto"/>
              </w:rPr>
              <w:t>​</w:t>
            </w:r>
          </w:p>
        </w:tc>
        <w:tc>
          <w:tcPr>
            <w:tcW w:w="3280" w:type="dxa"/>
            <w:vAlign w:val="bottom"/>
            <w:tcBorders>
              <w:top w:val="single" w:sz="8" w:color="BF5B5A"/>
            </w:tcBorders>
          </w:tcPr>
          <w:p>
            <w:pPr>
              <w:ind w:left="300"/>
              <w:spacing w:after="0" w:line="296"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First Hawaiian, Inc.</w:t>
            </w: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215"/>
        </w:trPr>
        <w:tc>
          <w:tcPr>
            <w:tcW w:w="34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6"/>
                <w:szCs w:val="16"/>
                <w:color w:val="auto"/>
              </w:rPr>
              <w:t>Attention: Secretary</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6"/>
                <w:szCs w:val="16"/>
                <w:color w:val="auto"/>
              </w:rPr>
              <w:t>999 Bishop Street</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6"/>
                <w:szCs w:val="16"/>
                <w:color w:val="auto"/>
              </w:rPr>
              <w:t>Honolulu, Hawaii 96813</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-546735</wp:posOffset>
            </wp:positionV>
            <wp:extent cx="205740" cy="1631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77470</wp:posOffset>
            </wp:positionV>
            <wp:extent cx="977265" cy="1885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Joel E. Rappoport</w:t>
      </w:r>
    </w:p>
    <w:p>
      <w:pPr>
        <w:spacing w:after="0" w:line="40" w:lineRule="exact"/>
        <w:rPr>
          <w:sz w:val="20"/>
          <w:szCs w:val="20"/>
          <w:color w:val="auto"/>
        </w:rPr>
      </w:pPr>
    </w:p>
    <w:p>
      <w:pPr>
        <w:ind w:left="780" w:right="720"/>
        <w:spacing w:after="0" w:line="298" w:lineRule="auto"/>
        <w:rPr>
          <w:sz w:val="20"/>
          <w:szCs w:val="20"/>
          <w:color w:val="auto"/>
        </w:rPr>
      </w:pPr>
      <w:r>
        <w:rPr>
          <w:rFonts w:ascii="Arial" w:cs="Arial" w:eastAsia="Arial" w:hAnsi="Arial"/>
          <w:sz w:val="18"/>
          <w:szCs w:val="18"/>
          <w:color w:val="auto"/>
        </w:rPr>
        <w:t>Executive Vice President, General Counsel and Secretary</w:t>
      </w:r>
    </w:p>
    <w:p>
      <w:pPr>
        <w:spacing w:after="0" w:line="4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Honolulu, Hawaii</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March 14,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286" w:lineRule="auto"/>
        <w:rPr>
          <w:sz w:val="20"/>
          <w:szCs w:val="20"/>
          <w:color w:val="auto"/>
        </w:rPr>
      </w:pPr>
      <w:r>
        <w:rPr>
          <w:rFonts w:ascii="Arial" w:cs="Arial" w:eastAsia="Arial" w:hAnsi="Arial"/>
          <w:sz w:val="18"/>
          <w:szCs w:val="18"/>
          <w:i w:val="1"/>
          <w:iCs w:val="1"/>
          <w:color w:val="auto"/>
        </w:rPr>
        <w:t>A copy of the Company’s 2023 Annual Report and our Annual Report on Form 10-K for the fiscal year ended December 31, 2023 as filed with the SEC are being furnished together with this Proxy Statement. Neither the Company’s 2023 Annual Report nor its Annual Report on Form 10-K for the fiscal year ended December 31, 2023 forms any part of the material for the solicitation of proxies.</w:t>
      </w:r>
    </w:p>
    <w:p>
      <w:pPr>
        <w:spacing w:after="0" w:line="6950" w:lineRule="exact"/>
        <w:rPr>
          <w:sz w:val="20"/>
          <w:szCs w:val="20"/>
          <w:color w:val="auto"/>
        </w:rPr>
      </w:pPr>
    </w:p>
    <w:p>
      <w:pPr>
        <w:sectPr>
          <w:pgSz w:w="11900" w:h="16838" w:orient="portrait"/>
          <w:cols w:equalWidth="0" w:num="2">
            <w:col w:w="5060" w:space="560"/>
            <w:col w:w="4300"/>
          </w:cols>
          <w:pgMar w:left="580" w:top="9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 98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19685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398780</wp:posOffset>
            </wp:positionV>
            <wp:extent cx="2562860" cy="4883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5628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FFFFFF"/>
        </w:rPr>
        <w:t>ANNEX A</w:t>
      </w:r>
    </w:p>
    <w:p>
      <w:pPr>
        <w:spacing w:after="0" w:line="200" w:lineRule="exact"/>
        <w:rPr>
          <w:sz w:val="20"/>
          <w:szCs w:val="20"/>
          <w:color w:val="auto"/>
        </w:rPr>
      </w:pPr>
    </w:p>
    <w:p>
      <w:pPr>
        <w:spacing w:after="0" w:line="367"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Non-GAAP Reconciliation</w:t>
      </w:r>
    </w:p>
    <w:p>
      <w:pPr>
        <w:spacing w:after="0" w:line="33"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NON-GAAP FINANCIAL MEASURES</w:t>
      </w:r>
    </w:p>
    <w:p>
      <w:pPr>
        <w:spacing w:after="0" w:line="19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Overview</w:t>
      </w:r>
    </w:p>
    <w:p>
      <w:pPr>
        <w:spacing w:after="0" w:line="164" w:lineRule="exact"/>
        <w:rPr>
          <w:sz w:val="20"/>
          <w:szCs w:val="20"/>
          <w:color w:val="auto"/>
        </w:rPr>
      </w:pPr>
    </w:p>
    <w:p>
      <w:pPr>
        <w:ind w:left="780" w:right="80" w:firstLine="360"/>
        <w:spacing w:after="0" w:line="267" w:lineRule="auto"/>
        <w:rPr>
          <w:sz w:val="20"/>
          <w:szCs w:val="20"/>
          <w:color w:val="auto"/>
        </w:rPr>
      </w:pPr>
      <w:r>
        <w:rPr>
          <w:rFonts w:ascii="Arial" w:cs="Arial" w:eastAsia="Arial" w:hAnsi="Arial"/>
          <w:sz w:val="18"/>
          <w:szCs w:val="18"/>
          <w:color w:val="auto"/>
        </w:rPr>
        <w:t>In addition to reporting our financial information in accordance with U.S. Generally Accepted Accounting Principles (“GAAP”) in our Annual Report on Form 10-K for the fiscal year ended December 31, 2023, we believe that certain non-GAAP measures provide investors with meaningful insights into the Company’s ongoing business performance. In this Proxy Statement, we present return on average tangible stockholders’ equity, which is a non-GAAP financial measure. Please see “Item 7. Management’s Discussion and Analysis of Financial Condition and Results of Operations” in our Annual Report on Form 10-K for the year ended December 31, 2023 for an explanation and reconciliation.</w:t>
      </w:r>
    </w:p>
    <w:p>
      <w:pPr>
        <w:spacing w:after="0" w:line="103" w:lineRule="exact"/>
        <w:rPr>
          <w:sz w:val="20"/>
          <w:szCs w:val="20"/>
          <w:color w:val="auto"/>
        </w:rPr>
      </w:pPr>
    </w:p>
    <w:p>
      <w:pPr>
        <w:jc w:val="both"/>
        <w:ind w:left="780" w:right="80" w:firstLine="360"/>
        <w:spacing w:after="0" w:line="264" w:lineRule="auto"/>
        <w:rPr>
          <w:sz w:val="20"/>
          <w:szCs w:val="20"/>
          <w:color w:val="auto"/>
        </w:rPr>
      </w:pPr>
      <w:r>
        <w:rPr>
          <w:rFonts w:ascii="Arial" w:cs="Arial" w:eastAsia="Arial" w:hAnsi="Arial"/>
          <w:sz w:val="18"/>
          <w:szCs w:val="18"/>
          <w:color w:val="auto"/>
        </w:rPr>
        <w:t>In addition, certain metrics presented in the “Executive Compensation” section of this Proxy Statement are presented on an adjusted, or “core” basis. These include core net income and core return on average tangible stockholders’ equity. We also refer to core return on average tangible assets in this Proxy Statement, which is the ratio of core net income to average tangible assets. These metrics are non-GAAP financial measures.</w:t>
      </w:r>
    </w:p>
    <w:p>
      <w:pPr>
        <w:spacing w:after="0" w:line="3" w:lineRule="exact"/>
        <w:rPr>
          <w:sz w:val="20"/>
          <w:szCs w:val="20"/>
          <w:color w:val="auto"/>
        </w:rPr>
      </w:pPr>
    </w:p>
    <w:p>
      <w:pPr>
        <w:ind w:left="780" w:right="160"/>
        <w:spacing w:after="0" w:line="271" w:lineRule="auto"/>
        <w:rPr>
          <w:sz w:val="20"/>
          <w:szCs w:val="20"/>
          <w:color w:val="auto"/>
        </w:rPr>
      </w:pPr>
      <w:r>
        <w:rPr>
          <w:rFonts w:ascii="Arial" w:cs="Arial" w:eastAsia="Arial" w:hAnsi="Arial"/>
          <w:sz w:val="18"/>
          <w:szCs w:val="18"/>
          <w:color w:val="auto"/>
        </w:rPr>
        <w:t>Additional detail and reconciliations of the measures presented on a “core” basis are set out below. Further information as to the manner that the Company uses these measures to evaluate compensation is included in “Executive Compensation” in this Proxy Statement.</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Core Net Income and Reconciliation</w:t>
      </w:r>
    </w:p>
    <w:p>
      <w:pPr>
        <w:spacing w:after="0" w:line="164" w:lineRule="exact"/>
        <w:rPr>
          <w:sz w:val="20"/>
          <w:szCs w:val="20"/>
          <w:color w:val="auto"/>
        </w:rPr>
      </w:pPr>
    </w:p>
    <w:p>
      <w:pPr>
        <w:ind w:left="780" w:right="80" w:firstLine="360"/>
        <w:spacing w:after="0" w:line="276" w:lineRule="auto"/>
        <w:rPr>
          <w:sz w:val="20"/>
          <w:szCs w:val="20"/>
          <w:color w:val="auto"/>
        </w:rPr>
      </w:pPr>
      <w:r>
        <w:rPr>
          <w:rFonts w:ascii="Arial" w:cs="Arial" w:eastAsia="Arial" w:hAnsi="Arial"/>
          <w:sz w:val="18"/>
          <w:szCs w:val="18"/>
          <w:color w:val="auto"/>
        </w:rPr>
        <w:t>Core net income excludes from net income, the corresponding GAAP measure, the impact of certain items that we do not believe are representative of our financial results. The table below presents a reconciliation of Core Net Income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115570</wp:posOffset>
            </wp:positionV>
            <wp:extent cx="60325" cy="6000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0325" cy="600075"/>
                    </a:xfrm>
                    <a:prstGeom prst="rect">
                      <a:avLst/>
                    </a:prstGeom>
                    <a:noFill/>
                  </pic:spPr>
                </pic:pic>
              </a:graphicData>
            </a:graphic>
          </wp:anchor>
        </w:drawing>
      </w:r>
    </w:p>
    <w:p>
      <w:pPr>
        <w:spacing w:after="0" w:line="162"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80" w:type="dxa"/>
            <w:vAlign w:val="bottom"/>
            <w:shd w:val="clear" w:color="auto" w:fill="BF5B5A"/>
          </w:tcPr>
          <w:p>
            <w:pPr>
              <w:spacing w:after="0"/>
              <w:rPr>
                <w:sz w:val="16"/>
                <w:szCs w:val="16"/>
                <w:color w:val="auto"/>
              </w:rPr>
            </w:pPr>
          </w:p>
        </w:tc>
        <w:tc>
          <w:tcPr>
            <w:tcW w:w="20" w:type="dxa"/>
            <w:vAlign w:val="bottom"/>
            <w:shd w:val="clear" w:color="auto" w:fill="BF5B5A"/>
          </w:tcPr>
          <w:p>
            <w:pPr>
              <w:spacing w:after="0"/>
              <w:rPr>
                <w:sz w:val="16"/>
                <w:szCs w:val="16"/>
                <w:color w:val="auto"/>
              </w:rPr>
            </w:pPr>
          </w:p>
        </w:tc>
        <w:tc>
          <w:tcPr>
            <w:tcW w:w="5460" w:type="dxa"/>
            <w:vAlign w:val="bottom"/>
            <w:shd w:val="clear" w:color="auto" w:fill="BF5B5A"/>
          </w:tcPr>
          <w:p>
            <w:pPr>
              <w:spacing w:after="0"/>
              <w:rPr>
                <w:sz w:val="16"/>
                <w:szCs w:val="16"/>
                <w:color w:val="auto"/>
              </w:rPr>
            </w:pPr>
          </w:p>
        </w:tc>
        <w:tc>
          <w:tcPr>
            <w:tcW w:w="220" w:type="dxa"/>
            <w:vAlign w:val="bottom"/>
            <w:shd w:val="clear" w:color="auto" w:fill="BF5B5A"/>
          </w:tcPr>
          <w:p>
            <w:pPr>
              <w:spacing w:after="0"/>
              <w:rPr>
                <w:sz w:val="16"/>
                <w:szCs w:val="16"/>
                <w:color w:val="auto"/>
              </w:rPr>
            </w:pPr>
          </w:p>
        </w:tc>
        <w:tc>
          <w:tcPr>
            <w:tcW w:w="300" w:type="dxa"/>
            <w:vAlign w:val="bottom"/>
            <w:shd w:val="clear" w:color="auto" w:fill="BF5B5A"/>
          </w:tcPr>
          <w:p>
            <w:pPr>
              <w:spacing w:after="0"/>
              <w:rPr>
                <w:sz w:val="16"/>
                <w:szCs w:val="16"/>
                <w:color w:val="auto"/>
              </w:rPr>
            </w:pPr>
          </w:p>
        </w:tc>
        <w:tc>
          <w:tcPr>
            <w:tcW w:w="80" w:type="dxa"/>
            <w:vAlign w:val="bottom"/>
            <w:shd w:val="clear" w:color="auto" w:fill="BF5B5A"/>
          </w:tcPr>
          <w:p>
            <w:pPr>
              <w:spacing w:after="0"/>
              <w:rPr>
                <w:sz w:val="16"/>
                <w:szCs w:val="16"/>
                <w:color w:val="auto"/>
              </w:rPr>
            </w:pPr>
          </w:p>
        </w:tc>
        <w:tc>
          <w:tcPr>
            <w:tcW w:w="2200" w:type="dxa"/>
            <w:vAlign w:val="bottom"/>
            <w:gridSpan w:val="8"/>
            <w:shd w:val="clear" w:color="auto" w:fill="BF5B5A"/>
          </w:tcPr>
          <w:p>
            <w:pPr>
              <w:jc w:val="center"/>
              <w:ind w:left="181"/>
              <w:spacing w:after="0"/>
              <w:rPr>
                <w:sz w:val="20"/>
                <w:szCs w:val="20"/>
                <w:color w:val="auto"/>
              </w:rPr>
            </w:pPr>
            <w:r>
              <w:rPr>
                <w:rFonts w:ascii="Arial" w:cs="Arial" w:eastAsia="Arial" w:hAnsi="Arial"/>
                <w:sz w:val="16"/>
                <w:szCs w:val="16"/>
                <w:b w:val="1"/>
                <w:bCs w:val="1"/>
                <w:color w:val="FFFFFF"/>
                <w:w w:val="94"/>
              </w:rPr>
              <w:t>For the Fiscal Years Ended</w:t>
            </w:r>
          </w:p>
        </w:tc>
        <w:tc>
          <w:tcPr>
            <w:tcW w:w="60" w:type="dxa"/>
            <w:vAlign w:val="bottom"/>
            <w:shd w:val="clear" w:color="auto" w:fill="BF5B5A"/>
          </w:tcPr>
          <w:p>
            <w:pPr>
              <w:spacing w:after="0"/>
              <w:rPr>
                <w:sz w:val="16"/>
                <w:szCs w:val="16"/>
                <w:color w:val="auto"/>
              </w:rPr>
            </w:pPr>
          </w:p>
        </w:tc>
        <w:tc>
          <w:tcPr>
            <w:tcW w:w="380" w:type="dxa"/>
            <w:vAlign w:val="bottom"/>
            <w:shd w:val="clear" w:color="auto" w:fill="BF5B5A"/>
          </w:tcPr>
          <w:p>
            <w:pPr>
              <w:spacing w:after="0"/>
              <w:rPr>
                <w:sz w:val="16"/>
                <w:szCs w:val="16"/>
                <w:color w:val="auto"/>
              </w:rPr>
            </w:pPr>
          </w:p>
        </w:tc>
        <w:tc>
          <w:tcPr>
            <w:tcW w:w="160" w:type="dxa"/>
            <w:vAlign w:val="bottom"/>
            <w:shd w:val="clear" w:color="auto" w:fill="BF5B5A"/>
          </w:tcPr>
          <w:p>
            <w:pPr>
              <w:spacing w:after="0"/>
              <w:rPr>
                <w:sz w:val="16"/>
                <w:szCs w:val="16"/>
                <w:color w:val="auto"/>
              </w:rPr>
            </w:pPr>
          </w:p>
        </w:tc>
        <w:tc>
          <w:tcPr>
            <w:tcW w:w="22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5480" w:type="dxa"/>
            <w:vAlign w:val="bottom"/>
            <w:gridSpan w:val="2"/>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22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3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BF5B5A"/>
          </w:tcPr>
          <w:p>
            <w:pPr>
              <w:spacing w:after="0"/>
              <w:rPr>
                <w:sz w:val="23"/>
                <w:szCs w:val="23"/>
                <w:color w:val="auto"/>
              </w:rPr>
            </w:pPr>
          </w:p>
        </w:tc>
        <w:tc>
          <w:tcPr>
            <w:tcW w:w="540" w:type="dxa"/>
            <w:vAlign w:val="bottom"/>
            <w:shd w:val="clear" w:color="auto" w:fill="BF5B5A"/>
          </w:tcPr>
          <w:p>
            <w:pPr>
              <w:spacing w:after="0"/>
              <w:rPr>
                <w:sz w:val="23"/>
                <w:szCs w:val="23"/>
                <w:color w:val="auto"/>
              </w:rPr>
            </w:pPr>
          </w:p>
        </w:tc>
        <w:tc>
          <w:tcPr>
            <w:tcW w:w="180" w:type="dxa"/>
            <w:vAlign w:val="bottom"/>
            <w:shd w:val="clear" w:color="auto" w:fill="BF5B5A"/>
          </w:tcPr>
          <w:p>
            <w:pPr>
              <w:spacing w:after="0"/>
              <w:rPr>
                <w:sz w:val="23"/>
                <w:szCs w:val="23"/>
                <w:color w:val="auto"/>
              </w:rPr>
            </w:pPr>
          </w:p>
        </w:tc>
        <w:tc>
          <w:tcPr>
            <w:tcW w:w="1200" w:type="dxa"/>
            <w:vAlign w:val="bottom"/>
            <w:gridSpan w:val="5"/>
            <w:shd w:val="clear" w:color="auto" w:fill="BF5B5A"/>
          </w:tcPr>
          <w:p>
            <w:pPr>
              <w:jc w:val="center"/>
              <w:ind w:right="68"/>
              <w:spacing w:after="0"/>
              <w:rPr>
                <w:sz w:val="20"/>
                <w:szCs w:val="20"/>
                <w:color w:val="auto"/>
              </w:rPr>
            </w:pPr>
            <w:r>
              <w:rPr>
                <w:rFonts w:ascii="Arial" w:cs="Arial" w:eastAsia="Arial" w:hAnsi="Arial"/>
                <w:sz w:val="16"/>
                <w:szCs w:val="16"/>
                <w:b w:val="1"/>
                <w:bCs w:val="1"/>
                <w:color w:val="FFFFFF"/>
                <w:w w:val="94"/>
              </w:rPr>
              <w:t>December 31,</w:t>
            </w:r>
          </w:p>
        </w:tc>
        <w:tc>
          <w:tcPr>
            <w:tcW w:w="280" w:type="dxa"/>
            <w:vAlign w:val="bottom"/>
            <w:shd w:val="clear" w:color="auto" w:fill="BF5B5A"/>
          </w:tcPr>
          <w:p>
            <w:pPr>
              <w:spacing w:after="0"/>
              <w:rPr>
                <w:sz w:val="23"/>
                <w:szCs w:val="23"/>
                <w:color w:val="auto"/>
              </w:rPr>
            </w:pPr>
          </w:p>
        </w:tc>
        <w:tc>
          <w:tcPr>
            <w:tcW w:w="60" w:type="dxa"/>
            <w:vAlign w:val="bottom"/>
            <w:shd w:val="clear" w:color="auto" w:fill="BF5B5A"/>
          </w:tcPr>
          <w:p>
            <w:pPr>
              <w:spacing w:after="0"/>
              <w:rPr>
                <w:sz w:val="23"/>
                <w:szCs w:val="23"/>
                <w:color w:val="auto"/>
              </w:rPr>
            </w:pPr>
          </w:p>
        </w:tc>
        <w:tc>
          <w:tcPr>
            <w:tcW w:w="380" w:type="dxa"/>
            <w:vAlign w:val="bottom"/>
            <w:shd w:val="clear" w:color="auto" w:fill="BF5B5A"/>
          </w:tcPr>
          <w:p>
            <w:pPr>
              <w:spacing w:after="0"/>
              <w:rPr>
                <w:sz w:val="23"/>
                <w:szCs w:val="23"/>
                <w:color w:val="auto"/>
              </w:rPr>
            </w:pPr>
          </w:p>
        </w:tc>
        <w:tc>
          <w:tcPr>
            <w:tcW w:w="160" w:type="dxa"/>
            <w:vAlign w:val="bottom"/>
            <w:shd w:val="clear" w:color="auto" w:fill="BF5B5A"/>
          </w:tcPr>
          <w:p>
            <w:pPr>
              <w:spacing w:after="0"/>
              <w:rPr>
                <w:sz w:val="23"/>
                <w:szCs w:val="23"/>
                <w:color w:val="auto"/>
              </w:rPr>
            </w:pPr>
          </w:p>
        </w:tc>
        <w:tc>
          <w:tcPr>
            <w:tcW w:w="220" w:type="dxa"/>
            <w:vAlign w:val="bottom"/>
            <w:shd w:val="clear" w:color="auto" w:fill="BF5B5A"/>
          </w:tcPr>
          <w:p>
            <w:pPr>
              <w:jc w:val="right"/>
              <w:ind w:right="11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6"/>
                <w:szCs w:val="16"/>
                <w:b w:val="1"/>
                <w:bCs w:val="1"/>
                <w:color w:val="FFFFFF"/>
              </w:rPr>
              <w:t>​​</w:t>
            </w:r>
          </w:p>
        </w:tc>
        <w:tc>
          <w:tcPr>
            <w:tcW w:w="220" w:type="dxa"/>
            <w:vAlign w:val="bottom"/>
          </w:tcPr>
          <w:p>
            <w:pPr>
              <w:ind w:left="120"/>
              <w:spacing w:after="0"/>
              <w:rPr>
                <w:sz w:val="20"/>
                <w:szCs w:val="20"/>
                <w:color w:val="auto"/>
              </w:rPr>
            </w:pPr>
            <w:r>
              <w:rPr>
                <w:rFonts w:ascii="Arial" w:cs="Arial" w:eastAsia="Arial" w:hAnsi="Arial"/>
                <w:sz w:val="16"/>
                <w:szCs w:val="16"/>
                <w:b w:val="1"/>
                <w:bCs w:val="1"/>
                <w:color w:val="FFFFFF"/>
              </w:rPr>
              <w:t>​</w:t>
            </w:r>
          </w:p>
        </w:tc>
        <w:tc>
          <w:tcPr>
            <w:tcW w:w="300" w:type="dxa"/>
            <w:vAlign w:val="bottom"/>
          </w:tcPr>
          <w:p>
            <w:pPr>
              <w:ind w:left="100"/>
              <w:spacing w:after="0"/>
              <w:rPr>
                <w:sz w:val="20"/>
                <w:szCs w:val="20"/>
                <w:color w:val="auto"/>
              </w:rPr>
            </w:pPr>
            <w:r>
              <w:rPr>
                <w:rFonts w:ascii="Arial" w:cs="Arial" w:eastAsia="Arial" w:hAnsi="Arial"/>
                <w:sz w:val="16"/>
                <w:szCs w:val="16"/>
                <w:b w:val="1"/>
                <w:bCs w:val="1"/>
                <w:color w:val="FFFFFF"/>
              </w:rPr>
              <w:t>​</w:t>
            </w:r>
          </w:p>
        </w:tc>
        <w:tc>
          <w:tcPr>
            <w:tcW w:w="80" w:type="dxa"/>
            <w:vAlign w:val="bottom"/>
          </w:tcPr>
          <w:p>
            <w:pPr>
              <w:spacing w:after="0"/>
              <w:rPr>
                <w:sz w:val="21"/>
                <w:szCs w:val="21"/>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b w:val="1"/>
                <w:bCs w:val="1"/>
                <w:color w:val="FFFFFF"/>
                <w:w w:val="95"/>
              </w:rPr>
              <w:t>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320" w:type="dxa"/>
            <w:vAlign w:val="bottom"/>
          </w:tcPr>
          <w:p>
            <w:pPr>
              <w:ind w:left="140"/>
              <w:spacing w:after="0"/>
              <w:rPr>
                <w:sz w:val="20"/>
                <w:szCs w:val="20"/>
                <w:color w:val="auto"/>
              </w:rPr>
            </w:pPr>
            <w:r>
              <w:rPr>
                <w:rFonts w:ascii="Arial" w:cs="Arial" w:eastAsia="Arial" w:hAnsi="Arial"/>
                <w:sz w:val="16"/>
                <w:szCs w:val="16"/>
                <w:b w:val="1"/>
                <w:bCs w:val="1"/>
                <w:color w:val="FFFFFF"/>
              </w:rPr>
              <w:t>​</w:t>
            </w: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FFFFFF"/>
                <w:w w:val="95"/>
              </w:rPr>
              <w:t>2022</w:t>
            </w:r>
          </w:p>
        </w:tc>
        <w:tc>
          <w:tcPr>
            <w:tcW w:w="180" w:type="dxa"/>
            <w:vAlign w:val="bottom"/>
          </w:tcPr>
          <w:p>
            <w:pPr>
              <w:spacing w:after="0"/>
              <w:rPr>
                <w:sz w:val="21"/>
                <w:szCs w:val="21"/>
                <w:color w:val="auto"/>
              </w:rPr>
            </w:pPr>
          </w:p>
        </w:tc>
        <w:tc>
          <w:tcPr>
            <w:tcW w:w="240" w:type="dxa"/>
            <w:vAlign w:val="bottom"/>
          </w:tcPr>
          <w:p>
            <w:pPr>
              <w:jc w:val="right"/>
              <w:ind w:right="28"/>
              <w:spacing w:after="0"/>
              <w:rPr>
                <w:sz w:val="20"/>
                <w:szCs w:val="20"/>
                <w:color w:val="auto"/>
              </w:rPr>
            </w:pPr>
            <w:r>
              <w:rPr>
                <w:rFonts w:ascii="Arial" w:cs="Arial" w:eastAsia="Arial" w:hAnsi="Arial"/>
                <w:sz w:val="16"/>
                <w:szCs w:val="16"/>
                <w:b w:val="1"/>
                <w:bCs w:val="1"/>
                <w:color w:val="FFFFFF"/>
              </w:rPr>
              <w:t>​</w:t>
            </w:r>
          </w:p>
        </w:tc>
        <w:tc>
          <w:tcPr>
            <w:tcW w:w="280" w:type="dxa"/>
            <w:vAlign w:val="bottom"/>
          </w:tcPr>
          <w:p>
            <w:pPr>
              <w:ind w:left="80"/>
              <w:spacing w:after="0"/>
              <w:rPr>
                <w:sz w:val="20"/>
                <w:szCs w:val="20"/>
                <w:color w:val="auto"/>
              </w:rPr>
            </w:pPr>
            <w:r>
              <w:rPr>
                <w:rFonts w:ascii="Arial" w:cs="Arial" w:eastAsia="Arial" w:hAnsi="Arial"/>
                <w:sz w:val="16"/>
                <w:szCs w:val="16"/>
                <w:b w:val="1"/>
                <w:bCs w:val="1"/>
                <w:color w:val="FFFFFF"/>
              </w:rPr>
              <w:t>​</w:t>
            </w:r>
          </w:p>
        </w:tc>
        <w:tc>
          <w:tcPr>
            <w:tcW w:w="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FFFFFF"/>
                <w:w w:val="95"/>
              </w:rPr>
              <w:t>2021</w:t>
            </w: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5560" w:type="dxa"/>
            <w:vAlign w:val="bottom"/>
            <w:gridSpan w:val="3"/>
          </w:tcPr>
          <w:p>
            <w:pPr>
              <w:spacing w:after="0"/>
              <w:rPr>
                <w:sz w:val="20"/>
                <w:szCs w:val="20"/>
                <w:color w:val="auto"/>
              </w:rPr>
            </w:pPr>
            <w:r>
              <w:rPr>
                <w:rFonts w:ascii="Arial" w:cs="Arial" w:eastAsia="Arial" w:hAnsi="Arial"/>
                <w:sz w:val="16"/>
                <w:szCs w:val="16"/>
                <w:b w:val="1"/>
                <w:bCs w:val="1"/>
                <w:color w:val="FFFFFF"/>
              </w:rPr>
              <w:t>​ ​</w:t>
            </w:r>
          </w:p>
        </w:tc>
        <w:tc>
          <w:tcPr>
            <w:tcW w:w="22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3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BF5B5A"/>
          </w:tcPr>
          <w:p>
            <w:pPr>
              <w:spacing w:after="0"/>
              <w:rPr>
                <w:sz w:val="21"/>
                <w:szCs w:val="21"/>
                <w:color w:val="auto"/>
              </w:rPr>
            </w:pPr>
          </w:p>
        </w:tc>
        <w:tc>
          <w:tcPr>
            <w:tcW w:w="540" w:type="dxa"/>
            <w:vAlign w:val="bottom"/>
            <w:shd w:val="clear" w:color="auto" w:fill="BF5B5A"/>
          </w:tcPr>
          <w:p>
            <w:pPr>
              <w:spacing w:after="0"/>
              <w:rPr>
                <w:sz w:val="21"/>
                <w:szCs w:val="21"/>
                <w:color w:val="auto"/>
              </w:rPr>
            </w:pPr>
          </w:p>
        </w:tc>
        <w:tc>
          <w:tcPr>
            <w:tcW w:w="1380" w:type="dxa"/>
            <w:vAlign w:val="bottom"/>
            <w:gridSpan w:val="6"/>
            <w:shd w:val="clear" w:color="auto" w:fill="BF5B5A"/>
          </w:tcPr>
          <w:p>
            <w:pPr>
              <w:jc w:val="center"/>
              <w:ind w:left="2"/>
              <w:spacing w:after="0"/>
              <w:rPr>
                <w:sz w:val="20"/>
                <w:szCs w:val="20"/>
                <w:color w:val="auto"/>
              </w:rPr>
            </w:pPr>
            <w:r>
              <w:rPr>
                <w:rFonts w:ascii="Arial" w:cs="Arial" w:eastAsia="Arial" w:hAnsi="Arial"/>
                <w:sz w:val="16"/>
                <w:szCs w:val="16"/>
                <w:b w:val="1"/>
                <w:bCs w:val="1"/>
                <w:color w:val="FFFFFF"/>
                <w:w w:val="93"/>
              </w:rPr>
              <w:t>($ in thousands)</w:t>
            </w:r>
          </w:p>
        </w:tc>
        <w:tc>
          <w:tcPr>
            <w:tcW w:w="280" w:type="dxa"/>
            <w:vAlign w:val="bottom"/>
            <w:shd w:val="clear" w:color="auto" w:fill="BF5B5A"/>
          </w:tcPr>
          <w:p>
            <w:pPr>
              <w:spacing w:after="0"/>
              <w:rPr>
                <w:sz w:val="21"/>
                <w:szCs w:val="21"/>
                <w:color w:val="auto"/>
              </w:rPr>
            </w:pPr>
          </w:p>
        </w:tc>
        <w:tc>
          <w:tcPr>
            <w:tcW w:w="60" w:type="dxa"/>
            <w:vAlign w:val="bottom"/>
            <w:shd w:val="clear" w:color="auto" w:fill="BF5B5A"/>
          </w:tcPr>
          <w:p>
            <w:pPr>
              <w:spacing w:after="0"/>
              <w:rPr>
                <w:sz w:val="21"/>
                <w:szCs w:val="21"/>
                <w:color w:val="auto"/>
              </w:rPr>
            </w:pPr>
          </w:p>
        </w:tc>
        <w:tc>
          <w:tcPr>
            <w:tcW w:w="380" w:type="dxa"/>
            <w:vAlign w:val="bottom"/>
            <w:shd w:val="clear" w:color="auto" w:fill="BF5B5A"/>
          </w:tcPr>
          <w:p>
            <w:pPr>
              <w:spacing w:after="0"/>
              <w:rPr>
                <w:sz w:val="21"/>
                <w:szCs w:val="21"/>
                <w:color w:val="auto"/>
              </w:rPr>
            </w:pPr>
          </w:p>
        </w:tc>
        <w:tc>
          <w:tcPr>
            <w:tcW w:w="160" w:type="dxa"/>
            <w:vAlign w:val="bottom"/>
            <w:shd w:val="clear" w:color="auto" w:fill="BF5B5A"/>
          </w:tcPr>
          <w:p>
            <w:pPr>
              <w:spacing w:after="0"/>
              <w:rPr>
                <w:sz w:val="21"/>
                <w:szCs w:val="21"/>
                <w:color w:val="auto"/>
              </w:rPr>
            </w:pPr>
          </w:p>
        </w:tc>
        <w:tc>
          <w:tcPr>
            <w:tcW w:w="220" w:type="dxa"/>
            <w:vAlign w:val="bottom"/>
            <w:shd w:val="clear" w:color="auto" w:fill="BF5B5A"/>
          </w:tcPr>
          <w:p>
            <w:pPr>
              <w:jc w:val="right"/>
              <w:ind w:right="11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5560" w:type="dxa"/>
            <w:vAlign w:val="bottom"/>
            <w:tcBorders>
              <w:bottom w:val="single" w:sz="8" w:color="7F7F7F"/>
            </w:tcBorders>
            <w:gridSpan w:val="3"/>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b w:val="1"/>
                <w:bCs w:val="1"/>
                <w:color w:val="auto"/>
              </w:rPr>
              <w:t>Net income</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7F7F7F"/>
            </w:tcBorders>
            <w:gridSpan w:val="4"/>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$234,983</w:t>
            </w:r>
            <w:r>
              <w:rPr>
                <w:rFonts w:ascii="Arial" w:cs="Arial" w:eastAsia="Arial" w:hAnsi="Arial"/>
                <w:sz w:val="29"/>
                <w:szCs w:val="29"/>
                <w:color w:val="auto"/>
                <w:vertAlign w:val="subscript"/>
              </w:rPr>
              <w:t>​ ​</w:t>
            </w:r>
          </w:p>
        </w:tc>
        <w:tc>
          <w:tcPr>
            <w:tcW w:w="1200" w:type="dxa"/>
            <w:vAlign w:val="bottom"/>
            <w:tcBorders>
              <w:bottom w:val="single" w:sz="8" w:color="7F7F7F"/>
            </w:tcBorders>
            <w:gridSpan w:val="5"/>
          </w:tcPr>
          <w:p>
            <w:pPr>
              <w:jc w:val="right"/>
              <w:ind w:right="28"/>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$265,685</w:t>
            </w:r>
            <w:r>
              <w:rPr>
                <w:rFonts w:ascii="Arial" w:cs="Arial" w:eastAsia="Arial" w:hAnsi="Arial"/>
                <w:sz w:val="29"/>
                <w:szCs w:val="29"/>
                <w:color w:val="auto"/>
                <w:vertAlign w:val="subscript"/>
              </w:rPr>
              <w:t>​ ​</w:t>
            </w:r>
          </w:p>
        </w:tc>
        <w:tc>
          <w:tcPr>
            <w:tcW w:w="1100" w:type="dxa"/>
            <w:vAlign w:val="bottom"/>
            <w:tcBorders>
              <w:bottom w:val="single" w:sz="8" w:color="7F7F7F"/>
            </w:tcBorders>
            <w:gridSpan w:val="5"/>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$265,735</w:t>
            </w:r>
            <w:r>
              <w:rPr>
                <w:rFonts w:ascii="Arial" w:cs="Arial" w:eastAsia="Arial" w:hAnsi="Arial"/>
                <w:sz w:val="29"/>
                <w:szCs w:val="29"/>
                <w:color w:val="auto"/>
                <w:vertAlign w:val="subscript"/>
              </w:rPr>
              <w:t>​ ​</w:t>
            </w:r>
          </w:p>
        </w:tc>
        <w:tc>
          <w:tcPr>
            <w:tcW w:w="0" w:type="dxa"/>
            <w:vAlign w:val="bottom"/>
          </w:tcPr>
          <w:p>
            <w:pPr>
              <w:spacing w:after="0"/>
              <w:rPr>
                <w:sz w:val="1"/>
                <w:szCs w:val="1"/>
                <w:color w:val="auto"/>
              </w:rPr>
            </w:pPr>
          </w:p>
        </w:tc>
      </w:tr>
      <w:tr>
        <w:trPr>
          <w:trHeight w:val="183"/>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460" w:type="dxa"/>
            <w:vAlign w:val="bottom"/>
          </w:tcPr>
          <w:p>
            <w:pPr>
              <w:spacing w:after="0" w:line="183" w:lineRule="exact"/>
              <w:rPr>
                <w:sz w:val="20"/>
                <w:szCs w:val="20"/>
                <w:color w:val="auto"/>
              </w:rPr>
            </w:pPr>
            <w:r>
              <w:rPr>
                <w:rFonts w:ascii="Arial" w:cs="Arial" w:eastAsia="Arial" w:hAnsi="Arial"/>
                <w:sz w:val="16"/>
                <w:szCs w:val="16"/>
                <w:color w:val="auto"/>
              </w:rPr>
              <w:t>Gain on sale of Visa Class B stock</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800" w:type="dxa"/>
            <w:vAlign w:val="bottom"/>
            <w:gridSpan w:val="3"/>
          </w:tcPr>
          <w:p>
            <w:pPr>
              <w:jc w:val="right"/>
              <w:ind w:right="62"/>
              <w:spacing w:after="0" w:line="183" w:lineRule="exact"/>
              <w:rPr>
                <w:sz w:val="20"/>
                <w:szCs w:val="20"/>
                <w:color w:val="auto"/>
              </w:rPr>
            </w:pPr>
            <w:r>
              <w:rPr>
                <w:rFonts w:ascii="Arial" w:cs="Arial" w:eastAsia="Arial" w:hAnsi="Arial"/>
                <w:sz w:val="16"/>
                <w:szCs w:val="16"/>
                <w:color w:val="auto"/>
              </w:rPr>
              <w:t>​(40,778)</w:t>
            </w: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vMerge w:val="restart"/>
          </w:tcPr>
          <w:p>
            <w:pPr>
              <w:jc w:val="right"/>
              <w:ind w:right="28"/>
              <w:spacing w:after="0"/>
              <w:rPr>
                <w:sz w:val="20"/>
                <w:szCs w:val="20"/>
                <w:color w:val="auto"/>
              </w:rPr>
            </w:pPr>
            <w:r>
              <w:rPr>
                <w:rFonts w:ascii="Arial" w:cs="Arial" w:eastAsia="Arial" w:hAnsi="Arial"/>
                <w:sz w:val="16"/>
                <w:szCs w:val="16"/>
                <w:color w:val="auto"/>
              </w:rPr>
              <w:t>​ ​</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7"/>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4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32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40" w:type="dxa"/>
            <w:vAlign w:val="bottom"/>
            <w:tcBorders>
              <w:bottom w:val="single" w:sz="8" w:color="7F7F7F"/>
            </w:tcBorders>
            <w:vMerge w:val="continue"/>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460" w:type="dxa"/>
            <w:vAlign w:val="bottom"/>
          </w:tcPr>
          <w:p>
            <w:pPr>
              <w:spacing w:after="0" w:line="183" w:lineRule="exact"/>
              <w:rPr>
                <w:sz w:val="20"/>
                <w:szCs w:val="20"/>
                <w:color w:val="auto"/>
              </w:rPr>
            </w:pPr>
            <w:r>
              <w:rPr>
                <w:rFonts w:ascii="Arial" w:cs="Arial" w:eastAsia="Arial" w:hAnsi="Arial"/>
                <w:sz w:val="16"/>
                <w:szCs w:val="16"/>
                <w:color w:val="auto"/>
              </w:rPr>
              <w:t>Losses (gains) on sale of securities</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39,986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vMerge w:val="restart"/>
          </w:tcPr>
          <w:p>
            <w:pPr>
              <w:jc w:val="right"/>
              <w:ind w:right="28"/>
              <w:spacing w:after="0"/>
              <w:rPr>
                <w:sz w:val="20"/>
                <w:szCs w:val="20"/>
                <w:color w:val="auto"/>
              </w:rPr>
            </w:pPr>
            <w:r>
              <w:rPr>
                <w:rFonts w:ascii="Arial" w:cs="Arial" w:eastAsia="Arial" w:hAnsi="Arial"/>
                <w:sz w:val="16"/>
                <w:szCs w:val="16"/>
                <w:color w:val="auto"/>
              </w:rPr>
              <w:t>​ ​</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92"/>
              <w:spacing w:after="0" w:line="18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4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vMerge w:val="continue"/>
          </w:tcPr>
          <w:p>
            <w:pPr>
              <w:spacing w:after="0"/>
              <w:rPr>
                <w:sz w:val="5"/>
                <w:szCs w:val="5"/>
                <w:color w:val="auto"/>
              </w:rPr>
            </w:pPr>
          </w:p>
        </w:tc>
        <w:tc>
          <w:tcPr>
            <w:tcW w:w="32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40" w:type="dxa"/>
            <w:vAlign w:val="bottom"/>
            <w:tcBorders>
              <w:bottom w:val="single" w:sz="8" w:color="7F7F7F"/>
            </w:tcBorders>
            <w:vMerge w:val="continue"/>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183"/>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460" w:type="dxa"/>
            <w:vAlign w:val="bottom"/>
          </w:tcPr>
          <w:p>
            <w:pPr>
              <w:spacing w:after="0" w:line="183" w:lineRule="exact"/>
              <w:rPr>
                <w:sz w:val="20"/>
                <w:szCs w:val="20"/>
                <w:color w:val="auto"/>
              </w:rPr>
            </w:pPr>
            <w:r>
              <w:rPr>
                <w:rFonts w:ascii="Arial" w:cs="Arial" w:eastAsia="Arial" w:hAnsi="Arial"/>
                <w:sz w:val="16"/>
                <w:szCs w:val="16"/>
                <w:color w:val="auto"/>
              </w:rPr>
              <w:t>Gain on the sale of a branch property</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8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2"/>
              <w:spacing w:after="0" w:line="183" w:lineRule="exact"/>
              <w:rPr>
                <w:sz w:val="20"/>
                <w:szCs w:val="20"/>
                <w:color w:val="auto"/>
              </w:rPr>
            </w:pPr>
            <w:r>
              <w:rPr>
                <w:rFonts w:ascii="Arial" w:cs="Arial" w:eastAsia="Arial" w:hAnsi="Arial"/>
                <w:sz w:val="16"/>
                <w:szCs w:val="16"/>
                <w:color w:val="auto"/>
              </w:rPr>
              <w:t>(7,870)</w:t>
            </w: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00" w:type="dxa"/>
            <w:vAlign w:val="bottom"/>
          </w:tcPr>
          <w:p>
            <w:pPr>
              <w:ind w:left="40"/>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99"/>
              </w:rPr>
              <w:t>—</w:t>
            </w:r>
          </w:p>
        </w:tc>
        <w:tc>
          <w:tcPr>
            <w:tcW w:w="240" w:type="dxa"/>
            <w:vAlign w:val="bottom"/>
            <w:vMerge w:val="restart"/>
          </w:tcPr>
          <w:p>
            <w:pPr>
              <w:jc w:val="right"/>
              <w:ind w:right="28"/>
              <w:spacing w:after="0"/>
              <w:rPr>
                <w:sz w:val="20"/>
                <w:szCs w:val="20"/>
                <w:color w:val="auto"/>
              </w:rPr>
            </w:pPr>
            <w:r>
              <w:rPr>
                <w:rFonts w:ascii="Arial" w:cs="Arial" w:eastAsia="Arial" w:hAnsi="Arial"/>
                <w:sz w:val="16"/>
                <w:szCs w:val="16"/>
                <w:color w:val="auto"/>
              </w:rPr>
              <w:t>​ ​</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7"/>
              </w:rPr>
              <w:t>—</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4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32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40" w:type="dxa"/>
            <w:vAlign w:val="bottom"/>
            <w:tcBorders>
              <w:bottom w:val="single" w:sz="8" w:color="7F7F7F"/>
            </w:tcBorders>
            <w:vMerge w:val="continue"/>
          </w:tcPr>
          <w:p>
            <w:pPr>
              <w:spacing w:after="0"/>
              <w:rPr>
                <w:sz w:val="5"/>
                <w:szCs w:val="5"/>
                <w:color w:val="auto"/>
              </w:rPr>
            </w:pPr>
          </w:p>
        </w:tc>
        <w:tc>
          <w:tcPr>
            <w:tcW w:w="280" w:type="dxa"/>
            <w:vAlign w:val="bottom"/>
            <w:tcBorders>
              <w:bottom w:val="single" w:sz="8" w:color="7F7F7F"/>
            </w:tcBorders>
            <w:vMerge w:val="continue"/>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560" w:type="dxa"/>
            <w:vAlign w:val="bottom"/>
            <w:tcBorders>
              <w:bottom w:val="single" w:sz="8" w:color="7F7F7F"/>
            </w:tcBorders>
            <w:gridSpan w:val="3"/>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Costs associated with the sale of stock (Visa)</w:t>
            </w:r>
            <w:r>
              <w:rPr>
                <w:rFonts w:ascii="Arial" w:cs="Arial" w:eastAsia="Arial" w:hAnsi="Arial"/>
                <w:sz w:val="19"/>
                <w:szCs w:val="19"/>
                <w:color w:val="auto"/>
                <w:vertAlign w:val="superscript"/>
              </w:rPr>
              <w:t>(1)</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gridSpan w:val="2"/>
          </w:tcPr>
          <w:p>
            <w:pPr>
              <w:ind w:left="10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720" w:type="dxa"/>
            <w:vAlign w:val="bottom"/>
            <w:tcBorders>
              <w:bottom w:val="single" w:sz="8" w:color="7F7F7F"/>
            </w:tcBorders>
            <w:gridSpan w:val="2"/>
          </w:tcPr>
          <w:p>
            <w:pPr>
              <w:jc w:val="right"/>
              <w:spacing w:after="0" w:line="290" w:lineRule="exact"/>
              <w:rPr>
                <w:sz w:val="20"/>
                <w:szCs w:val="20"/>
                <w:color w:val="auto"/>
              </w:rPr>
            </w:pPr>
            <w:r>
              <w:rPr>
                <w:rFonts w:ascii="Arial" w:cs="Arial" w:eastAsia="Arial" w:hAnsi="Arial"/>
                <w:sz w:val="16"/>
                <w:szCs w:val="16"/>
                <w:color w:val="auto"/>
              </w:rPr>
              <w:t>3,026</w:t>
            </w:r>
            <w:r>
              <w:rPr>
                <w:rFonts w:ascii="Arial" w:cs="Arial" w:eastAsia="Arial" w:hAnsi="Arial"/>
                <w:sz w:val="32"/>
                <w:szCs w:val="32"/>
                <w:color w:val="auto"/>
                <w:vertAlign w:val="subscript"/>
              </w:rPr>
              <w:t>​ ​</w:t>
            </w:r>
          </w:p>
        </w:tc>
        <w:tc>
          <w:tcPr>
            <w:tcW w:w="420" w:type="dxa"/>
            <w:vAlign w:val="bottom"/>
            <w:tcBorders>
              <w:bottom w:val="single" w:sz="8" w:color="7F7F7F"/>
            </w:tcBorders>
            <w:gridSpan w:val="2"/>
          </w:tcPr>
          <w:p>
            <w:pPr>
              <w:ind w:left="14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780" w:type="dxa"/>
            <w:vAlign w:val="bottom"/>
            <w:tcBorders>
              <w:bottom w:val="single" w:sz="8" w:color="7F7F7F"/>
            </w:tcBorders>
            <w:gridSpan w:val="3"/>
          </w:tcPr>
          <w:p>
            <w:pPr>
              <w:jc w:val="right"/>
              <w:ind w:right="28"/>
              <w:spacing w:after="0" w:line="290" w:lineRule="exact"/>
              <w:rPr>
                <w:sz w:val="20"/>
                <w:szCs w:val="20"/>
                <w:color w:val="auto"/>
              </w:rPr>
            </w:pPr>
            <w:r>
              <w:rPr>
                <w:rFonts w:ascii="Arial" w:cs="Arial" w:eastAsia="Arial" w:hAnsi="Arial"/>
                <w:sz w:val="16"/>
                <w:szCs w:val="16"/>
                <w:color w:val="auto"/>
              </w:rPr>
              <w:t>1,784</w:t>
            </w:r>
            <w:r>
              <w:rPr>
                <w:rFonts w:ascii="Arial" w:cs="Arial" w:eastAsia="Arial" w:hAnsi="Arial"/>
                <w:sz w:val="32"/>
                <w:szCs w:val="32"/>
                <w:color w:val="auto"/>
                <w:vertAlign w:val="subscript"/>
              </w:rPr>
              <w:t>​ ​</w:t>
            </w:r>
          </w:p>
        </w:tc>
        <w:tc>
          <w:tcPr>
            <w:tcW w:w="340" w:type="dxa"/>
            <w:vAlign w:val="bottom"/>
            <w:tcBorders>
              <w:bottom w:val="single" w:sz="8" w:color="7F7F7F"/>
            </w:tcBorders>
            <w:gridSpan w:val="2"/>
          </w:tcPr>
          <w:p>
            <w:pPr>
              <w:ind w:left="8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760" w:type="dxa"/>
            <w:vAlign w:val="bottom"/>
            <w:tcBorders>
              <w:bottom w:val="single" w:sz="8" w:color="7F7F7F"/>
            </w:tcBorders>
            <w:gridSpan w:val="3"/>
          </w:tcPr>
          <w:p>
            <w:pPr>
              <w:jc w:val="right"/>
              <w:spacing w:after="0" w:line="290" w:lineRule="exact"/>
              <w:rPr>
                <w:sz w:val="20"/>
                <w:szCs w:val="20"/>
                <w:color w:val="auto"/>
              </w:rPr>
            </w:pPr>
            <w:r>
              <w:rPr>
                <w:rFonts w:ascii="Arial" w:cs="Arial" w:eastAsia="Arial" w:hAnsi="Arial"/>
                <w:sz w:val="16"/>
                <w:szCs w:val="16"/>
                <w:color w:val="auto"/>
              </w:rPr>
              <w:t>6,014</w:t>
            </w:r>
            <w:r>
              <w:rPr>
                <w:rFonts w:ascii="Arial" w:cs="Arial" w:eastAsia="Arial" w:hAnsi="Arial"/>
                <w:sz w:val="32"/>
                <w:szCs w:val="32"/>
                <w:color w:val="auto"/>
                <w:vertAlign w:val="subscript"/>
              </w:rPr>
              <w:t>​ ​</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FDIC special assessment</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gridSpan w:val="2"/>
          </w:tcPr>
          <w:p>
            <w:pPr>
              <w:ind w:left="10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2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16,326</w:t>
            </w:r>
            <w:r>
              <w:rPr>
                <w:rFonts w:ascii="Arial" w:cs="Arial" w:eastAsia="Arial" w:hAnsi="Arial"/>
                <w:sz w:val="28"/>
                <w:szCs w:val="28"/>
                <w:color w:val="auto"/>
                <w:vertAlign w:val="subscript"/>
              </w:rPr>
              <w:t>​ ​</w:t>
            </w:r>
          </w:p>
        </w:tc>
        <w:tc>
          <w:tcPr>
            <w:tcW w:w="420" w:type="dxa"/>
            <w:vAlign w:val="bottom"/>
            <w:tcBorders>
              <w:bottom w:val="single" w:sz="8" w:color="7F7F7F"/>
            </w:tcBorders>
            <w:gridSpan w:val="2"/>
          </w:tcPr>
          <w:p>
            <w:pPr>
              <w:ind w:left="14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36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gridSpan w:val="2"/>
          </w:tcPr>
          <w:p>
            <w:pPr>
              <w:jc w:val="right"/>
              <w:ind w:right="28"/>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340" w:type="dxa"/>
            <w:vAlign w:val="bottom"/>
            <w:tcBorders>
              <w:bottom w:val="single" w:sz="8" w:color="7F7F7F"/>
            </w:tcBorders>
            <w:gridSpan w:val="2"/>
          </w:tcPr>
          <w:p>
            <w:pPr>
              <w:ind w:left="8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380" w:type="dxa"/>
            <w:vAlign w:val="bottom"/>
            <w:tcBorders>
              <w:bottom w:val="single" w:sz="8" w:color="7F7F7F"/>
            </w:tcBorders>
          </w:tcPr>
          <w:p>
            <w:pPr>
              <w:spacing w:after="0"/>
              <w:rPr>
                <w:sz w:val="21"/>
                <w:szCs w:val="21"/>
                <w:color w:val="auto"/>
              </w:rPr>
            </w:pPr>
          </w:p>
        </w:tc>
        <w:tc>
          <w:tcPr>
            <w:tcW w:w="38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90"/>
        </w:trPr>
        <w:tc>
          <w:tcPr>
            <w:tcW w:w="5560" w:type="dxa"/>
            <w:vAlign w:val="bottom"/>
            <w:tcBorders>
              <w:bottom w:val="single" w:sz="8" w:color="7F7F7F"/>
            </w:tcBorders>
            <w:gridSpan w:val="3"/>
          </w:tcPr>
          <w:p>
            <w:pPr>
              <w:ind w:left="40"/>
              <w:spacing w:after="0" w:line="29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One-time noninterest expense items</w:t>
            </w:r>
            <w:r>
              <w:rPr>
                <w:rFonts w:ascii="Arial" w:cs="Arial" w:eastAsia="Arial" w:hAnsi="Arial"/>
                <w:sz w:val="19"/>
                <w:szCs w:val="19"/>
                <w:color w:val="auto"/>
                <w:vertAlign w:val="superscript"/>
              </w:rPr>
              <w:t>(2)</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gridSpan w:val="2"/>
          </w:tcPr>
          <w:p>
            <w:pPr>
              <w:ind w:left="10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720" w:type="dxa"/>
            <w:vAlign w:val="bottom"/>
            <w:tcBorders>
              <w:bottom w:val="single" w:sz="8" w:color="7F7F7F"/>
            </w:tcBorders>
            <w:gridSpan w:val="2"/>
          </w:tcPr>
          <w:p>
            <w:pPr>
              <w:jc w:val="right"/>
              <w:spacing w:after="0" w:line="290" w:lineRule="exact"/>
              <w:rPr>
                <w:sz w:val="20"/>
                <w:szCs w:val="20"/>
                <w:color w:val="auto"/>
              </w:rPr>
            </w:pPr>
            <w:r>
              <w:rPr>
                <w:rFonts w:ascii="Arial" w:cs="Arial" w:eastAsia="Arial" w:hAnsi="Arial"/>
                <w:sz w:val="16"/>
                <w:szCs w:val="16"/>
                <w:color w:val="auto"/>
              </w:rPr>
              <w:t>7,817</w:t>
            </w:r>
            <w:r>
              <w:rPr>
                <w:rFonts w:ascii="Arial" w:cs="Arial" w:eastAsia="Arial" w:hAnsi="Arial"/>
                <w:sz w:val="32"/>
                <w:szCs w:val="32"/>
                <w:color w:val="auto"/>
                <w:vertAlign w:val="subscript"/>
              </w:rPr>
              <w:t>​ ​</w:t>
            </w:r>
          </w:p>
        </w:tc>
        <w:tc>
          <w:tcPr>
            <w:tcW w:w="420" w:type="dxa"/>
            <w:vAlign w:val="bottom"/>
            <w:tcBorders>
              <w:bottom w:val="single" w:sz="8" w:color="7F7F7F"/>
            </w:tcBorders>
            <w:gridSpan w:val="2"/>
          </w:tcPr>
          <w:p>
            <w:pPr>
              <w:ind w:left="140"/>
              <w:spacing w:after="0" w:line="290"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perscript"/>
              </w:rPr>
              <w:t>​</w:t>
            </w:r>
          </w:p>
        </w:tc>
        <w:tc>
          <w:tcPr>
            <w:tcW w:w="780" w:type="dxa"/>
            <w:vAlign w:val="bottom"/>
            <w:tcBorders>
              <w:bottom w:val="single" w:sz="8" w:color="7F7F7F"/>
            </w:tcBorders>
            <w:gridSpan w:val="3"/>
          </w:tcPr>
          <w:p>
            <w:pPr>
              <w:jc w:val="right"/>
              <w:ind w:right="28"/>
              <w:spacing w:after="0" w:line="290" w:lineRule="exact"/>
              <w:rPr>
                <w:sz w:val="20"/>
                <w:szCs w:val="20"/>
                <w:color w:val="auto"/>
              </w:rPr>
            </w:pPr>
            <w:r>
              <w:rPr>
                <w:rFonts w:ascii="Arial" w:cs="Arial" w:eastAsia="Arial" w:hAnsi="Arial"/>
                <w:sz w:val="16"/>
                <w:szCs w:val="16"/>
                <w:color w:val="auto"/>
              </w:rPr>
              <w:t>967</w:t>
            </w:r>
            <w:r>
              <w:rPr>
                <w:rFonts w:ascii="Arial" w:cs="Arial" w:eastAsia="Arial" w:hAnsi="Arial"/>
                <w:sz w:val="32"/>
                <w:szCs w:val="32"/>
                <w:color w:val="auto"/>
                <w:vertAlign w:val="subscript"/>
              </w:rPr>
              <w:t>​ ​</w:t>
            </w:r>
          </w:p>
        </w:tc>
        <w:tc>
          <w:tcPr>
            <w:tcW w:w="1100" w:type="dxa"/>
            <w:vAlign w:val="bottom"/>
            <w:tcBorders>
              <w:bottom w:val="single" w:sz="8" w:color="7F7F7F"/>
            </w:tcBorders>
            <w:gridSpan w:val="5"/>
          </w:tcPr>
          <w:p>
            <w:pPr>
              <w:jc w:val="right"/>
              <w:spacing w:after="0" w:line="290"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 xml:space="preserve"> ​ 12,234</w:t>
            </w:r>
            <w:r>
              <w:rPr>
                <w:rFonts w:ascii="Arial" w:cs="Arial" w:eastAsia="Arial" w:hAnsi="Arial"/>
                <w:sz w:val="32"/>
                <w:szCs w:val="32"/>
                <w:color w:val="auto"/>
                <w:vertAlign w:val="subscript"/>
              </w:rPr>
              <w:t>​ ​</w:t>
            </w:r>
          </w:p>
        </w:tc>
        <w:tc>
          <w:tcPr>
            <w:tcW w:w="0" w:type="dxa"/>
            <w:vAlign w:val="bottom"/>
          </w:tcPr>
          <w:p>
            <w:pPr>
              <w:spacing w:after="0"/>
              <w:rPr>
                <w:sz w:val="1"/>
                <w:szCs w:val="1"/>
                <w:color w:val="auto"/>
              </w:rPr>
            </w:pPr>
          </w:p>
        </w:tc>
      </w:tr>
      <w:tr>
        <w:trPr>
          <w:trHeight w:val="223"/>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460" w:type="dxa"/>
            <w:vAlign w:val="bottom"/>
          </w:tcPr>
          <w:p>
            <w:pPr>
              <w:spacing w:after="0"/>
              <w:rPr>
                <w:sz w:val="20"/>
                <w:szCs w:val="20"/>
                <w:color w:val="auto"/>
              </w:rPr>
            </w:pPr>
            <w:r>
              <w:rPr>
                <w:rFonts w:ascii="Arial" w:cs="Arial" w:eastAsia="Arial" w:hAnsi="Arial"/>
                <w:sz w:val="16"/>
                <w:szCs w:val="16"/>
                <w:color w:val="auto"/>
              </w:rPr>
              <w:t>Tax adjustments</w:t>
            </w:r>
            <w:r>
              <w:rPr>
                <w:rFonts w:ascii="Arial" w:cs="Arial" w:eastAsia="Arial" w:hAnsi="Arial"/>
                <w:sz w:val="19"/>
                <w:szCs w:val="19"/>
                <w:color w:val="auto"/>
                <w:vertAlign w:val="superscript"/>
              </w:rPr>
              <w:t>(3)</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00"/>
              <w:spacing w:after="0"/>
              <w:rPr>
                <w:sz w:val="20"/>
                <w:szCs w:val="20"/>
                <w:color w:val="auto"/>
              </w:rPr>
            </w:pPr>
            <w:r>
              <w:rPr>
                <w:rFonts w:ascii="Arial" w:cs="Arial" w:eastAsia="Arial" w:hAnsi="Arial"/>
                <w:sz w:val="16"/>
                <w:szCs w:val="16"/>
                <w:color w:val="auto"/>
              </w:rPr>
              <w:t>​ ​</w:t>
            </w:r>
          </w:p>
        </w:tc>
        <w:tc>
          <w:tcPr>
            <w:tcW w:w="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2"/>
              <w:spacing w:after="0"/>
              <w:rPr>
                <w:sz w:val="20"/>
                <w:szCs w:val="20"/>
                <w:color w:val="auto"/>
              </w:rPr>
            </w:pPr>
            <w:r>
              <w:rPr>
                <w:rFonts w:ascii="Arial" w:cs="Arial" w:eastAsia="Arial" w:hAnsi="Arial"/>
                <w:sz w:val="16"/>
                <w:szCs w:val="16"/>
                <w:color w:val="auto"/>
              </w:rPr>
              <w:t>(4,636)</w:t>
            </w:r>
          </w:p>
        </w:tc>
        <w:tc>
          <w:tcPr>
            <w:tcW w:w="320" w:type="dxa"/>
            <w:vAlign w:val="bottom"/>
            <w:vMerge w:val="restart"/>
          </w:tcPr>
          <w:p>
            <w:pPr>
              <w:ind w:left="140"/>
              <w:spacing w:after="0"/>
              <w:rPr>
                <w:sz w:val="20"/>
                <w:szCs w:val="20"/>
                <w:color w:val="auto"/>
              </w:rPr>
            </w:pPr>
            <w:r>
              <w:rPr>
                <w:rFonts w:ascii="Arial" w:cs="Arial" w:eastAsia="Arial" w:hAnsi="Arial"/>
                <w:sz w:val="16"/>
                <w:szCs w:val="16"/>
                <w:color w:val="auto"/>
              </w:rPr>
              <w:t>​ ​</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128"/>
              <w:spacing w:after="0"/>
              <w:rPr>
                <w:sz w:val="20"/>
                <w:szCs w:val="20"/>
                <w:color w:val="auto"/>
              </w:rPr>
            </w:pPr>
            <w:r>
              <w:rPr>
                <w:rFonts w:ascii="Arial" w:cs="Arial" w:eastAsia="Arial" w:hAnsi="Arial"/>
                <w:sz w:val="16"/>
                <w:szCs w:val="16"/>
                <w:color w:val="auto"/>
              </w:rPr>
              <w:t>(734)</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92"/>
              <w:spacing w:after="0"/>
              <w:rPr>
                <w:sz w:val="20"/>
                <w:szCs w:val="20"/>
                <w:color w:val="auto"/>
              </w:rPr>
            </w:pPr>
            <w:r>
              <w:rPr>
                <w:rFonts w:ascii="Arial" w:cs="Arial" w:eastAsia="Arial" w:hAnsi="Arial"/>
                <w:sz w:val="16"/>
                <w:szCs w:val="16"/>
                <w:color w:val="auto"/>
              </w:rPr>
              <w:t>(4,652)</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4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vMerge w:val="continue"/>
          </w:tcPr>
          <w:p>
            <w:pPr>
              <w:spacing w:after="0"/>
              <w:rPr>
                <w:sz w:val="5"/>
                <w:szCs w:val="5"/>
                <w:color w:val="auto"/>
              </w:rPr>
            </w:pP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32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spacing w:after="0"/>
              <w:rPr>
                <w:sz w:val="5"/>
                <w:szCs w:val="5"/>
                <w:color w:val="auto"/>
              </w:rPr>
            </w:pPr>
          </w:p>
        </w:tc>
        <w:tc>
          <w:tcPr>
            <w:tcW w:w="180" w:type="dxa"/>
            <w:vAlign w:val="bottom"/>
            <w:tcBorders>
              <w:bottom w:val="single" w:sz="8" w:color="7F7F7F"/>
            </w:tcBorders>
          </w:tcPr>
          <w:p>
            <w:pPr>
              <w:spacing w:after="0"/>
              <w:rPr>
                <w:sz w:val="5"/>
                <w:szCs w:val="5"/>
                <w:color w:val="auto"/>
              </w:rPr>
            </w:pPr>
          </w:p>
        </w:tc>
        <w:tc>
          <w:tcPr>
            <w:tcW w:w="240" w:type="dxa"/>
            <w:vAlign w:val="bottom"/>
            <w:tcBorders>
              <w:bottom w:val="single" w:sz="8" w:color="7F7F7F"/>
            </w:tcBorders>
          </w:tcPr>
          <w:p>
            <w:pPr>
              <w:jc w:val="right"/>
              <w:ind w:right="28"/>
              <w:spacing w:after="0" w:line="68" w:lineRule="exact"/>
              <w:rPr>
                <w:sz w:val="20"/>
                <w:szCs w:val="20"/>
                <w:color w:val="auto"/>
              </w:rPr>
            </w:pPr>
            <w:r>
              <w:rPr>
                <w:rFonts w:ascii="Arial" w:cs="Arial" w:eastAsia="Arial" w:hAnsi="Arial"/>
                <w:sz w:val="7"/>
                <w:szCs w:val="7"/>
                <w:color w:val="auto"/>
              </w:rPr>
              <w:t>​ ​</w:t>
            </w:r>
          </w:p>
        </w:tc>
        <w:tc>
          <w:tcPr>
            <w:tcW w:w="280" w:type="dxa"/>
            <w:vAlign w:val="bottom"/>
            <w:tcBorders>
              <w:bottom w:val="single" w:sz="8" w:color="7F7F7F"/>
            </w:tcBorders>
            <w:vMerge w:val="continue"/>
          </w:tcPr>
          <w:p>
            <w:pPr>
              <w:spacing w:after="0"/>
              <w:rPr>
                <w:sz w:val="5"/>
                <w:szCs w:val="5"/>
                <w:color w:val="auto"/>
              </w:rPr>
            </w:pPr>
          </w:p>
        </w:tc>
        <w:tc>
          <w:tcPr>
            <w:tcW w:w="60" w:type="dxa"/>
            <w:vAlign w:val="bottom"/>
            <w:tcBorders>
              <w:bottom w:val="single" w:sz="8" w:color="7F7F7F"/>
            </w:tcBorders>
          </w:tcPr>
          <w:p>
            <w:pPr>
              <w:spacing w:after="0"/>
              <w:rPr>
                <w:sz w:val="5"/>
                <w:szCs w:val="5"/>
                <w:color w:val="auto"/>
              </w:rPr>
            </w:pPr>
          </w:p>
        </w:tc>
        <w:tc>
          <w:tcPr>
            <w:tcW w:w="38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22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Total core adjustments</w:t>
            </w:r>
          </w:p>
        </w:tc>
        <w:tc>
          <w:tcPr>
            <w:tcW w:w="220" w:type="dxa"/>
            <w:vAlign w:val="bottom"/>
            <w:tcBorders>
              <w:bottom w:val="single" w:sz="8" w:color="7F7F7F"/>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7F7F7F"/>
            </w:tcBorders>
            <w:gridSpan w:val="2"/>
          </w:tcPr>
          <w:p>
            <w:pPr>
              <w:ind w:left="10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2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13,871</w:t>
            </w:r>
            <w:r>
              <w:rPr>
                <w:rFonts w:ascii="Arial" w:cs="Arial" w:eastAsia="Arial" w:hAnsi="Arial"/>
                <w:sz w:val="28"/>
                <w:szCs w:val="28"/>
                <w:color w:val="auto"/>
                <w:vertAlign w:val="subscript"/>
              </w:rPr>
              <w:t>​ ​</w:t>
            </w:r>
          </w:p>
        </w:tc>
        <w:tc>
          <w:tcPr>
            <w:tcW w:w="420" w:type="dxa"/>
            <w:vAlign w:val="bottom"/>
            <w:tcBorders>
              <w:bottom w:val="single" w:sz="8" w:color="7F7F7F"/>
            </w:tcBorders>
            <w:gridSpan w:val="2"/>
          </w:tcPr>
          <w:p>
            <w:pPr>
              <w:ind w:left="14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780" w:type="dxa"/>
            <w:vAlign w:val="bottom"/>
            <w:tcBorders>
              <w:bottom w:val="single" w:sz="8" w:color="7F7F7F"/>
            </w:tcBorders>
            <w:gridSpan w:val="3"/>
          </w:tcPr>
          <w:p>
            <w:pPr>
              <w:jc w:val="right"/>
              <w:ind w:right="28"/>
              <w:spacing w:after="0" w:line="250" w:lineRule="exact"/>
              <w:rPr>
                <w:sz w:val="20"/>
                <w:szCs w:val="20"/>
                <w:color w:val="auto"/>
              </w:rPr>
            </w:pPr>
            <w:r>
              <w:rPr>
                <w:rFonts w:ascii="Arial" w:cs="Arial" w:eastAsia="Arial" w:hAnsi="Arial"/>
                <w:sz w:val="15"/>
                <w:szCs w:val="15"/>
                <w:color w:val="auto"/>
              </w:rPr>
              <w:t>2,017</w:t>
            </w:r>
            <w:r>
              <w:rPr>
                <w:rFonts w:ascii="Arial" w:cs="Arial" w:eastAsia="Arial" w:hAnsi="Arial"/>
                <w:sz w:val="28"/>
                <w:szCs w:val="28"/>
                <w:color w:val="auto"/>
                <w:vertAlign w:val="subscript"/>
              </w:rPr>
              <w:t>​ ​</w:t>
            </w:r>
          </w:p>
        </w:tc>
        <w:tc>
          <w:tcPr>
            <w:tcW w:w="1100" w:type="dxa"/>
            <w:vAlign w:val="bottom"/>
            <w:tcBorders>
              <w:bottom w:val="single" w:sz="8" w:color="7F7F7F"/>
            </w:tcBorders>
            <w:gridSpan w:val="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 13,494</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BF5B5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Core net income</w:t>
            </w:r>
          </w:p>
        </w:tc>
        <w:tc>
          <w:tcPr>
            <w:tcW w:w="220" w:type="dxa"/>
            <w:vAlign w:val="bottom"/>
            <w:tcBorders>
              <w:bottom w:val="single" w:sz="8" w:color="BF5B5A"/>
            </w:tcBorders>
          </w:tcPr>
          <w:p>
            <w:pPr>
              <w:ind w:lef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F5B5A"/>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$248,854</w:t>
            </w:r>
            <w:r>
              <w:rPr>
                <w:rFonts w:ascii="Arial" w:cs="Arial" w:eastAsia="Arial" w:hAnsi="Arial"/>
                <w:sz w:val="28"/>
                <w:szCs w:val="28"/>
                <w:color w:val="auto"/>
                <w:vertAlign w:val="subscript"/>
              </w:rPr>
              <w:t>​ ​</w:t>
            </w:r>
          </w:p>
        </w:tc>
        <w:tc>
          <w:tcPr>
            <w:tcW w:w="1200" w:type="dxa"/>
            <w:vAlign w:val="bottom"/>
            <w:tcBorders>
              <w:bottom w:val="single" w:sz="8" w:color="BF5B5A"/>
            </w:tcBorders>
            <w:gridSpan w:val="5"/>
          </w:tcPr>
          <w:p>
            <w:pPr>
              <w:jc w:val="right"/>
              <w:ind w:right="28"/>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$267,702</w:t>
            </w:r>
            <w:r>
              <w:rPr>
                <w:rFonts w:ascii="Arial" w:cs="Arial" w:eastAsia="Arial" w:hAnsi="Arial"/>
                <w:sz w:val="28"/>
                <w:szCs w:val="28"/>
                <w:color w:val="auto"/>
                <w:vertAlign w:val="subscript"/>
              </w:rPr>
              <w:t>​ ​</w:t>
            </w:r>
          </w:p>
        </w:tc>
        <w:tc>
          <w:tcPr>
            <w:tcW w:w="1100" w:type="dxa"/>
            <w:vAlign w:val="bottom"/>
            <w:tcBorders>
              <w:bottom w:val="single" w:sz="8" w:color="BF5B5A"/>
            </w:tcBorders>
            <w:gridSpan w:val="5"/>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$279,229</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-2108200</wp:posOffset>
            </wp:positionV>
            <wp:extent cx="5768975" cy="3175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768975" cy="317500"/>
                    </a:xfrm>
                    <a:prstGeom prst="rect">
                      <a:avLst/>
                    </a:prstGeom>
                    <a:noFill/>
                  </pic:spPr>
                </pic:pic>
              </a:graphicData>
            </a:graphic>
          </wp:anchor>
        </w:drawing>
      </w:r>
    </w:p>
    <w:p>
      <w:pPr>
        <w:spacing w:after="0" w:line="60" w:lineRule="exact"/>
        <w:rPr>
          <w:sz w:val="20"/>
          <w:szCs w:val="20"/>
          <w:color w:val="auto"/>
        </w:rPr>
      </w:pPr>
    </w:p>
    <w:p>
      <w:pPr>
        <w:ind w:left="1140" w:right="280" w:hanging="360"/>
        <w:spacing w:after="0" w:line="308" w:lineRule="auto"/>
        <w:tabs>
          <w:tab w:leader="none" w:pos="11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Costs associated with the sale of stock related to changes in the valuation of the funding swap entered into with the buyer of our Visa Class B restricted shares in 2016, including decreases in the conversion rate.</w:t>
      </w:r>
    </w:p>
    <w:p>
      <w:pPr>
        <w:ind w:left="1140" w:right="60" w:hanging="360"/>
        <w:spacing w:after="0" w:line="295" w:lineRule="auto"/>
        <w:tabs>
          <w:tab w:leader="none" w:pos="11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One-time items for the year ended December 31, 2023 consisted of a settlement expense in connection to a lawsuit against the Company and severance costs. One-time item for the year ended December 31, 2022 consisted of a one-time employee bonus related to the core conversion. One-time items for the year ended December 31, 2021 consisted of fees related to the prepayment of $200.0 million of Federal Home Loan Bank advances, a loss on litigation and severance costs.</w:t>
      </w:r>
    </w:p>
    <w:p>
      <w:pPr>
        <w:spacing w:after="0" w:line="202" w:lineRule="exact"/>
        <w:rPr>
          <w:rFonts w:ascii="Arial" w:cs="Arial" w:eastAsia="Arial" w:hAnsi="Arial"/>
          <w:sz w:val="16"/>
          <w:szCs w:val="16"/>
          <w:color w:val="auto"/>
        </w:rPr>
      </w:pPr>
    </w:p>
    <w:p>
      <w:pPr>
        <w:ind w:left="1140" w:hanging="360"/>
        <w:spacing w:after="0"/>
        <w:tabs>
          <w:tab w:leader="none" w:pos="11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Represents the adjustments to net income, tax effected at the Company’s effective tax rate for the respective period.</w:t>
      </w:r>
    </w:p>
    <w:p>
      <w:pPr>
        <w:spacing w:after="0" w:line="194" w:lineRule="exact"/>
        <w:rPr>
          <w:sz w:val="20"/>
          <w:szCs w:val="20"/>
          <w:color w:val="auto"/>
        </w:rPr>
      </w:pPr>
    </w:p>
    <w:p>
      <w:pPr>
        <w:ind w:left="780"/>
        <w:spacing w:after="0"/>
        <w:tabs>
          <w:tab w:leader="none" w:pos="938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FIRST HAWAIIAN, INC. </w:t>
      </w:r>
      <w:r>
        <w:rPr>
          <w:rFonts w:ascii="Arial" w:cs="Arial" w:eastAsia="Arial" w:hAnsi="Arial"/>
          <w:sz w:val="16"/>
          <w:szCs w:val="16"/>
          <w:color w:val="auto"/>
        </w:rPr>
        <w:t>2024 PROXY STATEMENT</w:t>
      </w:r>
      <w:r>
        <w:rPr>
          <w:sz w:val="20"/>
          <w:szCs w:val="20"/>
          <w:color w:val="auto"/>
        </w:rPr>
        <w:tab/>
      </w:r>
      <w:r>
        <w:rPr>
          <w:rFonts w:ascii="Arial" w:cs="Arial" w:eastAsia="Arial" w:hAnsi="Arial"/>
          <w:sz w:val="23"/>
          <w:szCs w:val="23"/>
          <w:b w:val="1"/>
          <w:bCs w:val="1"/>
          <w:color w:val="auto"/>
          <w:vertAlign w:val="superscript"/>
        </w:rPr>
        <w:t xml:space="preserve">​ ​ </w:t>
      </w:r>
      <w:r>
        <w:rPr>
          <w:rFonts w:ascii="Arial" w:cs="Arial" w:eastAsia="Arial" w:hAnsi="Arial"/>
          <w:sz w:val="23"/>
          <w:szCs w:val="23"/>
          <w:b w:val="1"/>
          <w:bCs w:val="1"/>
          <w:color w:val="BF5B5A"/>
        </w:rPr>
        <w:t>A-1</w:t>
      </w:r>
      <w:r>
        <w:rPr>
          <w:rFonts w:ascii="Arial" w:cs="Arial" w:eastAsia="Arial" w:hAnsi="Arial"/>
          <w:sz w:val="23"/>
          <w:szCs w:val="23"/>
          <w:b w:val="1"/>
          <w:bCs w:val="1"/>
          <w:color w:val="auto"/>
        </w:rPr>
        <w:t xml:space="preserve"> </w:t>
      </w:r>
      <w:r>
        <w:rPr>
          <w:rFonts w:ascii="Arial" w:cs="Arial" w:eastAsia="Arial" w:hAnsi="Arial"/>
          <w:sz w:val="23"/>
          <w:szCs w:val="2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148590</wp:posOffset>
            </wp:positionV>
            <wp:extent cx="683196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7F7F7F"/>
        </w:rPr>
        <w:t>ANNEX A</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Core Return on Average Tangible Stockholders’ Equity and Reconciliation</w:t>
      </w:r>
    </w:p>
    <w:p>
      <w:pPr>
        <w:spacing w:after="0" w:line="177" w:lineRule="exact"/>
        <w:rPr>
          <w:sz w:val="20"/>
          <w:szCs w:val="20"/>
          <w:color w:val="auto"/>
        </w:rPr>
      </w:pPr>
    </w:p>
    <w:p>
      <w:pPr>
        <w:ind w:left="780" w:right="140" w:firstLine="360"/>
        <w:spacing w:after="0" w:line="283" w:lineRule="auto"/>
        <w:rPr>
          <w:sz w:val="20"/>
          <w:szCs w:val="20"/>
          <w:color w:val="auto"/>
        </w:rPr>
      </w:pPr>
      <w:r>
        <w:rPr>
          <w:rFonts w:ascii="Arial" w:cs="Arial" w:eastAsia="Arial" w:hAnsi="Arial"/>
          <w:sz w:val="18"/>
          <w:szCs w:val="18"/>
          <w:color w:val="auto"/>
        </w:rPr>
        <w:t>We compute our Core Return on Average Tangible Stockholders’ Equity as the ratio of core net income to average tangible stockholders’ equity, which is calculated by subtracting (and thereby effectively excluding) amounts related to the effect of goodwill from our average total common equity. The table below presents a reconciliation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103505</wp:posOffset>
            </wp:positionV>
            <wp:extent cx="60325" cy="6000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325" cy="600075"/>
                    </a:xfrm>
                    <a:prstGeom prst="rect">
                      <a:avLst/>
                    </a:prstGeom>
                    <a:noFill/>
                  </pic:spPr>
                </pic:pic>
              </a:graphicData>
            </a:graphic>
          </wp:anchor>
        </w:drawing>
      </w:r>
    </w:p>
    <w:p>
      <w:pPr>
        <w:spacing w:after="0" w:line="143"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80" w:type="dxa"/>
            <w:vAlign w:val="bottom"/>
            <w:shd w:val="clear" w:color="auto" w:fill="BF5B5A"/>
          </w:tcPr>
          <w:p>
            <w:pPr>
              <w:spacing w:after="0"/>
              <w:rPr>
                <w:sz w:val="16"/>
                <w:szCs w:val="16"/>
                <w:color w:val="auto"/>
              </w:rPr>
            </w:pPr>
          </w:p>
        </w:tc>
        <w:tc>
          <w:tcPr>
            <w:tcW w:w="20" w:type="dxa"/>
            <w:vAlign w:val="bottom"/>
            <w:shd w:val="clear" w:color="auto" w:fill="BF5B5A"/>
          </w:tcPr>
          <w:p>
            <w:pPr>
              <w:spacing w:after="0"/>
              <w:rPr>
                <w:sz w:val="16"/>
                <w:szCs w:val="16"/>
                <w:color w:val="auto"/>
              </w:rPr>
            </w:pPr>
          </w:p>
        </w:tc>
        <w:tc>
          <w:tcPr>
            <w:tcW w:w="5060" w:type="dxa"/>
            <w:vAlign w:val="bottom"/>
            <w:shd w:val="clear" w:color="auto" w:fill="BF5B5A"/>
          </w:tcPr>
          <w:p>
            <w:pPr>
              <w:spacing w:after="0"/>
              <w:rPr>
                <w:sz w:val="16"/>
                <w:szCs w:val="16"/>
                <w:color w:val="auto"/>
              </w:rPr>
            </w:pPr>
          </w:p>
        </w:tc>
        <w:tc>
          <w:tcPr>
            <w:tcW w:w="200" w:type="dxa"/>
            <w:vAlign w:val="bottom"/>
            <w:shd w:val="clear" w:color="auto" w:fill="BF5B5A"/>
          </w:tcPr>
          <w:p>
            <w:pPr>
              <w:spacing w:after="0"/>
              <w:rPr>
                <w:sz w:val="16"/>
                <w:szCs w:val="16"/>
                <w:color w:val="auto"/>
              </w:rPr>
            </w:pPr>
          </w:p>
        </w:tc>
        <w:tc>
          <w:tcPr>
            <w:tcW w:w="340" w:type="dxa"/>
            <w:vAlign w:val="bottom"/>
            <w:shd w:val="clear" w:color="auto" w:fill="BF5B5A"/>
          </w:tcPr>
          <w:p>
            <w:pPr>
              <w:spacing w:after="0"/>
              <w:rPr>
                <w:sz w:val="16"/>
                <w:szCs w:val="16"/>
                <w:color w:val="auto"/>
              </w:rPr>
            </w:pPr>
          </w:p>
        </w:tc>
        <w:tc>
          <w:tcPr>
            <w:tcW w:w="100" w:type="dxa"/>
            <w:vAlign w:val="bottom"/>
            <w:shd w:val="clear" w:color="auto" w:fill="BF5B5A"/>
          </w:tcPr>
          <w:p>
            <w:pPr>
              <w:spacing w:after="0"/>
              <w:rPr>
                <w:sz w:val="16"/>
                <w:szCs w:val="16"/>
                <w:color w:val="auto"/>
              </w:rPr>
            </w:pPr>
          </w:p>
        </w:tc>
        <w:tc>
          <w:tcPr>
            <w:tcW w:w="400" w:type="dxa"/>
            <w:vAlign w:val="bottom"/>
            <w:shd w:val="clear" w:color="auto" w:fill="BF5B5A"/>
          </w:tcPr>
          <w:p>
            <w:pPr>
              <w:spacing w:after="0"/>
              <w:rPr>
                <w:sz w:val="16"/>
                <w:szCs w:val="16"/>
                <w:color w:val="auto"/>
              </w:rPr>
            </w:pPr>
          </w:p>
        </w:tc>
        <w:tc>
          <w:tcPr>
            <w:tcW w:w="2040" w:type="dxa"/>
            <w:vAlign w:val="bottom"/>
            <w:gridSpan w:val="6"/>
            <w:shd w:val="clear" w:color="auto" w:fill="BF5B5A"/>
          </w:tcPr>
          <w:p>
            <w:pPr>
              <w:jc w:val="center"/>
              <w:spacing w:after="0"/>
              <w:rPr>
                <w:sz w:val="20"/>
                <w:szCs w:val="20"/>
                <w:color w:val="auto"/>
              </w:rPr>
            </w:pPr>
            <w:r>
              <w:rPr>
                <w:rFonts w:ascii="Arial" w:cs="Arial" w:eastAsia="Arial" w:hAnsi="Arial"/>
                <w:sz w:val="16"/>
                <w:szCs w:val="16"/>
                <w:b w:val="1"/>
                <w:bCs w:val="1"/>
                <w:color w:val="FFFFFF"/>
                <w:w w:val="94"/>
              </w:rPr>
              <w:t>For the Fiscal Years Ended</w:t>
            </w:r>
          </w:p>
        </w:tc>
        <w:tc>
          <w:tcPr>
            <w:tcW w:w="80" w:type="dxa"/>
            <w:vAlign w:val="bottom"/>
            <w:shd w:val="clear" w:color="auto" w:fill="BF5B5A"/>
          </w:tcPr>
          <w:p>
            <w:pPr>
              <w:spacing w:after="0"/>
              <w:rPr>
                <w:sz w:val="16"/>
                <w:szCs w:val="16"/>
                <w:color w:val="auto"/>
              </w:rPr>
            </w:pPr>
          </w:p>
        </w:tc>
        <w:tc>
          <w:tcPr>
            <w:tcW w:w="520" w:type="dxa"/>
            <w:vAlign w:val="bottom"/>
            <w:shd w:val="clear" w:color="auto" w:fill="BF5B5A"/>
          </w:tcPr>
          <w:p>
            <w:pPr>
              <w:spacing w:after="0"/>
              <w:rPr>
                <w:sz w:val="16"/>
                <w:szCs w:val="16"/>
                <w:color w:val="auto"/>
              </w:rPr>
            </w:pPr>
          </w:p>
        </w:tc>
        <w:tc>
          <w:tcPr>
            <w:tcW w:w="340" w:type="dxa"/>
            <w:vAlign w:val="bottom"/>
            <w:shd w:val="clear" w:color="auto" w:fill="BF5B5A"/>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5080" w:type="dxa"/>
            <w:vAlign w:val="bottom"/>
            <w:gridSpan w:val="2"/>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2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34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BF5B5A"/>
          </w:tcPr>
          <w:p>
            <w:pPr>
              <w:spacing w:after="0"/>
              <w:rPr>
                <w:sz w:val="23"/>
                <w:szCs w:val="23"/>
                <w:color w:val="auto"/>
              </w:rPr>
            </w:pPr>
          </w:p>
        </w:tc>
        <w:tc>
          <w:tcPr>
            <w:tcW w:w="400" w:type="dxa"/>
            <w:vAlign w:val="bottom"/>
            <w:shd w:val="clear" w:color="auto" w:fill="BF5B5A"/>
          </w:tcPr>
          <w:p>
            <w:pPr>
              <w:spacing w:after="0"/>
              <w:rPr>
                <w:sz w:val="23"/>
                <w:szCs w:val="23"/>
                <w:color w:val="auto"/>
              </w:rPr>
            </w:pPr>
          </w:p>
        </w:tc>
        <w:tc>
          <w:tcPr>
            <w:tcW w:w="400" w:type="dxa"/>
            <w:vAlign w:val="bottom"/>
            <w:shd w:val="clear" w:color="auto" w:fill="BF5B5A"/>
          </w:tcPr>
          <w:p>
            <w:pPr>
              <w:spacing w:after="0"/>
              <w:rPr>
                <w:sz w:val="23"/>
                <w:szCs w:val="23"/>
                <w:color w:val="auto"/>
              </w:rPr>
            </w:pPr>
          </w:p>
        </w:tc>
        <w:tc>
          <w:tcPr>
            <w:tcW w:w="1340" w:type="dxa"/>
            <w:vAlign w:val="bottom"/>
            <w:gridSpan w:val="4"/>
            <w:shd w:val="clear" w:color="auto" w:fill="BF5B5A"/>
          </w:tcPr>
          <w:p>
            <w:pPr>
              <w:jc w:val="center"/>
              <w:ind w:right="73"/>
              <w:spacing w:after="0"/>
              <w:rPr>
                <w:sz w:val="20"/>
                <w:szCs w:val="20"/>
                <w:color w:val="auto"/>
              </w:rPr>
            </w:pPr>
            <w:r>
              <w:rPr>
                <w:rFonts w:ascii="Arial" w:cs="Arial" w:eastAsia="Arial" w:hAnsi="Arial"/>
                <w:sz w:val="16"/>
                <w:szCs w:val="16"/>
                <w:b w:val="1"/>
                <w:bCs w:val="1"/>
                <w:color w:val="FFFFFF"/>
                <w:w w:val="94"/>
              </w:rPr>
              <w:t>December 31,</w:t>
            </w:r>
          </w:p>
        </w:tc>
        <w:tc>
          <w:tcPr>
            <w:tcW w:w="300" w:type="dxa"/>
            <w:vAlign w:val="bottom"/>
            <w:shd w:val="clear" w:color="auto" w:fill="BF5B5A"/>
          </w:tcPr>
          <w:p>
            <w:pPr>
              <w:spacing w:after="0"/>
              <w:rPr>
                <w:sz w:val="23"/>
                <w:szCs w:val="23"/>
                <w:color w:val="auto"/>
              </w:rPr>
            </w:pPr>
          </w:p>
        </w:tc>
        <w:tc>
          <w:tcPr>
            <w:tcW w:w="80" w:type="dxa"/>
            <w:vAlign w:val="bottom"/>
            <w:shd w:val="clear" w:color="auto" w:fill="BF5B5A"/>
          </w:tcPr>
          <w:p>
            <w:pPr>
              <w:spacing w:after="0"/>
              <w:rPr>
                <w:sz w:val="23"/>
                <w:szCs w:val="23"/>
                <w:color w:val="auto"/>
              </w:rPr>
            </w:pPr>
          </w:p>
        </w:tc>
        <w:tc>
          <w:tcPr>
            <w:tcW w:w="520" w:type="dxa"/>
            <w:vAlign w:val="bottom"/>
            <w:shd w:val="clear" w:color="auto" w:fill="BF5B5A"/>
          </w:tcPr>
          <w:p>
            <w:pPr>
              <w:spacing w:after="0"/>
              <w:rPr>
                <w:sz w:val="23"/>
                <w:szCs w:val="23"/>
                <w:color w:val="auto"/>
              </w:rPr>
            </w:pPr>
          </w:p>
        </w:tc>
        <w:tc>
          <w:tcPr>
            <w:tcW w:w="340" w:type="dxa"/>
            <w:vAlign w:val="bottom"/>
            <w:shd w:val="clear" w:color="auto" w:fill="BF5B5A"/>
          </w:tcPr>
          <w:p>
            <w:pPr>
              <w:jc w:val="right"/>
              <w:ind w:right="12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6"/>
                <w:szCs w:val="16"/>
                <w:b w:val="1"/>
                <w:bCs w:val="1"/>
                <w:color w:val="FFFFFF"/>
              </w:rPr>
              <w: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FFFFFF"/>
              </w:rPr>
              <w:t>​</w:t>
            </w:r>
          </w:p>
        </w:tc>
        <w:tc>
          <w:tcPr>
            <w:tcW w:w="340" w:type="dxa"/>
            <w:vAlign w:val="bottom"/>
          </w:tcPr>
          <w:p>
            <w:pPr>
              <w:ind w:left="120"/>
              <w:spacing w:after="0"/>
              <w:rPr>
                <w:sz w:val="20"/>
                <w:szCs w:val="20"/>
                <w:color w:val="auto"/>
              </w:rPr>
            </w:pPr>
            <w:r>
              <w:rPr>
                <w:rFonts w:ascii="Arial" w:cs="Arial" w:eastAsia="Arial" w:hAnsi="Arial"/>
                <w:sz w:val="16"/>
                <w:szCs w:val="16"/>
                <w:b w:val="1"/>
                <w:bCs w:val="1"/>
                <w:color w:val="FFFFFF"/>
              </w:rPr>
              <w:t>​</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FFFFFF"/>
              </w:rPr>
              <w:t>2023</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FFFFFF"/>
              </w:rPr>
              <w:t>​</w:t>
            </w:r>
          </w:p>
        </w:tc>
        <w:tc>
          <w:tcPr>
            <w:tcW w:w="360" w:type="dxa"/>
            <w:vAlign w:val="bottom"/>
          </w:tcPr>
          <w:p>
            <w:pPr>
              <w:ind w:left="160"/>
              <w:spacing w:after="0"/>
              <w:rPr>
                <w:sz w:val="20"/>
                <w:szCs w:val="20"/>
                <w:color w:val="auto"/>
              </w:rPr>
            </w:pPr>
            <w:r>
              <w:rPr>
                <w:rFonts w:ascii="Arial" w:cs="Arial" w:eastAsia="Arial" w:hAnsi="Arial"/>
                <w:sz w:val="16"/>
                <w:szCs w:val="16"/>
                <w:b w:val="1"/>
                <w:bCs w:val="1"/>
                <w:color w:val="FFFFFF"/>
              </w:rPr>
              <w:t>​</w:t>
            </w:r>
          </w:p>
        </w:tc>
        <w:tc>
          <w:tcPr>
            <w:tcW w:w="100" w:type="dxa"/>
            <w:vAlign w:val="bottom"/>
          </w:tcPr>
          <w:p>
            <w:pPr>
              <w:spacing w:after="0"/>
              <w:rPr>
                <w:sz w:val="21"/>
                <w:szCs w:val="21"/>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FFFFFF"/>
              </w:rPr>
              <w:t>2022</w:t>
            </w:r>
          </w:p>
        </w:tc>
        <w:tc>
          <w:tcPr>
            <w:tcW w:w="360" w:type="dxa"/>
            <w:vAlign w:val="bottom"/>
          </w:tcPr>
          <w:p>
            <w:pPr>
              <w:jc w:val="right"/>
              <w:ind w:right="53"/>
              <w:spacing w:after="0"/>
              <w:rPr>
                <w:sz w:val="20"/>
                <w:szCs w:val="20"/>
                <w:color w:val="auto"/>
              </w:rPr>
            </w:pPr>
            <w:r>
              <w:rPr>
                <w:rFonts w:ascii="Arial" w:cs="Arial" w:eastAsia="Arial" w:hAnsi="Arial"/>
                <w:sz w:val="16"/>
                <w:szCs w:val="16"/>
                <w:b w:val="1"/>
                <w:bCs w:val="1"/>
                <w:color w:val="FFFFFF"/>
              </w:rPr>
              <w:t>​</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FFFFFF"/>
              </w:rPr>
              <w:t>​</w:t>
            </w:r>
          </w:p>
        </w:tc>
        <w:tc>
          <w:tcPr>
            <w:tcW w:w="80" w:type="dxa"/>
            <w:vAlign w:val="bottom"/>
          </w:tcPr>
          <w:p>
            <w:pPr>
              <w:spacing w:after="0"/>
              <w:rPr>
                <w:sz w:val="21"/>
                <w:szCs w:val="21"/>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FFFFFF"/>
              </w:rPr>
              <w:t>2021</w:t>
            </w:r>
          </w:p>
        </w:tc>
        <w:tc>
          <w:tcPr>
            <w:tcW w:w="340" w:type="dxa"/>
            <w:vAlign w:val="bottom"/>
          </w:tcPr>
          <w:p>
            <w:pPr>
              <w:jc w:val="right"/>
              <w:ind w:right="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rPr>
                <w:sz w:val="20"/>
                <w:szCs w:val="20"/>
                <w:color w:val="auto"/>
              </w:rPr>
            </w:pPr>
            <w:r>
              <w:rPr>
                <w:rFonts w:ascii="Arial" w:cs="Arial" w:eastAsia="Arial" w:hAnsi="Arial"/>
                <w:sz w:val="16"/>
                <w:szCs w:val="16"/>
                <w:b w:val="1"/>
                <w:bCs w:val="1"/>
                <w:color w:val="FFFFFF"/>
              </w:rPr>
              <w:t>​ ​</w:t>
            </w:r>
          </w:p>
        </w:tc>
        <w:tc>
          <w:tcPr>
            <w:tcW w:w="200" w:type="dxa"/>
            <w:vAlign w:val="bottom"/>
            <w:shd w:val="clear" w:color="auto" w:fill="BF5B5A"/>
          </w:tcPr>
          <w:p>
            <w:pPr>
              <w:spacing w:after="0"/>
              <w:rPr>
                <w:sz w:val="20"/>
                <w:szCs w:val="20"/>
                <w:color w:val="auto"/>
              </w:rPr>
            </w:pPr>
            <w:r>
              <w:rPr>
                <w:rFonts w:ascii="Arial" w:cs="Arial" w:eastAsia="Arial" w:hAnsi="Arial"/>
                <w:sz w:val="16"/>
                <w:szCs w:val="16"/>
                <w:b w:val="1"/>
                <w:bCs w:val="1"/>
                <w:color w:val="FFFFFF"/>
              </w:rPr>
              <w:t>​</w:t>
            </w:r>
          </w:p>
        </w:tc>
        <w:tc>
          <w:tcPr>
            <w:tcW w:w="340" w:type="dxa"/>
            <w:vAlign w:val="bottom"/>
            <w:shd w:val="clear" w:color="auto" w:fill="BF5B5A"/>
          </w:tcPr>
          <w:p>
            <w:pPr>
              <w:ind w:left="20"/>
              <w:spacing w:after="0"/>
              <w:rPr>
                <w:sz w:val="20"/>
                <w:szCs w:val="20"/>
                <w:color w:val="auto"/>
              </w:rPr>
            </w:pPr>
            <w:r>
              <w:rPr>
                <w:rFonts w:ascii="Arial" w:cs="Arial" w:eastAsia="Arial" w:hAnsi="Arial"/>
                <w:sz w:val="16"/>
                <w:szCs w:val="16"/>
                <w:b w:val="1"/>
                <w:bCs w:val="1"/>
                <w:color w:val="FFFFFF"/>
              </w:rPr>
              <w:t>​</w:t>
            </w:r>
          </w:p>
        </w:tc>
        <w:tc>
          <w:tcPr>
            <w:tcW w:w="100" w:type="dxa"/>
            <w:vAlign w:val="bottom"/>
            <w:shd w:val="clear" w:color="auto" w:fill="BF5B5A"/>
          </w:tcPr>
          <w:p>
            <w:pPr>
              <w:spacing w:after="0"/>
              <w:rPr>
                <w:sz w:val="21"/>
                <w:szCs w:val="21"/>
                <w:color w:val="auto"/>
              </w:rPr>
            </w:pPr>
          </w:p>
        </w:tc>
        <w:tc>
          <w:tcPr>
            <w:tcW w:w="400" w:type="dxa"/>
            <w:vAlign w:val="bottom"/>
            <w:shd w:val="clear" w:color="auto" w:fill="BF5B5A"/>
          </w:tcPr>
          <w:p>
            <w:pPr>
              <w:spacing w:after="0"/>
              <w:rPr>
                <w:sz w:val="21"/>
                <w:szCs w:val="21"/>
                <w:color w:val="auto"/>
              </w:rPr>
            </w:pPr>
          </w:p>
        </w:tc>
        <w:tc>
          <w:tcPr>
            <w:tcW w:w="400" w:type="dxa"/>
            <w:vAlign w:val="bottom"/>
            <w:shd w:val="clear" w:color="auto" w:fill="BF5B5A"/>
          </w:tcPr>
          <w:p>
            <w:pPr>
              <w:spacing w:after="0"/>
              <w:rPr>
                <w:sz w:val="21"/>
                <w:szCs w:val="21"/>
                <w:color w:val="auto"/>
              </w:rPr>
            </w:pPr>
          </w:p>
        </w:tc>
        <w:tc>
          <w:tcPr>
            <w:tcW w:w="1340" w:type="dxa"/>
            <w:vAlign w:val="bottom"/>
            <w:gridSpan w:val="4"/>
            <w:shd w:val="clear" w:color="auto" w:fill="BF5B5A"/>
          </w:tcPr>
          <w:p>
            <w:pPr>
              <w:jc w:val="center"/>
              <w:ind w:right="93"/>
              <w:spacing w:after="0"/>
              <w:rPr>
                <w:sz w:val="20"/>
                <w:szCs w:val="20"/>
                <w:color w:val="auto"/>
              </w:rPr>
            </w:pPr>
            <w:r>
              <w:rPr>
                <w:rFonts w:ascii="Arial" w:cs="Arial" w:eastAsia="Arial" w:hAnsi="Arial"/>
                <w:sz w:val="16"/>
                <w:szCs w:val="16"/>
                <w:b w:val="1"/>
                <w:bCs w:val="1"/>
                <w:color w:val="FFFFFF"/>
                <w:w w:val="93"/>
              </w:rPr>
              <w:t>($ in thousands)</w:t>
            </w:r>
          </w:p>
        </w:tc>
        <w:tc>
          <w:tcPr>
            <w:tcW w:w="300" w:type="dxa"/>
            <w:vAlign w:val="bottom"/>
            <w:shd w:val="clear" w:color="auto" w:fill="BF5B5A"/>
          </w:tcPr>
          <w:p>
            <w:pPr>
              <w:spacing w:after="0"/>
              <w:rPr>
                <w:sz w:val="21"/>
                <w:szCs w:val="21"/>
                <w:color w:val="auto"/>
              </w:rPr>
            </w:pPr>
          </w:p>
        </w:tc>
        <w:tc>
          <w:tcPr>
            <w:tcW w:w="80" w:type="dxa"/>
            <w:vAlign w:val="bottom"/>
            <w:shd w:val="clear" w:color="auto" w:fill="BF5B5A"/>
          </w:tcPr>
          <w:p>
            <w:pPr>
              <w:spacing w:after="0"/>
              <w:rPr>
                <w:sz w:val="21"/>
                <w:szCs w:val="21"/>
                <w:color w:val="auto"/>
              </w:rPr>
            </w:pPr>
          </w:p>
        </w:tc>
        <w:tc>
          <w:tcPr>
            <w:tcW w:w="520" w:type="dxa"/>
            <w:vAlign w:val="bottom"/>
            <w:shd w:val="clear" w:color="auto" w:fill="BF5B5A"/>
          </w:tcPr>
          <w:p>
            <w:pPr>
              <w:spacing w:after="0"/>
              <w:rPr>
                <w:sz w:val="21"/>
                <w:szCs w:val="21"/>
                <w:color w:val="auto"/>
              </w:rPr>
            </w:pPr>
          </w:p>
        </w:tc>
        <w:tc>
          <w:tcPr>
            <w:tcW w:w="340" w:type="dxa"/>
            <w:vAlign w:val="bottom"/>
            <w:shd w:val="clear" w:color="auto" w:fill="BF5B5A"/>
          </w:tcPr>
          <w:p>
            <w:pPr>
              <w:jc w:val="right"/>
              <w:ind w:right="12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7F7F7F"/>
            </w:tcBorders>
            <w:gridSpan w:val="3"/>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b w:val="1"/>
                <w:bCs w:val="1"/>
                <w:color w:val="auto"/>
              </w:rPr>
              <w:t>Net income</w:t>
            </w:r>
          </w:p>
        </w:tc>
        <w:tc>
          <w:tcPr>
            <w:tcW w:w="2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ind w:left="12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100" w:type="dxa"/>
            <w:vAlign w:val="bottom"/>
            <w:tcBorders>
              <w:bottom w:val="single" w:sz="8" w:color="7F7F7F"/>
            </w:tcBorders>
          </w:tcPr>
          <w:p>
            <w:pPr>
              <w:spacing w:after="0"/>
              <w:rPr>
                <w:sz w:val="22"/>
                <w:szCs w:val="22"/>
                <w:color w:val="auto"/>
              </w:rPr>
            </w:pPr>
          </w:p>
        </w:tc>
        <w:tc>
          <w:tcPr>
            <w:tcW w:w="800" w:type="dxa"/>
            <w:vAlign w:val="bottom"/>
            <w:tcBorders>
              <w:bottom w:val="single" w:sz="8" w:color="7F7F7F"/>
            </w:tcBorders>
            <w:gridSpan w:val="2"/>
          </w:tcPr>
          <w:p>
            <w:pPr>
              <w:jc w:val="right"/>
              <w:spacing w:after="0" w:line="256" w:lineRule="exact"/>
              <w:rPr>
                <w:sz w:val="20"/>
                <w:szCs w:val="20"/>
                <w:color w:val="auto"/>
              </w:rPr>
            </w:pPr>
            <w:r>
              <w:rPr>
                <w:rFonts w:ascii="Arial" w:cs="Arial" w:eastAsia="Arial" w:hAnsi="Arial"/>
                <w:sz w:val="15"/>
                <w:szCs w:val="15"/>
                <w:color w:val="auto"/>
              </w:rPr>
              <w:t>234,983</w:t>
            </w:r>
            <w:r>
              <w:rPr>
                <w:rFonts w:ascii="Arial" w:cs="Arial" w:eastAsia="Arial" w:hAnsi="Arial"/>
                <w:sz w:val="29"/>
                <w:szCs w:val="29"/>
                <w:color w:val="auto"/>
                <w:vertAlign w:val="subscript"/>
              </w:rPr>
              <w:t>​ ​</w:t>
            </w:r>
          </w:p>
        </w:tc>
        <w:tc>
          <w:tcPr>
            <w:tcW w:w="360" w:type="dxa"/>
            <w:vAlign w:val="bottom"/>
            <w:tcBorders>
              <w:bottom w:val="single" w:sz="8" w:color="7F7F7F"/>
            </w:tcBorders>
          </w:tcPr>
          <w:p>
            <w:pPr>
              <w:ind w:left="16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100" w:type="dxa"/>
            <w:vAlign w:val="bottom"/>
            <w:tcBorders>
              <w:bottom w:val="single" w:sz="8" w:color="7F7F7F"/>
            </w:tcBorders>
          </w:tcPr>
          <w:p>
            <w:pPr>
              <w:spacing w:after="0"/>
              <w:rPr>
                <w:sz w:val="22"/>
                <w:szCs w:val="22"/>
                <w:color w:val="auto"/>
              </w:rPr>
            </w:pPr>
          </w:p>
        </w:tc>
        <w:tc>
          <w:tcPr>
            <w:tcW w:w="880" w:type="dxa"/>
            <w:vAlign w:val="bottom"/>
            <w:tcBorders>
              <w:bottom w:val="single" w:sz="8" w:color="7F7F7F"/>
            </w:tcBorders>
            <w:gridSpan w:val="2"/>
          </w:tcPr>
          <w:p>
            <w:pPr>
              <w:jc w:val="right"/>
              <w:ind w:right="53"/>
              <w:spacing w:after="0" w:line="256" w:lineRule="exact"/>
              <w:rPr>
                <w:sz w:val="20"/>
                <w:szCs w:val="20"/>
                <w:color w:val="auto"/>
              </w:rPr>
            </w:pPr>
            <w:r>
              <w:rPr>
                <w:rFonts w:ascii="Arial" w:cs="Arial" w:eastAsia="Arial" w:hAnsi="Arial"/>
                <w:sz w:val="15"/>
                <w:szCs w:val="15"/>
                <w:color w:val="auto"/>
              </w:rPr>
              <w:t>265,685</w:t>
            </w:r>
            <w:r>
              <w:rPr>
                <w:rFonts w:ascii="Arial" w:cs="Arial" w:eastAsia="Arial" w:hAnsi="Arial"/>
                <w:sz w:val="29"/>
                <w:szCs w:val="29"/>
                <w:color w:val="auto"/>
                <w:vertAlign w:val="subscript"/>
              </w:rPr>
              <w:t>​ ​</w:t>
            </w:r>
          </w:p>
        </w:tc>
        <w:tc>
          <w:tcPr>
            <w:tcW w:w="300" w:type="dxa"/>
            <w:vAlign w:val="bottom"/>
            <w:tcBorders>
              <w:bottom w:val="single" w:sz="8" w:color="7F7F7F"/>
            </w:tcBorders>
          </w:tcPr>
          <w:p>
            <w:pPr>
              <w:ind w:left="80"/>
              <w:spacing w:after="0" w:line="256" w:lineRule="exact"/>
              <w:rPr>
                <w:sz w:val="20"/>
                <w:szCs w:val="20"/>
                <w:color w:val="auto"/>
              </w:rPr>
            </w:pP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80" w:type="dxa"/>
            <w:vAlign w:val="bottom"/>
            <w:tcBorders>
              <w:bottom w:val="single" w:sz="8" w:color="7F7F7F"/>
            </w:tcBorders>
          </w:tcPr>
          <w:p>
            <w:pPr>
              <w:spacing w:after="0"/>
              <w:rPr>
                <w:sz w:val="22"/>
                <w:szCs w:val="22"/>
                <w:color w:val="auto"/>
              </w:rPr>
            </w:pPr>
          </w:p>
        </w:tc>
        <w:tc>
          <w:tcPr>
            <w:tcW w:w="860" w:type="dxa"/>
            <w:vAlign w:val="bottom"/>
            <w:tcBorders>
              <w:bottom w:val="single" w:sz="8" w:color="7F7F7F"/>
            </w:tcBorders>
            <w:gridSpan w:val="2"/>
          </w:tcPr>
          <w:p>
            <w:pPr>
              <w:jc w:val="right"/>
              <w:ind w:right="2"/>
              <w:spacing w:after="0" w:line="256" w:lineRule="exact"/>
              <w:rPr>
                <w:sz w:val="20"/>
                <w:szCs w:val="20"/>
                <w:color w:val="auto"/>
              </w:rPr>
            </w:pPr>
            <w:r>
              <w:rPr>
                <w:rFonts w:ascii="Arial" w:cs="Arial" w:eastAsia="Arial" w:hAnsi="Arial"/>
                <w:sz w:val="15"/>
                <w:szCs w:val="15"/>
                <w:color w:val="auto"/>
              </w:rPr>
              <w:t>265,735</w:t>
            </w:r>
            <w:r>
              <w:rPr>
                <w:rFonts w:ascii="Arial" w:cs="Arial" w:eastAsia="Arial" w:hAnsi="Arial"/>
                <w:sz w:val="29"/>
                <w:szCs w:val="29"/>
                <w:color w:val="auto"/>
                <w:vertAlign w:val="subscript"/>
              </w:rPr>
              <w:t>​ ​</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Core net income</w:t>
            </w:r>
          </w:p>
        </w:tc>
        <w:tc>
          <w:tcPr>
            <w:tcW w:w="2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gridSpan w:val="2"/>
          </w:tcPr>
          <w:p>
            <w:pPr>
              <w:ind w:left="1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0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248,854</w:t>
            </w:r>
            <w:r>
              <w:rPr>
                <w:rFonts w:ascii="Arial" w:cs="Arial" w:eastAsia="Arial" w:hAnsi="Arial"/>
                <w:sz w:val="28"/>
                <w:szCs w:val="28"/>
                <w:color w:val="auto"/>
                <w:vertAlign w:val="subscript"/>
              </w:rPr>
              <w:t>​ ​</w:t>
            </w:r>
          </w:p>
        </w:tc>
        <w:tc>
          <w:tcPr>
            <w:tcW w:w="460" w:type="dxa"/>
            <w:vAlign w:val="bottom"/>
            <w:tcBorders>
              <w:bottom w:val="single" w:sz="8" w:color="7F7F7F"/>
            </w:tcBorders>
            <w:gridSpan w:val="2"/>
          </w:tcPr>
          <w:p>
            <w:pPr>
              <w:ind w:left="16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80" w:type="dxa"/>
            <w:vAlign w:val="bottom"/>
            <w:tcBorders>
              <w:bottom w:val="single" w:sz="8" w:color="7F7F7F"/>
            </w:tcBorders>
            <w:gridSpan w:val="2"/>
          </w:tcPr>
          <w:p>
            <w:pPr>
              <w:jc w:val="right"/>
              <w:ind w:right="53"/>
              <w:spacing w:after="0" w:line="250" w:lineRule="exact"/>
              <w:rPr>
                <w:sz w:val="20"/>
                <w:szCs w:val="20"/>
                <w:color w:val="auto"/>
              </w:rPr>
            </w:pPr>
            <w:r>
              <w:rPr>
                <w:rFonts w:ascii="Arial" w:cs="Arial" w:eastAsia="Arial" w:hAnsi="Arial"/>
                <w:sz w:val="15"/>
                <w:szCs w:val="15"/>
                <w:color w:val="auto"/>
              </w:rPr>
              <w:t>267,702</w:t>
            </w:r>
            <w:r>
              <w:rPr>
                <w:rFonts w:ascii="Arial" w:cs="Arial" w:eastAsia="Arial" w:hAnsi="Arial"/>
                <w:sz w:val="28"/>
                <w:szCs w:val="28"/>
                <w:color w:val="auto"/>
                <w:vertAlign w:val="subscript"/>
              </w:rPr>
              <w:t>​ ​</w:t>
            </w:r>
          </w:p>
        </w:tc>
        <w:tc>
          <w:tcPr>
            <w:tcW w:w="380" w:type="dxa"/>
            <w:vAlign w:val="bottom"/>
            <w:tcBorders>
              <w:bottom w:val="single" w:sz="8" w:color="7F7F7F"/>
            </w:tcBorders>
            <w:gridSpan w:val="2"/>
          </w:tcPr>
          <w:p>
            <w:pPr>
              <w:ind w:left="8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60" w:type="dxa"/>
            <w:vAlign w:val="bottom"/>
            <w:tcBorders>
              <w:bottom w:val="single" w:sz="8" w:color="7F7F7F"/>
            </w:tcBorders>
            <w:gridSpan w:val="2"/>
          </w:tcPr>
          <w:p>
            <w:pPr>
              <w:jc w:val="right"/>
              <w:ind w:right="2"/>
              <w:spacing w:after="0" w:line="250" w:lineRule="exact"/>
              <w:rPr>
                <w:sz w:val="20"/>
                <w:szCs w:val="20"/>
                <w:color w:val="auto"/>
              </w:rPr>
            </w:pPr>
            <w:r>
              <w:rPr>
                <w:rFonts w:ascii="Arial" w:cs="Arial" w:eastAsia="Arial" w:hAnsi="Arial"/>
                <w:sz w:val="15"/>
                <w:szCs w:val="15"/>
                <w:color w:val="auto"/>
              </w:rPr>
              <w:t>279,229</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Average total stockholders’ equity</w:t>
            </w:r>
          </w:p>
        </w:tc>
        <w:tc>
          <w:tcPr>
            <w:tcW w:w="2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$2,346,713</w:t>
            </w:r>
            <w:r>
              <w:rPr>
                <w:rFonts w:ascii="Arial" w:cs="Arial" w:eastAsia="Arial" w:hAnsi="Arial"/>
                <w:sz w:val="28"/>
                <w:szCs w:val="28"/>
                <w:color w:val="auto"/>
                <w:vertAlign w:val="subscript"/>
              </w:rPr>
              <w:t>​ ​</w:t>
            </w:r>
          </w:p>
        </w:tc>
        <w:tc>
          <w:tcPr>
            <w:tcW w:w="1340" w:type="dxa"/>
            <w:vAlign w:val="bottom"/>
            <w:tcBorders>
              <w:bottom w:val="single" w:sz="8" w:color="7F7F7F"/>
            </w:tcBorders>
            <w:gridSpan w:val="4"/>
          </w:tcPr>
          <w:p>
            <w:pPr>
              <w:jc w:val="right"/>
              <w:ind w:right="53"/>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$2,321,606</w:t>
            </w:r>
            <w:r>
              <w:rPr>
                <w:rFonts w:ascii="Arial" w:cs="Arial" w:eastAsia="Arial" w:hAnsi="Arial"/>
                <w:sz w:val="28"/>
                <w:szCs w:val="28"/>
                <w:color w:val="auto"/>
                <w:vertAlign w:val="subscript"/>
              </w:rPr>
              <w:t>​ ​</w:t>
            </w:r>
          </w:p>
        </w:tc>
        <w:tc>
          <w:tcPr>
            <w:tcW w:w="1240" w:type="dxa"/>
            <w:vAlign w:val="bottom"/>
            <w:tcBorders>
              <w:bottom w:val="single" w:sz="8" w:color="7F7F7F"/>
            </w:tcBorders>
            <w:gridSpan w:val="4"/>
          </w:tcPr>
          <w:p>
            <w:pPr>
              <w:jc w:val="right"/>
              <w:ind w:right="2"/>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$2,708,370</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Less: average goodwill</w:t>
            </w:r>
          </w:p>
        </w:tc>
        <w:tc>
          <w:tcPr>
            <w:tcW w:w="2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7F7F7F"/>
            </w:tcBorders>
            <w:gridSpan w:val="2"/>
          </w:tcPr>
          <w:p>
            <w:pPr>
              <w:ind w:left="1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00" w:type="dxa"/>
            <w:vAlign w:val="bottom"/>
            <w:tcBorders>
              <w:bottom w:val="single" w:sz="8" w:color="7F7F7F"/>
            </w:tcBorders>
            <w:gridSpan w:val="2"/>
          </w:tcPr>
          <w:p>
            <w:pPr>
              <w:jc w:val="right"/>
              <w:spacing w:after="0" w:line="250" w:lineRule="exact"/>
              <w:rPr>
                <w:sz w:val="20"/>
                <w:szCs w:val="20"/>
                <w:color w:val="auto"/>
              </w:rPr>
            </w:pPr>
            <w:r>
              <w:rPr>
                <w:rFonts w:ascii="Arial" w:cs="Arial" w:eastAsia="Arial" w:hAnsi="Arial"/>
                <w:sz w:val="15"/>
                <w:szCs w:val="15"/>
                <w:color w:val="auto"/>
              </w:rPr>
              <w:t>995,492</w:t>
            </w:r>
            <w:r>
              <w:rPr>
                <w:rFonts w:ascii="Arial" w:cs="Arial" w:eastAsia="Arial" w:hAnsi="Arial"/>
                <w:sz w:val="28"/>
                <w:szCs w:val="28"/>
                <w:color w:val="auto"/>
                <w:vertAlign w:val="subscript"/>
              </w:rPr>
              <w:t>​ ​</w:t>
            </w:r>
          </w:p>
        </w:tc>
        <w:tc>
          <w:tcPr>
            <w:tcW w:w="460" w:type="dxa"/>
            <w:vAlign w:val="bottom"/>
            <w:tcBorders>
              <w:bottom w:val="single" w:sz="8" w:color="7F7F7F"/>
            </w:tcBorders>
            <w:gridSpan w:val="2"/>
          </w:tcPr>
          <w:p>
            <w:pPr>
              <w:ind w:left="16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80" w:type="dxa"/>
            <w:vAlign w:val="bottom"/>
            <w:tcBorders>
              <w:bottom w:val="single" w:sz="8" w:color="7F7F7F"/>
            </w:tcBorders>
            <w:gridSpan w:val="2"/>
          </w:tcPr>
          <w:p>
            <w:pPr>
              <w:jc w:val="right"/>
              <w:ind w:right="53"/>
              <w:spacing w:after="0" w:line="250" w:lineRule="exact"/>
              <w:rPr>
                <w:sz w:val="20"/>
                <w:szCs w:val="20"/>
                <w:color w:val="auto"/>
              </w:rPr>
            </w:pPr>
            <w:r>
              <w:rPr>
                <w:rFonts w:ascii="Arial" w:cs="Arial" w:eastAsia="Arial" w:hAnsi="Arial"/>
                <w:sz w:val="15"/>
                <w:szCs w:val="15"/>
                <w:color w:val="auto"/>
              </w:rPr>
              <w:t>995,492</w:t>
            </w:r>
            <w:r>
              <w:rPr>
                <w:rFonts w:ascii="Arial" w:cs="Arial" w:eastAsia="Arial" w:hAnsi="Arial"/>
                <w:sz w:val="28"/>
                <w:szCs w:val="28"/>
                <w:color w:val="auto"/>
                <w:vertAlign w:val="subscript"/>
              </w:rPr>
              <w:t>​ ​</w:t>
            </w:r>
          </w:p>
        </w:tc>
        <w:tc>
          <w:tcPr>
            <w:tcW w:w="380" w:type="dxa"/>
            <w:vAlign w:val="bottom"/>
            <w:tcBorders>
              <w:bottom w:val="single" w:sz="8" w:color="7F7F7F"/>
            </w:tcBorders>
            <w:gridSpan w:val="2"/>
          </w:tcPr>
          <w:p>
            <w:pPr>
              <w:ind w:left="8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860" w:type="dxa"/>
            <w:vAlign w:val="bottom"/>
            <w:tcBorders>
              <w:bottom w:val="single" w:sz="8" w:color="7F7F7F"/>
            </w:tcBorders>
            <w:gridSpan w:val="2"/>
          </w:tcPr>
          <w:p>
            <w:pPr>
              <w:jc w:val="right"/>
              <w:ind w:right="2"/>
              <w:spacing w:after="0" w:line="250" w:lineRule="exact"/>
              <w:rPr>
                <w:sz w:val="20"/>
                <w:szCs w:val="20"/>
                <w:color w:val="auto"/>
              </w:rPr>
            </w:pPr>
            <w:r>
              <w:rPr>
                <w:rFonts w:ascii="Arial" w:cs="Arial" w:eastAsia="Arial" w:hAnsi="Arial"/>
                <w:sz w:val="15"/>
                <w:szCs w:val="15"/>
                <w:color w:val="auto"/>
              </w:rPr>
              <w:t>995,492</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7F7F7F"/>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Average tangible stockholders’ equity</w:t>
            </w:r>
          </w:p>
        </w:tc>
        <w:tc>
          <w:tcPr>
            <w:tcW w:w="20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7F7F7F"/>
            </w:tcBorders>
            <w:gridSpan w:val="4"/>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$1,351,221</w:t>
            </w:r>
            <w:r>
              <w:rPr>
                <w:rFonts w:ascii="Arial" w:cs="Arial" w:eastAsia="Arial" w:hAnsi="Arial"/>
                <w:sz w:val="28"/>
                <w:szCs w:val="28"/>
                <w:color w:val="auto"/>
                <w:vertAlign w:val="subscript"/>
              </w:rPr>
              <w:t>​ ​</w:t>
            </w:r>
          </w:p>
        </w:tc>
        <w:tc>
          <w:tcPr>
            <w:tcW w:w="1340" w:type="dxa"/>
            <w:vAlign w:val="bottom"/>
            <w:tcBorders>
              <w:bottom w:val="single" w:sz="8" w:color="7F7F7F"/>
            </w:tcBorders>
            <w:gridSpan w:val="4"/>
          </w:tcPr>
          <w:p>
            <w:pPr>
              <w:jc w:val="right"/>
              <w:ind w:right="53"/>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$ 1,326,114</w:t>
            </w:r>
            <w:r>
              <w:rPr>
                <w:rFonts w:ascii="Arial" w:cs="Arial" w:eastAsia="Arial" w:hAnsi="Arial"/>
                <w:sz w:val="28"/>
                <w:szCs w:val="28"/>
                <w:color w:val="auto"/>
                <w:vertAlign w:val="subscript"/>
              </w:rPr>
              <w:t>​ ​</w:t>
            </w:r>
          </w:p>
        </w:tc>
        <w:tc>
          <w:tcPr>
            <w:tcW w:w="1240" w:type="dxa"/>
            <w:vAlign w:val="bottom"/>
            <w:tcBorders>
              <w:bottom w:val="single" w:sz="8" w:color="7F7F7F"/>
            </w:tcBorders>
            <w:gridSpan w:val="4"/>
          </w:tcPr>
          <w:p>
            <w:pPr>
              <w:jc w:val="right"/>
              <w:ind w:right="2"/>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$1,712,878</w:t>
            </w:r>
            <w:r>
              <w:rPr>
                <w:rFonts w:ascii="Arial" w:cs="Arial" w:eastAsia="Arial" w:hAnsi="Arial"/>
                <w:sz w:val="28"/>
                <w:szCs w:val="28"/>
                <w:color w:val="auto"/>
                <w:vertAlign w:val="subscript"/>
              </w:rPr>
              <w:t>​ ​</w:t>
            </w:r>
          </w:p>
        </w:tc>
        <w:tc>
          <w:tcPr>
            <w:tcW w:w="0" w:type="dxa"/>
            <w:vAlign w:val="bottom"/>
          </w:tcPr>
          <w:p>
            <w:pPr>
              <w:spacing w:after="0"/>
              <w:rPr>
                <w:sz w:val="1"/>
                <w:szCs w:val="1"/>
                <w:color w:val="auto"/>
              </w:rPr>
            </w:pPr>
          </w:p>
        </w:tc>
      </w:tr>
      <w:tr>
        <w:trPr>
          <w:trHeight w:val="183"/>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060" w:type="dxa"/>
            <w:vAlign w:val="bottom"/>
          </w:tcPr>
          <w:p>
            <w:pPr>
              <w:spacing w:after="0" w:line="183" w:lineRule="exact"/>
              <w:rPr>
                <w:sz w:val="20"/>
                <w:szCs w:val="20"/>
                <w:color w:val="auto"/>
              </w:rPr>
            </w:pPr>
            <w:r>
              <w:rPr>
                <w:rFonts w:ascii="Arial" w:cs="Arial" w:eastAsia="Arial" w:hAnsi="Arial"/>
                <w:sz w:val="16"/>
                <w:szCs w:val="16"/>
                <w:color w:val="auto"/>
              </w:rPr>
              <w:t>Return on average total stockholders’ equity</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10.01%</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3"/>
              <w:spacing w:after="0" w:line="183" w:lineRule="exact"/>
              <w:rPr>
                <w:sz w:val="20"/>
                <w:szCs w:val="20"/>
                <w:color w:val="auto"/>
              </w:rPr>
            </w:pPr>
            <w:r>
              <w:rPr>
                <w:rFonts w:ascii="Arial" w:cs="Arial" w:eastAsia="Arial" w:hAnsi="Arial"/>
                <w:sz w:val="16"/>
                <w:szCs w:val="16"/>
                <w:color w:val="auto"/>
              </w:rPr>
              <w:t>11.44%</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
              <w:spacing w:after="0" w:line="183" w:lineRule="exact"/>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0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vMerge w:val="continue"/>
          </w:tcPr>
          <w:p>
            <w:pPr>
              <w:spacing w:after="0"/>
              <w:rPr>
                <w:sz w:val="5"/>
                <w:szCs w:val="5"/>
                <w:color w:val="auto"/>
              </w:rPr>
            </w:pPr>
          </w:p>
        </w:tc>
        <w:tc>
          <w:tcPr>
            <w:tcW w:w="34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400" w:type="dxa"/>
            <w:vAlign w:val="bottom"/>
            <w:tcBorders>
              <w:bottom w:val="single" w:sz="8" w:color="7F7F7F"/>
            </w:tcBorders>
          </w:tcPr>
          <w:p>
            <w:pPr>
              <w:spacing w:after="0"/>
              <w:rPr>
                <w:sz w:val="5"/>
                <w:szCs w:val="5"/>
                <w:color w:val="auto"/>
              </w:rPr>
            </w:pPr>
          </w:p>
        </w:tc>
        <w:tc>
          <w:tcPr>
            <w:tcW w:w="40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36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jc w:val="right"/>
              <w:ind w:right="53"/>
              <w:spacing w:after="0" w:line="68" w:lineRule="exact"/>
              <w:rPr>
                <w:sz w:val="20"/>
                <w:szCs w:val="20"/>
                <w:color w:val="auto"/>
              </w:rPr>
            </w:pPr>
            <w:r>
              <w:rPr>
                <w:rFonts w:ascii="Arial" w:cs="Arial" w:eastAsia="Arial" w:hAnsi="Arial"/>
                <w:sz w:val="7"/>
                <w:szCs w:val="7"/>
                <w:color w:val="auto"/>
              </w:rPr>
              <w:t>​ ​</w:t>
            </w: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jc w:val="right"/>
              <w:ind w:right="2"/>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183"/>
        </w:trPr>
        <w:tc>
          <w:tcPr>
            <w:tcW w:w="10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5060" w:type="dxa"/>
            <w:vAlign w:val="bottom"/>
          </w:tcPr>
          <w:p>
            <w:pPr>
              <w:spacing w:after="0" w:line="183" w:lineRule="exact"/>
              <w:rPr>
                <w:sz w:val="20"/>
                <w:szCs w:val="20"/>
                <w:color w:val="auto"/>
              </w:rPr>
            </w:pPr>
            <w:r>
              <w:rPr>
                <w:rFonts w:ascii="Arial" w:cs="Arial" w:eastAsia="Arial" w:hAnsi="Arial"/>
                <w:sz w:val="16"/>
                <w:szCs w:val="16"/>
                <w:color w:val="auto"/>
              </w:rPr>
              <w:t>Return on average tangible stockholders’ equity</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17.39%</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3"/>
              <w:spacing w:after="0" w:line="183" w:lineRule="exact"/>
              <w:rPr>
                <w:sz w:val="20"/>
                <w:szCs w:val="20"/>
                <w:color w:val="auto"/>
              </w:rPr>
            </w:pPr>
            <w:r>
              <w:rPr>
                <w:rFonts w:ascii="Arial" w:cs="Arial" w:eastAsia="Arial" w:hAnsi="Arial"/>
                <w:sz w:val="16"/>
                <w:szCs w:val="16"/>
                <w:color w:val="auto"/>
              </w:rPr>
              <w:t>20.03%</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
              <w:spacing w:after="0" w:line="183" w:lineRule="exact"/>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68"/>
        </w:trPr>
        <w:tc>
          <w:tcPr>
            <w:tcW w:w="100" w:type="dxa"/>
            <w:vAlign w:val="bottom"/>
            <w:tcBorders>
              <w:bottom w:val="single" w:sz="8" w:color="7F7F7F"/>
            </w:tcBorders>
            <w:gridSpan w:val="2"/>
            <w:vMerge w:val="continue"/>
          </w:tcPr>
          <w:p>
            <w:pPr>
              <w:spacing w:after="0"/>
              <w:rPr>
                <w:sz w:val="5"/>
                <w:szCs w:val="5"/>
                <w:color w:val="auto"/>
              </w:rPr>
            </w:pPr>
          </w:p>
        </w:tc>
        <w:tc>
          <w:tcPr>
            <w:tcW w:w="506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vMerge w:val="continue"/>
          </w:tcPr>
          <w:p>
            <w:pPr>
              <w:spacing w:after="0"/>
              <w:rPr>
                <w:sz w:val="5"/>
                <w:szCs w:val="5"/>
                <w:color w:val="auto"/>
              </w:rPr>
            </w:pPr>
          </w:p>
        </w:tc>
        <w:tc>
          <w:tcPr>
            <w:tcW w:w="34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400" w:type="dxa"/>
            <w:vAlign w:val="bottom"/>
            <w:tcBorders>
              <w:bottom w:val="single" w:sz="8" w:color="7F7F7F"/>
            </w:tcBorders>
          </w:tcPr>
          <w:p>
            <w:pPr>
              <w:spacing w:after="0"/>
              <w:rPr>
                <w:sz w:val="5"/>
                <w:szCs w:val="5"/>
                <w:color w:val="auto"/>
              </w:rPr>
            </w:pPr>
          </w:p>
        </w:tc>
        <w:tc>
          <w:tcPr>
            <w:tcW w:w="400" w:type="dxa"/>
            <w:vAlign w:val="bottom"/>
            <w:tcBorders>
              <w:bottom w:val="single" w:sz="8" w:color="7F7F7F"/>
            </w:tcBorders>
          </w:tcPr>
          <w:p>
            <w:pPr>
              <w:jc w:val="right"/>
              <w:spacing w:after="0" w:line="68" w:lineRule="exact"/>
              <w:rPr>
                <w:sz w:val="20"/>
                <w:szCs w:val="20"/>
                <w:color w:val="auto"/>
              </w:rPr>
            </w:pPr>
            <w:r>
              <w:rPr>
                <w:rFonts w:ascii="Arial" w:cs="Arial" w:eastAsia="Arial" w:hAnsi="Arial"/>
                <w:sz w:val="7"/>
                <w:szCs w:val="7"/>
                <w:color w:val="auto"/>
              </w:rPr>
              <w:t>​ ​</w:t>
            </w:r>
          </w:p>
        </w:tc>
        <w:tc>
          <w:tcPr>
            <w:tcW w:w="360" w:type="dxa"/>
            <w:vAlign w:val="bottom"/>
            <w:tcBorders>
              <w:bottom w:val="single" w:sz="8" w:color="7F7F7F"/>
            </w:tcBorders>
            <w:vMerge w:val="continue"/>
          </w:tcPr>
          <w:p>
            <w:pPr>
              <w:spacing w:after="0"/>
              <w:rPr>
                <w:sz w:val="5"/>
                <w:szCs w:val="5"/>
                <w:color w:val="auto"/>
              </w:rPr>
            </w:pPr>
          </w:p>
        </w:tc>
        <w:tc>
          <w:tcPr>
            <w:tcW w:w="10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360" w:type="dxa"/>
            <w:vAlign w:val="bottom"/>
            <w:tcBorders>
              <w:bottom w:val="single" w:sz="8" w:color="7F7F7F"/>
            </w:tcBorders>
          </w:tcPr>
          <w:p>
            <w:pPr>
              <w:jc w:val="right"/>
              <w:ind w:right="53"/>
              <w:spacing w:after="0" w:line="68" w:lineRule="exact"/>
              <w:rPr>
                <w:sz w:val="20"/>
                <w:szCs w:val="20"/>
                <w:color w:val="auto"/>
              </w:rPr>
            </w:pPr>
            <w:r>
              <w:rPr>
                <w:rFonts w:ascii="Arial" w:cs="Arial" w:eastAsia="Arial" w:hAnsi="Arial"/>
                <w:sz w:val="7"/>
                <w:szCs w:val="7"/>
                <w:color w:val="auto"/>
              </w:rPr>
              <w:t>​ ​</w:t>
            </w:r>
          </w:p>
        </w:tc>
        <w:tc>
          <w:tcPr>
            <w:tcW w:w="300" w:type="dxa"/>
            <w:vAlign w:val="bottom"/>
            <w:tcBorders>
              <w:bottom w:val="single" w:sz="8" w:color="7F7F7F"/>
            </w:tcBorders>
            <w:vMerge w:val="continue"/>
          </w:tcPr>
          <w:p>
            <w:pPr>
              <w:spacing w:after="0"/>
              <w:rPr>
                <w:sz w:val="5"/>
                <w:szCs w:val="5"/>
                <w:color w:val="auto"/>
              </w:rPr>
            </w:pPr>
          </w:p>
        </w:tc>
        <w:tc>
          <w:tcPr>
            <w:tcW w:w="80" w:type="dxa"/>
            <w:vAlign w:val="bottom"/>
            <w:tcBorders>
              <w:bottom w:val="single" w:sz="8" w:color="7F7F7F"/>
            </w:tcBorders>
          </w:tcPr>
          <w:p>
            <w:pPr>
              <w:spacing w:after="0"/>
              <w:rPr>
                <w:sz w:val="5"/>
                <w:szCs w:val="5"/>
                <w:color w:val="auto"/>
              </w:rPr>
            </w:pPr>
          </w:p>
        </w:tc>
        <w:tc>
          <w:tcPr>
            <w:tcW w:w="520" w:type="dxa"/>
            <w:vAlign w:val="bottom"/>
            <w:tcBorders>
              <w:bottom w:val="single" w:sz="8" w:color="7F7F7F"/>
            </w:tcBorders>
          </w:tcPr>
          <w:p>
            <w:pPr>
              <w:spacing w:after="0"/>
              <w:rPr>
                <w:sz w:val="5"/>
                <w:szCs w:val="5"/>
                <w:color w:val="auto"/>
              </w:rPr>
            </w:pPr>
          </w:p>
        </w:tc>
        <w:tc>
          <w:tcPr>
            <w:tcW w:w="340" w:type="dxa"/>
            <w:vAlign w:val="bottom"/>
            <w:tcBorders>
              <w:bottom w:val="single" w:sz="8" w:color="7F7F7F"/>
            </w:tcBorders>
          </w:tcPr>
          <w:p>
            <w:pPr>
              <w:jc w:val="right"/>
              <w:ind w:right="2"/>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183"/>
        </w:trPr>
        <w:tc>
          <w:tcPr>
            <w:tcW w:w="5160" w:type="dxa"/>
            <w:vAlign w:val="bottom"/>
            <w:gridSpan w:val="3"/>
          </w:tcPr>
          <w:p>
            <w:pPr>
              <w:ind w:left="80"/>
              <w:spacing w:after="0" w:line="183" w:lineRule="exact"/>
              <w:rPr>
                <w:sz w:val="20"/>
                <w:szCs w:val="20"/>
                <w:color w:val="auto"/>
              </w:rPr>
            </w:pPr>
            <w:r>
              <w:rPr>
                <w:rFonts w:ascii="Arial" w:cs="Arial" w:eastAsia="Arial" w:hAnsi="Arial"/>
                <w:sz w:val="16"/>
                <w:szCs w:val="16"/>
                <w:b w:val="1"/>
                <w:bCs w:val="1"/>
                <w:color w:val="auto"/>
              </w:rPr>
              <w:t>Core return on average tangible stockholders’ equity</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18.42%</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3"/>
              <w:spacing w:after="0" w:line="183" w:lineRule="exact"/>
              <w:rPr>
                <w:sz w:val="20"/>
                <w:szCs w:val="20"/>
                <w:color w:val="auto"/>
              </w:rPr>
            </w:pPr>
            <w:r>
              <w:rPr>
                <w:rFonts w:ascii="Arial" w:cs="Arial" w:eastAsia="Arial" w:hAnsi="Arial"/>
                <w:sz w:val="16"/>
                <w:szCs w:val="16"/>
                <w:color w:val="auto"/>
              </w:rPr>
              <w:t>20.19%</w:t>
            </w: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 ​</w:t>
            </w:r>
          </w:p>
        </w:tc>
        <w:tc>
          <w:tcPr>
            <w:tcW w:w="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
              <w:spacing w:after="0" w:line="183" w:lineRule="exact"/>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68"/>
        </w:trPr>
        <w:tc>
          <w:tcPr>
            <w:tcW w:w="100" w:type="dxa"/>
            <w:vAlign w:val="bottom"/>
            <w:tcBorders>
              <w:bottom w:val="single" w:sz="8" w:color="BF5B5A"/>
            </w:tcBorders>
            <w:gridSpan w:val="2"/>
          </w:tcPr>
          <w:p>
            <w:pPr>
              <w:ind w:left="40"/>
              <w:spacing w:after="0" w:line="68" w:lineRule="exact"/>
              <w:rPr>
                <w:sz w:val="20"/>
                <w:szCs w:val="20"/>
                <w:color w:val="auto"/>
              </w:rPr>
            </w:pPr>
            <w:r>
              <w:rPr>
                <w:rFonts w:ascii="Arial" w:cs="Arial" w:eastAsia="Arial" w:hAnsi="Arial"/>
                <w:sz w:val="7"/>
                <w:szCs w:val="7"/>
                <w:color w:val="auto"/>
              </w:rPr>
              <w:t>​</w:t>
            </w:r>
          </w:p>
        </w:tc>
        <w:tc>
          <w:tcPr>
            <w:tcW w:w="5060" w:type="dxa"/>
            <w:vAlign w:val="bottom"/>
            <w:tcBorders>
              <w:bottom w:val="single" w:sz="8" w:color="BF5B5A"/>
            </w:tcBorders>
          </w:tcPr>
          <w:p>
            <w:pPr>
              <w:spacing w:after="0"/>
              <w:rPr>
                <w:sz w:val="5"/>
                <w:szCs w:val="5"/>
                <w:color w:val="auto"/>
              </w:rPr>
            </w:pPr>
          </w:p>
        </w:tc>
        <w:tc>
          <w:tcPr>
            <w:tcW w:w="200" w:type="dxa"/>
            <w:vAlign w:val="bottom"/>
            <w:tcBorders>
              <w:bottom w:val="single" w:sz="8" w:color="BF5B5A"/>
            </w:tcBorders>
            <w:vMerge w:val="continue"/>
          </w:tcPr>
          <w:p>
            <w:pPr>
              <w:spacing w:after="0"/>
              <w:rPr>
                <w:sz w:val="5"/>
                <w:szCs w:val="5"/>
                <w:color w:val="auto"/>
              </w:rPr>
            </w:pPr>
          </w:p>
        </w:tc>
        <w:tc>
          <w:tcPr>
            <w:tcW w:w="340" w:type="dxa"/>
            <w:vAlign w:val="bottom"/>
            <w:tcBorders>
              <w:bottom w:val="single" w:sz="8" w:color="BF5B5A"/>
            </w:tcBorders>
            <w:vMerge w:val="continue"/>
          </w:tcPr>
          <w:p>
            <w:pPr>
              <w:spacing w:after="0"/>
              <w:rPr>
                <w:sz w:val="5"/>
                <w:szCs w:val="5"/>
                <w:color w:val="auto"/>
              </w:rPr>
            </w:pPr>
          </w:p>
        </w:tc>
        <w:tc>
          <w:tcPr>
            <w:tcW w:w="100" w:type="dxa"/>
            <w:vAlign w:val="bottom"/>
            <w:tcBorders>
              <w:bottom w:val="single" w:sz="8" w:color="BF5B5A"/>
            </w:tcBorders>
          </w:tcPr>
          <w:p>
            <w:pPr>
              <w:spacing w:after="0"/>
              <w:rPr>
                <w:sz w:val="5"/>
                <w:szCs w:val="5"/>
                <w:color w:val="auto"/>
              </w:rPr>
            </w:pPr>
          </w:p>
        </w:tc>
        <w:tc>
          <w:tcPr>
            <w:tcW w:w="400" w:type="dxa"/>
            <w:vAlign w:val="bottom"/>
            <w:tcBorders>
              <w:bottom w:val="single" w:sz="8" w:color="BF5B5A"/>
            </w:tcBorders>
          </w:tcPr>
          <w:p>
            <w:pPr>
              <w:spacing w:after="0"/>
              <w:rPr>
                <w:sz w:val="5"/>
                <w:szCs w:val="5"/>
                <w:color w:val="auto"/>
              </w:rPr>
            </w:pPr>
          </w:p>
        </w:tc>
        <w:tc>
          <w:tcPr>
            <w:tcW w:w="400" w:type="dxa"/>
            <w:vAlign w:val="bottom"/>
            <w:tcBorders>
              <w:bottom w:val="single" w:sz="8" w:color="BF5B5A"/>
            </w:tcBorders>
          </w:tcPr>
          <w:p>
            <w:pPr>
              <w:jc w:val="right"/>
              <w:spacing w:after="0" w:line="68" w:lineRule="exact"/>
              <w:rPr>
                <w:sz w:val="20"/>
                <w:szCs w:val="20"/>
                <w:color w:val="auto"/>
              </w:rPr>
            </w:pPr>
            <w:r>
              <w:rPr>
                <w:rFonts w:ascii="Arial" w:cs="Arial" w:eastAsia="Arial" w:hAnsi="Arial"/>
                <w:sz w:val="7"/>
                <w:szCs w:val="7"/>
                <w:color w:val="auto"/>
              </w:rPr>
              <w:t>​ ​</w:t>
            </w:r>
          </w:p>
        </w:tc>
        <w:tc>
          <w:tcPr>
            <w:tcW w:w="360" w:type="dxa"/>
            <w:vAlign w:val="bottom"/>
            <w:tcBorders>
              <w:bottom w:val="single" w:sz="8" w:color="BF5B5A"/>
            </w:tcBorders>
            <w:vMerge w:val="continue"/>
          </w:tcPr>
          <w:p>
            <w:pPr>
              <w:spacing w:after="0"/>
              <w:rPr>
                <w:sz w:val="5"/>
                <w:szCs w:val="5"/>
                <w:color w:val="auto"/>
              </w:rPr>
            </w:pPr>
          </w:p>
        </w:tc>
        <w:tc>
          <w:tcPr>
            <w:tcW w:w="100" w:type="dxa"/>
            <w:vAlign w:val="bottom"/>
            <w:tcBorders>
              <w:bottom w:val="single" w:sz="8" w:color="BF5B5A"/>
            </w:tcBorders>
          </w:tcPr>
          <w:p>
            <w:pPr>
              <w:spacing w:after="0"/>
              <w:rPr>
                <w:sz w:val="5"/>
                <w:szCs w:val="5"/>
                <w:color w:val="auto"/>
              </w:rPr>
            </w:pPr>
          </w:p>
        </w:tc>
        <w:tc>
          <w:tcPr>
            <w:tcW w:w="520" w:type="dxa"/>
            <w:vAlign w:val="bottom"/>
            <w:tcBorders>
              <w:bottom w:val="single" w:sz="8" w:color="BF5B5A"/>
            </w:tcBorders>
          </w:tcPr>
          <w:p>
            <w:pPr>
              <w:spacing w:after="0"/>
              <w:rPr>
                <w:sz w:val="5"/>
                <w:szCs w:val="5"/>
                <w:color w:val="auto"/>
              </w:rPr>
            </w:pPr>
          </w:p>
        </w:tc>
        <w:tc>
          <w:tcPr>
            <w:tcW w:w="360" w:type="dxa"/>
            <w:vAlign w:val="bottom"/>
            <w:tcBorders>
              <w:bottom w:val="single" w:sz="8" w:color="BF5B5A"/>
            </w:tcBorders>
          </w:tcPr>
          <w:p>
            <w:pPr>
              <w:jc w:val="right"/>
              <w:ind w:right="53"/>
              <w:spacing w:after="0" w:line="68" w:lineRule="exact"/>
              <w:rPr>
                <w:sz w:val="20"/>
                <w:szCs w:val="20"/>
                <w:color w:val="auto"/>
              </w:rPr>
            </w:pPr>
            <w:r>
              <w:rPr>
                <w:rFonts w:ascii="Arial" w:cs="Arial" w:eastAsia="Arial" w:hAnsi="Arial"/>
                <w:sz w:val="7"/>
                <w:szCs w:val="7"/>
                <w:color w:val="auto"/>
              </w:rPr>
              <w:t>​ ​</w:t>
            </w:r>
          </w:p>
        </w:tc>
        <w:tc>
          <w:tcPr>
            <w:tcW w:w="300" w:type="dxa"/>
            <w:vAlign w:val="bottom"/>
            <w:tcBorders>
              <w:bottom w:val="single" w:sz="8" w:color="BF5B5A"/>
            </w:tcBorders>
            <w:vMerge w:val="continue"/>
          </w:tcPr>
          <w:p>
            <w:pPr>
              <w:spacing w:after="0"/>
              <w:rPr>
                <w:sz w:val="5"/>
                <w:szCs w:val="5"/>
                <w:color w:val="auto"/>
              </w:rPr>
            </w:pPr>
          </w:p>
        </w:tc>
        <w:tc>
          <w:tcPr>
            <w:tcW w:w="80" w:type="dxa"/>
            <w:vAlign w:val="bottom"/>
            <w:tcBorders>
              <w:bottom w:val="single" w:sz="8" w:color="BF5B5A"/>
            </w:tcBorders>
          </w:tcPr>
          <w:p>
            <w:pPr>
              <w:spacing w:after="0"/>
              <w:rPr>
                <w:sz w:val="5"/>
                <w:szCs w:val="5"/>
                <w:color w:val="auto"/>
              </w:rPr>
            </w:pPr>
          </w:p>
        </w:tc>
        <w:tc>
          <w:tcPr>
            <w:tcW w:w="520" w:type="dxa"/>
            <w:vAlign w:val="bottom"/>
            <w:tcBorders>
              <w:bottom w:val="single" w:sz="8" w:color="BF5B5A"/>
            </w:tcBorders>
          </w:tcPr>
          <w:p>
            <w:pPr>
              <w:spacing w:after="0"/>
              <w:rPr>
                <w:sz w:val="5"/>
                <w:szCs w:val="5"/>
                <w:color w:val="auto"/>
              </w:rPr>
            </w:pPr>
          </w:p>
        </w:tc>
        <w:tc>
          <w:tcPr>
            <w:tcW w:w="340" w:type="dxa"/>
            <w:vAlign w:val="bottom"/>
            <w:tcBorders>
              <w:bottom w:val="single" w:sz="8" w:color="BF5B5A"/>
            </w:tcBorders>
          </w:tcPr>
          <w:p>
            <w:pPr>
              <w:jc w:val="right"/>
              <w:ind w:right="2"/>
              <w:spacing w:after="0" w:line="68"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-1687830</wp:posOffset>
            </wp:positionV>
            <wp:extent cx="5768975" cy="3175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6897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80"/>
        <w:spacing w:after="0"/>
        <w:tabs>
          <w:tab w:leader="none" w:pos="6300" w:val="left"/>
        </w:tabs>
        <w:rPr>
          <w:sz w:val="20"/>
          <w:szCs w:val="20"/>
          <w:color w:val="auto"/>
        </w:rPr>
      </w:pPr>
      <w:r>
        <w:rPr>
          <w:rFonts w:ascii="Arial" w:cs="Arial" w:eastAsia="Arial" w:hAnsi="Arial"/>
          <w:sz w:val="32"/>
          <w:szCs w:val="32"/>
          <w:b w:val="1"/>
          <w:bCs w:val="1"/>
          <w:color w:val="000000"/>
          <w:vertAlign w:val="superscript"/>
        </w:rPr>
        <w:t>​</w:t>
      </w:r>
      <w:r>
        <w:rPr>
          <w:rFonts w:ascii="Arial" w:cs="Arial" w:eastAsia="Arial" w:hAnsi="Arial"/>
          <w:sz w:val="16"/>
          <w:szCs w:val="16"/>
          <w:b w:val="1"/>
          <w:bCs w:val="1"/>
          <w:color w:val="BF5B5A"/>
        </w:rPr>
        <w:t xml:space="preserve">A-2 </w:t>
      </w:r>
      <w:r>
        <w:rPr>
          <w:rFonts w:ascii="Arial" w:cs="Arial" w:eastAsia="Arial" w:hAnsi="Arial"/>
          <w:sz w:val="32"/>
          <w:szCs w:val="32"/>
          <w:b w:val="1"/>
          <w:bCs w:val="1"/>
          <w:color w:val="000000"/>
          <w:vertAlign w:val="superscript"/>
        </w:rPr>
        <w:t>​ ​</w:t>
      </w:r>
      <w:r>
        <w:rPr>
          <w:sz w:val="20"/>
          <w:szCs w:val="20"/>
          <w:color w:val="auto"/>
        </w:rPr>
        <w:tab/>
      </w:r>
      <w:r>
        <w:rPr>
          <w:rFonts w:ascii="Arial" w:cs="Arial" w:eastAsia="Arial" w:hAnsi="Arial"/>
          <w:sz w:val="15"/>
          <w:szCs w:val="15"/>
          <w:b w:val="1"/>
          <w:bCs w:val="1"/>
          <w:color w:val="auto"/>
        </w:rPr>
        <w:t xml:space="preserve">FIRST HAWAIIAN, INC. </w:t>
      </w:r>
      <w:r>
        <w:rPr>
          <w:rFonts w:ascii="Arial" w:cs="Arial" w:eastAsia="Arial" w:hAnsi="Arial"/>
          <w:sz w:val="15"/>
          <w:szCs w:val="15"/>
          <w:color w:val="auto"/>
        </w:rPr>
        <w:t>2024 PROXY STATEMENT</w:t>
      </w:r>
      <w:r>
        <w:rPr>
          <w:rFonts w:ascii="Arial" w:cs="Arial" w:eastAsia="Arial" w:hAnsi="Arial"/>
          <w:sz w:val="29"/>
          <w:szCs w:val="2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-224155</wp:posOffset>
            </wp:positionV>
            <wp:extent cx="58293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148590</wp:posOffset>
            </wp:positionV>
            <wp:extent cx="683196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506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31965" cy="88506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252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31965" cy="882523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1)"/>
      <w:numFmt w:val="decimal"/>
      <w:start w:val="1"/>
    </w:lvl>
  </w:abstractNum>
  <w:abstractNum w:abstractNumId="21">
    <w:nsid w:val="1D9F6E5F"/>
    <w:multiLevelType w:val="hybridMultilevel"/>
    <w:lvl w:ilvl="0">
      <w:lvlJc w:val="left"/>
      <w:lvlText w:val="​"/>
      <w:numFmt w:val="bullet"/>
      <w:start w:val="1"/>
    </w:lvl>
    <w:lvl w:ilvl="1">
      <w:lvlJc w:val="left"/>
      <w:lvlText w:val="​"/>
      <w:numFmt w:val="bullet"/>
      <w:start w:val="1"/>
    </w:lvl>
  </w:abstractNum>
  <w:abstractNum w:abstractNumId="22">
    <w:nsid w:val="97E1B4E"/>
    <w:multiLevelType w:val="hybridMultilevel"/>
    <w:lvl w:ilvl="0">
      <w:lvlJc w:val="left"/>
      <w:lvlText w:val="​"/>
      <w:numFmt w:val="bullet"/>
      <w:start w:val="1"/>
    </w:lvl>
  </w:abstractNum>
  <w:abstractNum w:abstractNumId="23">
    <w:nsid w:val="51088277"/>
    <w:multiLevelType w:val="hybridMultilevel"/>
    <w:lvl w:ilvl="0">
      <w:lvlJc w:val="left"/>
      <w:lvlText w:val="​"/>
      <w:numFmt w:val="bullet"/>
      <w:start w:val="1"/>
    </w:lvl>
  </w:abstractNum>
  <w:abstractNum w:abstractNumId="24">
    <w:nsid w:val="1CA0C5FA"/>
    <w:multiLevelType w:val="hybridMultilevel"/>
    <w:lvl w:ilvl="0">
      <w:lvlJc w:val="left"/>
      <w:lvlText w:val="​"/>
      <w:numFmt w:val="bullet"/>
      <w:start w:val="1"/>
    </w:lvl>
  </w:abstractNum>
  <w:abstractNum w:abstractNumId="25">
    <w:nsid w:val="53584BCB"/>
    <w:multiLevelType w:val="hybridMultilevel"/>
    <w:lvl w:ilvl="0">
      <w:lvlJc w:val="left"/>
      <w:lvlText w:val="​"/>
      <w:numFmt w:val="bullet"/>
      <w:start w:val="1"/>
    </w:lvl>
  </w:abstractNum>
  <w:abstractNum w:abstractNumId="26">
    <w:nsid w:val="415E286C"/>
    <w:multiLevelType w:val="hybridMultilevel"/>
    <w:lvl w:ilvl="0">
      <w:lvlJc w:val="left"/>
      <w:lvlText w:val="​"/>
      <w:numFmt w:val="bullet"/>
      <w:start w:val="1"/>
    </w:lvl>
    <w:lvl w:ilvl="1">
      <w:lvlJc w:val="left"/>
      <w:lvlText w:val="​"/>
      <w:numFmt w:val="bullet"/>
      <w:start w:val="1"/>
    </w:lvl>
  </w:abstractNum>
  <w:abstractNum w:abstractNumId="27">
    <w:nsid w:val="7C58FD05"/>
    <w:multiLevelType w:val="hybridMultilevel"/>
    <w:lvl w:ilvl="0">
      <w:lvlJc w:val="left"/>
      <w:lvlText w:val="•"/>
      <w:numFmt w:val="bullet"/>
      <w:start w:val="1"/>
    </w:lvl>
  </w:abstractNum>
  <w:abstractNum w:abstractNumId="28">
    <w:nsid w:val="23D86AAC"/>
    <w:multiLevelType w:val="hybridMultilevel"/>
    <w:lvl w:ilvl="0">
      <w:lvlJc w:val="left"/>
      <w:lvlText w:val="•"/>
      <w:numFmt w:val="bullet"/>
      <w:start w:val="1"/>
    </w:lvl>
  </w:abstractNum>
  <w:abstractNum w:abstractNumId="29">
    <w:nsid w:val="45E6D486"/>
    <w:multiLevelType w:val="hybridMultilevel"/>
    <w:lvl w:ilvl="0">
      <w:lvlJc w:val="left"/>
      <w:lvlText w:val="​"/>
      <w:numFmt w:val="bullet"/>
      <w:start w:val="1"/>
    </w:lvl>
  </w:abstractNum>
  <w:abstractNum w:abstractNumId="30">
    <w:nsid w:val="5C10FE21"/>
    <w:multiLevelType w:val="hybridMultilevel"/>
    <w:lvl w:ilvl="0">
      <w:lvlJc w:val="left"/>
      <w:lvlText w:val="​"/>
      <w:numFmt w:val="bullet"/>
      <w:start w:val="1"/>
    </w:lvl>
  </w:abstractNum>
  <w:abstractNum w:abstractNumId="31">
    <w:nsid w:val="E7FFA2B"/>
    <w:multiLevelType w:val="hybridMultilevel"/>
    <w:lvl w:ilvl="0">
      <w:lvlJc w:val="left"/>
      <w:lvlText w:val="•"/>
      <w:numFmt w:val="bullet"/>
      <w:start w:val="1"/>
    </w:lvl>
  </w:abstractNum>
  <w:abstractNum w:abstractNumId="32">
    <w:nsid w:val="3C5991AA"/>
    <w:multiLevelType w:val="hybridMultilevel"/>
    <w:lvl w:ilvl="0">
      <w:lvlJc w:val="left"/>
      <w:lvlText w:val="•"/>
      <w:numFmt w:val="bullet"/>
      <w:start w:val="1"/>
    </w:lvl>
  </w:abstractNum>
  <w:abstractNum w:abstractNumId="33">
    <w:nsid w:val="4BD8591A"/>
    <w:multiLevelType w:val="hybridMultilevel"/>
    <w:lvl w:ilvl="0">
      <w:lvlJc w:val="left"/>
      <w:lvlText w:val="•"/>
      <w:numFmt w:val="bullet"/>
      <w:start w:val="1"/>
    </w:lvl>
  </w:abstractNum>
  <w:abstractNum w:abstractNumId="34">
    <w:nsid w:val="78DF6A55"/>
    <w:multiLevelType w:val="hybridMultilevel"/>
    <w:lvl w:ilvl="0">
      <w:lvlJc w:val="left"/>
      <w:lvlText w:val="•"/>
      <w:numFmt w:val="bullet"/>
      <w:start w:val="1"/>
    </w:lvl>
  </w:abstractNum>
  <w:abstractNum w:abstractNumId="35">
    <w:nsid w:val="39B7AAA2"/>
    <w:multiLevelType w:val="hybridMultilevel"/>
    <w:lvl w:ilvl="0">
      <w:lvlJc w:val="left"/>
      <w:lvlText w:val="•"/>
      <w:numFmt w:val="bullet"/>
      <w:start w:val="1"/>
    </w:lvl>
  </w:abstractNum>
  <w:abstractNum w:abstractNumId="36">
    <w:nsid w:val="2B0D8DBE"/>
    <w:multiLevelType w:val="hybridMultilevel"/>
    <w:lvl w:ilvl="0">
      <w:lvlJc w:val="left"/>
      <w:lvlText w:val="(%1)"/>
      <w:numFmt w:val="decimal"/>
      <w:start w:val="1"/>
    </w:lvl>
  </w:abstractNum>
  <w:abstractNum w:abstractNumId="37">
    <w:nsid w:val="6C80EC70"/>
    <w:multiLevelType w:val="hybridMultilevel"/>
    <w:lvl w:ilvl="0">
      <w:lvlJc w:val="left"/>
      <w:lvlText w:val="•"/>
      <w:numFmt w:val="bullet"/>
      <w:start w:val="1"/>
    </w:lvl>
  </w:abstractNum>
  <w:abstractNum w:abstractNumId="38">
    <w:nsid w:val="379E21B5"/>
    <w:multiLevelType w:val="hybridMultilevel"/>
    <w:lvl w:ilvl="0">
      <w:lvlJc w:val="left"/>
      <w:lvlText w:val="•"/>
      <w:numFmt w:val="bullet"/>
      <w:start w:val="1"/>
    </w:lvl>
  </w:abstractNum>
  <w:abstractNum w:abstractNumId="39">
    <w:nsid w:val="69E373"/>
    <w:multiLevelType w:val="hybridMultilevel"/>
    <w:lvl w:ilvl="0">
      <w:lvlJc w:val="left"/>
      <w:lvlText w:val="•"/>
      <w:numFmt w:val="bullet"/>
      <w:start w:val="1"/>
    </w:lvl>
  </w:abstractNum>
  <w:abstractNum w:abstractNumId="40">
    <w:nsid w:val="2C27173B"/>
    <w:multiLevelType w:val="hybridMultilevel"/>
    <w:lvl w:ilvl="0">
      <w:lvlJc w:val="left"/>
      <w:lvlText w:val="•"/>
      <w:numFmt w:val="bullet"/>
      <w:start w:val="1"/>
    </w:lvl>
  </w:abstractNum>
  <w:abstractNum w:abstractNumId="41">
    <w:nsid w:val="4C9B0904"/>
    <w:multiLevelType w:val="hybridMultilevel"/>
    <w:lvl w:ilvl="0">
      <w:lvlJc w:val="left"/>
      <w:lvlText w:val="•"/>
      <w:numFmt w:val="bullet"/>
      <w:start w:val="1"/>
    </w:lvl>
  </w:abstractNum>
  <w:abstractNum w:abstractNumId="42">
    <w:nsid w:val="6AA7B75C"/>
    <w:multiLevelType w:val="hybridMultilevel"/>
    <w:lvl w:ilvl="0">
      <w:lvlJc w:val="left"/>
      <w:lvlText w:val="•"/>
      <w:numFmt w:val="bullet"/>
      <w:start w:val="1"/>
    </w:lvl>
  </w:abstractNum>
  <w:abstractNum w:abstractNumId="43">
    <w:nsid w:val="1DF029D3"/>
    <w:multiLevelType w:val="hybridMultilevel"/>
    <w:lvl w:ilvl="0">
      <w:lvlJc w:val="left"/>
      <w:lvlText w:val="•"/>
      <w:numFmt w:val="bullet"/>
      <w:start w:val="1"/>
    </w:lvl>
  </w:abstractNum>
  <w:abstractNum w:abstractNumId="44">
    <w:nsid w:val="5675FF36"/>
    <w:multiLevelType w:val="hybridMultilevel"/>
    <w:lvl w:ilvl="0">
      <w:lvlJc w:val="left"/>
      <w:lvlText w:val="•"/>
      <w:numFmt w:val="bullet"/>
      <w:start w:val="1"/>
    </w:lvl>
  </w:abstractNum>
  <w:abstractNum w:abstractNumId="45">
    <w:nsid w:val="3DD15094"/>
    <w:multiLevelType w:val="hybridMultilevel"/>
    <w:lvl w:ilvl="0">
      <w:lvlJc w:val="left"/>
      <w:lvlText w:val="•"/>
      <w:numFmt w:val="bullet"/>
      <w:start w:val="1"/>
    </w:lvl>
  </w:abstractNum>
  <w:abstractNum w:abstractNumId="46">
    <w:nsid w:val="3DB012B3"/>
    <w:multiLevelType w:val="hybridMultilevel"/>
    <w:lvl w:ilvl="0">
      <w:lvlJc w:val="left"/>
      <w:lvlText w:val="•"/>
      <w:numFmt w:val="bullet"/>
      <w:start w:val="1"/>
    </w:lvl>
  </w:abstractNum>
  <w:abstractNum w:abstractNumId="47">
    <w:nsid w:val="2708C9AF"/>
    <w:multiLevelType w:val="hybridMultilevel"/>
    <w:lvl w:ilvl="0">
      <w:lvlJc w:val="left"/>
      <w:lvlText w:val="•"/>
      <w:numFmt w:val="bullet"/>
      <w:start w:val="1"/>
    </w:lvl>
  </w:abstractNum>
  <w:abstractNum w:abstractNumId="48">
    <w:nsid w:val="5B25ACE2"/>
    <w:multiLevelType w:val="hybridMultilevel"/>
    <w:lvl w:ilvl="0">
      <w:lvlJc w:val="left"/>
      <w:lvlText w:val="•"/>
      <w:numFmt w:val="bullet"/>
      <w:start w:val="1"/>
    </w:lvl>
  </w:abstractNum>
  <w:abstractNum w:abstractNumId="49">
    <w:nsid w:val="175DFCF0"/>
    <w:multiLevelType w:val="hybridMultilevel"/>
    <w:lvl w:ilvl="0">
      <w:lvlJc w:val="left"/>
      <w:lvlText w:val="•"/>
      <w:numFmt w:val="bullet"/>
      <w:start w:val="1"/>
    </w:lvl>
  </w:abstractNum>
  <w:abstractNum w:abstractNumId="50">
    <w:nsid w:val="4F97E3E4"/>
    <w:multiLevelType w:val="hybridMultilevel"/>
    <w:lvl w:ilvl="0">
      <w:lvlJc w:val="left"/>
      <w:lvlText w:val="•"/>
      <w:numFmt w:val="bullet"/>
      <w:start w:val="1"/>
    </w:lvl>
  </w:abstractNum>
  <w:abstractNum w:abstractNumId="51">
    <w:nsid w:val="53B0A9E"/>
    <w:multiLevelType w:val="hybridMultilevel"/>
    <w:lvl w:ilvl="0">
      <w:lvlJc w:val="left"/>
      <w:lvlText w:val="•"/>
      <w:numFmt w:val="bullet"/>
      <w:start w:val="1"/>
    </w:lvl>
  </w:abstractNum>
  <w:abstractNum w:abstractNumId="52">
    <w:nsid w:val="34FD6B4F"/>
    <w:multiLevelType w:val="hybridMultilevel"/>
    <w:lvl w:ilvl="0">
      <w:lvlJc w:val="left"/>
      <w:lvlText w:val="•"/>
      <w:numFmt w:val="bullet"/>
      <w:start w:val="1"/>
    </w:lvl>
  </w:abstractNum>
  <w:abstractNum w:abstractNumId="53">
    <w:nsid w:val="5915FF32"/>
    <w:multiLevelType w:val="hybridMultilevel"/>
    <w:lvl w:ilvl="0">
      <w:lvlJc w:val="left"/>
      <w:lvlText w:val="•"/>
      <w:numFmt w:val="bullet"/>
      <w:start w:val="1"/>
    </w:lvl>
  </w:abstractNum>
  <w:abstractNum w:abstractNumId="54">
    <w:nsid w:val="56438D15"/>
    <w:multiLevelType w:val="hybridMultilevel"/>
    <w:lvl w:ilvl="0">
      <w:lvlJc w:val="left"/>
      <w:lvlText w:val="•"/>
      <w:numFmt w:val="bullet"/>
      <w:start w:val="1"/>
    </w:lvl>
  </w:abstractNum>
  <w:abstractNum w:abstractNumId="55">
    <w:nsid w:val="519E3149"/>
    <w:multiLevelType w:val="hybridMultilevel"/>
    <w:lvl w:ilvl="0">
      <w:lvlJc w:val="left"/>
      <w:lvlText w:val="•"/>
      <w:numFmt w:val="bullet"/>
      <w:start w:val="1"/>
    </w:lvl>
  </w:abstractNum>
  <w:abstractNum w:abstractNumId="56">
    <w:nsid w:val="2C6E4AFD"/>
    <w:multiLevelType w:val="hybridMultilevel"/>
    <w:lvl w:ilvl="0">
      <w:lvlJc w:val="left"/>
      <w:lvlText w:val="•"/>
      <w:numFmt w:val="bullet"/>
      <w:start w:val="1"/>
    </w:lvl>
  </w:abstractNum>
  <w:abstractNum w:abstractNumId="57">
    <w:nsid w:val="17A1B582"/>
    <w:multiLevelType w:val="hybridMultilevel"/>
    <w:lvl w:ilvl="0">
      <w:lvlJc w:val="left"/>
      <w:lvlText w:val="•"/>
      <w:numFmt w:val="bullet"/>
      <w:start w:val="1"/>
    </w:lvl>
  </w:abstractNum>
  <w:abstractNum w:abstractNumId="58">
    <w:nsid w:val="4DF72E4E"/>
    <w:multiLevelType w:val="hybridMultilevel"/>
    <w:lvl w:ilvl="0">
      <w:lvlJc w:val="left"/>
      <w:lvlText w:val="•"/>
      <w:numFmt w:val="bullet"/>
      <w:start w:val="1"/>
    </w:lvl>
  </w:abstractNum>
  <w:abstractNum w:abstractNumId="59">
    <w:nsid w:val="5046B5A9"/>
    <w:multiLevelType w:val="hybridMultilevel"/>
    <w:lvl w:ilvl="0">
      <w:lvlJc w:val="left"/>
      <w:lvlText w:val="•"/>
      <w:numFmt w:val="bullet"/>
      <w:start w:val="1"/>
    </w:lvl>
  </w:abstractNum>
  <w:abstractNum w:abstractNumId="60">
    <w:nsid w:val="5D888A08"/>
    <w:multiLevelType w:val="hybridMultilevel"/>
    <w:lvl w:ilvl="0">
      <w:lvlJc w:val="left"/>
      <w:lvlText w:val="•"/>
      <w:numFmt w:val="bullet"/>
      <w:start w:val="1"/>
    </w:lvl>
  </w:abstractNum>
  <w:abstractNum w:abstractNumId="61">
    <w:nsid w:val="2A082C70"/>
    <w:multiLevelType w:val="hybridMultilevel"/>
    <w:lvl w:ilvl="0">
      <w:lvlJc w:val="left"/>
      <w:lvlText w:val="•"/>
      <w:numFmt w:val="bullet"/>
      <w:start w:val="1"/>
    </w:lvl>
  </w:abstractNum>
  <w:abstractNum w:abstractNumId="62">
    <w:nsid w:val="5EC6AFD4"/>
    <w:multiLevelType w:val="hybridMultilevel"/>
    <w:lvl w:ilvl="0">
      <w:lvlJc w:val="left"/>
      <w:lvlText w:val="•"/>
      <w:numFmt w:val="bullet"/>
      <w:start w:val="1"/>
    </w:lvl>
  </w:abstractNum>
  <w:abstractNum w:abstractNumId="63">
    <w:nsid w:val="19E21BB2"/>
    <w:multiLevelType w:val="hybridMultilevel"/>
    <w:lvl w:ilvl="0">
      <w:lvlJc w:val="left"/>
      <w:lvlText w:val="•"/>
      <w:numFmt w:val="bullet"/>
      <w:start w:val="1"/>
    </w:lvl>
  </w:abstractNum>
  <w:abstractNum w:abstractNumId="64">
    <w:nsid w:val="75E0858A"/>
    <w:multiLevelType w:val="hybridMultilevel"/>
    <w:lvl w:ilvl="0">
      <w:lvlJc w:val="left"/>
      <w:lvlText w:val="(%1)"/>
      <w:numFmt w:val="decimal"/>
      <w:start w:val="1"/>
    </w:lvl>
  </w:abstractNum>
  <w:abstractNum w:abstractNumId="65">
    <w:nsid w:val="57A61A29"/>
    <w:multiLevelType w:val="hybridMultilevel"/>
    <w:lvl w:ilvl="0">
      <w:lvlJc w:val="left"/>
      <w:lvlText w:val="•"/>
      <w:numFmt w:val="bullet"/>
      <w:start w:val="1"/>
    </w:lvl>
  </w:abstractNum>
  <w:abstractNum w:abstractNumId="66">
    <w:nsid w:val="5399C654"/>
    <w:multiLevelType w:val="hybridMultilevel"/>
    <w:lvl w:ilvl="0">
      <w:lvlJc w:val="left"/>
      <w:lvlText w:val="•"/>
      <w:numFmt w:val="bullet"/>
      <w:start w:val="1"/>
    </w:lvl>
  </w:abstractNum>
  <w:abstractNum w:abstractNumId="67">
    <w:nsid w:val="20EE1348"/>
    <w:multiLevelType w:val="hybridMultilevel"/>
    <w:lvl w:ilvl="0">
      <w:lvlJc w:val="left"/>
      <w:lvlText w:val="•"/>
      <w:numFmt w:val="bullet"/>
      <w:start w:val="1"/>
    </w:lvl>
  </w:abstractNum>
  <w:abstractNum w:abstractNumId="68">
    <w:nsid w:val="4427069A"/>
    <w:multiLevelType w:val="hybridMultilevel"/>
    <w:lvl w:ilvl="0">
      <w:lvlJc w:val="left"/>
      <w:lvlText w:val="•"/>
      <w:numFmt w:val="bullet"/>
      <w:start w:val="1"/>
    </w:lvl>
  </w:abstractNum>
  <w:abstractNum w:abstractNumId="69">
    <w:nsid w:val="B37E80A"/>
    <w:multiLevelType w:val="hybridMultilevel"/>
    <w:lvl w:ilvl="0">
      <w:lvlJc w:val="left"/>
      <w:lvlText w:val="•"/>
      <w:numFmt w:val="bullet"/>
      <w:start w:val="1"/>
    </w:lvl>
  </w:abstractNum>
  <w:abstractNum w:abstractNumId="70">
    <w:nsid w:val="2157F6BC"/>
    <w:multiLevelType w:val="hybridMultilevel"/>
    <w:lvl w:ilvl="0">
      <w:lvlJc w:val="left"/>
      <w:lvlText w:val="•"/>
      <w:numFmt w:val="bullet"/>
      <w:start w:val="1"/>
    </w:lvl>
  </w:abstractNum>
  <w:abstractNum w:abstractNumId="71">
    <w:nsid w:val="704E1DD5"/>
    <w:multiLevelType w:val="hybridMultilevel"/>
    <w:lvl w:ilvl="0">
      <w:lvlJc w:val="left"/>
      <w:lvlText w:val="•"/>
      <w:numFmt w:val="bullet"/>
      <w:start w:val="1"/>
    </w:lvl>
  </w:abstractNum>
  <w:abstractNum w:abstractNumId="72">
    <w:nsid w:val="57D2F10E"/>
    <w:multiLevelType w:val="hybridMultilevel"/>
    <w:lvl w:ilvl="0">
      <w:lvlJc w:val="left"/>
      <w:lvlText w:val="•"/>
      <w:numFmt w:val="bullet"/>
      <w:start w:val="1"/>
    </w:lvl>
  </w:abstractNum>
  <w:abstractNum w:abstractNumId="73">
    <w:nsid w:val="BFFAE18"/>
    <w:multiLevelType w:val="hybridMultilevel"/>
    <w:lvl w:ilvl="0">
      <w:lvlJc w:val="left"/>
      <w:lvlText w:val="•"/>
      <w:numFmt w:val="bullet"/>
      <w:start w:val="1"/>
    </w:lvl>
  </w:abstractNum>
  <w:abstractNum w:abstractNumId="74">
    <w:nsid w:val="E3E47A8"/>
    <w:multiLevelType w:val="hybridMultilevel"/>
    <w:lvl w:ilvl="0">
      <w:lvlJc w:val="left"/>
      <w:lvlText w:val="•"/>
      <w:numFmt w:val="bullet"/>
      <w:start w:val="1"/>
    </w:lvl>
  </w:abstractNum>
  <w:abstractNum w:abstractNumId="75">
    <w:nsid w:val="2E48F044"/>
    <w:multiLevelType w:val="hybridMultilevel"/>
    <w:lvl w:ilvl="0">
      <w:lvlJc w:val="left"/>
      <w:lvlText w:val="•"/>
      <w:numFmt w:val="bullet"/>
      <w:start w:val="1"/>
    </w:lvl>
  </w:abstractNum>
  <w:abstractNum w:abstractNumId="76">
    <w:nsid w:val="49D0FEAC"/>
    <w:multiLevelType w:val="hybridMultilevel"/>
    <w:lvl w:ilvl="0">
      <w:lvlJc w:val="left"/>
      <w:lvlText w:val="•"/>
      <w:numFmt w:val="bullet"/>
      <w:start w:val="1"/>
    </w:lvl>
  </w:abstractNum>
  <w:abstractNum w:abstractNumId="77">
    <w:nsid w:val="4BEE5A5B"/>
    <w:multiLevelType w:val="hybridMultilevel"/>
    <w:lvl w:ilvl="0">
      <w:lvlJc w:val="left"/>
      <w:lvlText w:val="•"/>
      <w:numFmt w:val="bullet"/>
      <w:start w:val="1"/>
    </w:lvl>
  </w:abstractNum>
  <w:abstractNum w:abstractNumId="78">
    <w:nsid w:val="5551B9F3"/>
    <w:multiLevelType w:val="hybridMultilevel"/>
    <w:lvl w:ilvl="0">
      <w:lvlJc w:val="left"/>
      <w:lvlText w:val="•"/>
      <w:numFmt w:val="bullet"/>
      <w:start w:val="1"/>
    </w:lvl>
  </w:abstractNum>
  <w:abstractNum w:abstractNumId="79">
    <w:nsid w:val="24F6AB8E"/>
    <w:multiLevelType w:val="hybridMultilevel"/>
    <w:lvl w:ilvl="0">
      <w:lvlJc w:val="left"/>
      <w:lvlText w:val="•"/>
      <w:numFmt w:val="bullet"/>
      <w:start w:val="1"/>
    </w:lvl>
  </w:abstractNum>
  <w:abstractNum w:abstractNumId="80">
    <w:nsid w:val="634C574C"/>
    <w:multiLevelType w:val="hybridMultilevel"/>
    <w:lvl w:ilvl="0">
      <w:lvlJc w:val="left"/>
      <w:lvlText w:val="•"/>
      <w:numFmt w:val="bullet"/>
      <w:start w:val="1"/>
    </w:lvl>
  </w:abstractNum>
  <w:abstractNum w:abstractNumId="81">
    <w:nsid w:val="24E99DD7"/>
    <w:multiLevelType w:val="hybridMultilevel"/>
    <w:lvl w:ilvl="0">
      <w:lvlJc w:val="left"/>
      <w:lvlText w:val="•"/>
      <w:numFmt w:val="bullet"/>
      <w:start w:val="1"/>
    </w:lvl>
  </w:abstractNum>
  <w:abstractNum w:abstractNumId="82">
    <w:nsid w:val="2A31B62D"/>
    <w:multiLevelType w:val="hybridMultilevel"/>
    <w:lvl w:ilvl="0">
      <w:lvlJc w:val="left"/>
      <w:lvlText w:val="​"/>
      <w:numFmt w:val="bullet"/>
      <w:start w:val="1"/>
    </w:lvl>
    <w:lvl w:ilvl="1">
      <w:lvlJc w:val="left"/>
      <w:lvlText w:val="•"/>
      <w:numFmt w:val="bullet"/>
      <w:start w:val="1"/>
    </w:lvl>
  </w:abstractNum>
  <w:abstractNum w:abstractNumId="83">
    <w:nsid w:val="1849C29B"/>
    <w:multiLevelType w:val="hybridMultilevel"/>
    <w:lvl w:ilvl="0">
      <w:lvlJc w:val="left"/>
      <w:lvlText w:val="•"/>
      <w:numFmt w:val="bullet"/>
      <w:start w:val="1"/>
    </w:lvl>
  </w:abstractNum>
  <w:abstractNum w:abstractNumId="84">
    <w:nsid w:val="7DFF9D09"/>
    <w:multiLevelType w:val="hybridMultilevel"/>
    <w:lvl w:ilvl="0">
      <w:lvlJc w:val="left"/>
      <w:lvlText w:val="(%1)"/>
      <w:numFmt w:val="decimal"/>
      <w:start w:val="1"/>
    </w:lvl>
  </w:abstractNum>
  <w:abstractNum w:abstractNumId="85">
    <w:nsid w:val="754342"/>
    <w:multiLevelType w:val="hybridMultilevel"/>
    <w:lvl w:ilvl="0">
      <w:lvlJc w:val="left"/>
      <w:lvlText w:val="​"/>
      <w:numFmt w:val="bullet"/>
      <w:start w:val="1"/>
    </w:lvl>
  </w:abstractNum>
  <w:abstractNum w:abstractNumId="86">
    <w:nsid w:val="69E7F3E5"/>
    <w:multiLevelType w:val="hybridMultilevel"/>
    <w:lvl w:ilvl="0">
      <w:lvlJc w:val="left"/>
      <w:lvlText w:val="​"/>
      <w:numFmt w:val="bullet"/>
      <w:start w:val="1"/>
    </w:lvl>
  </w:abstractNum>
  <w:abstractNum w:abstractNumId="87">
    <w:nsid w:val="2A6DE806"/>
    <w:multiLevelType w:val="hybridMultilevel"/>
    <w:lvl w:ilvl="0">
      <w:lvlJc w:val="left"/>
      <w:lvlText w:val="•"/>
      <w:numFmt w:val="bullet"/>
      <w:start w:val="1"/>
    </w:lvl>
  </w:abstractNum>
  <w:abstractNum w:abstractNumId="88">
    <w:nsid w:val="1816F8C4"/>
    <w:multiLevelType w:val="hybridMultilevel"/>
    <w:lvl w:ilvl="0">
      <w:lvlJc w:val="left"/>
      <w:lvlText w:val="​"/>
      <w:numFmt w:val="bullet"/>
      <w:start w:val="1"/>
    </w:lvl>
  </w:abstractNum>
  <w:abstractNum w:abstractNumId="89">
    <w:nsid w:val="37DF2233"/>
    <w:multiLevelType w:val="hybridMultilevel"/>
    <w:lvl w:ilvl="0">
      <w:lvlJc w:val="left"/>
      <w:lvlText w:val="(%1)"/>
      <w:numFmt w:val="decimal"/>
      <w:start w:val="1"/>
    </w:lvl>
  </w:abstractNum>
  <w:abstractNum w:abstractNumId="90">
    <w:nsid w:val="7AB49DAF"/>
    <w:multiLevelType w:val="hybridMultilevel"/>
    <w:lvl w:ilvl="0">
      <w:lvlJc w:val="left"/>
      <w:lvlText w:val="•"/>
      <w:numFmt w:val="bullet"/>
      <w:start w:val="1"/>
    </w:lvl>
  </w:abstractNum>
  <w:abstractNum w:abstractNumId="91">
    <w:nsid w:val="759F82CD"/>
    <w:multiLevelType w:val="hybridMultilevel"/>
    <w:lvl w:ilvl="0">
      <w:lvlJc w:val="left"/>
      <w:lvlText w:val="*"/>
      <w:numFmt w:val="bullet"/>
      <w:start w:val="1"/>
    </w:lvl>
  </w:abstractNum>
  <w:abstractNum w:abstractNumId="92">
    <w:nsid w:val="61E74EA3"/>
    <w:multiLevelType w:val="hybridMultilevel"/>
    <w:lvl w:ilvl="0">
      <w:lvlJc w:val="left"/>
      <w:lvlText w:val="*"/>
      <w:numFmt w:val="bullet"/>
      <w:start w:val="1"/>
    </w:lvl>
  </w:abstractNum>
  <w:abstractNum w:abstractNumId="93">
    <w:nsid w:val="597B4D84"/>
    <w:multiLevelType w:val="hybridMultilevel"/>
    <w:lvl w:ilvl="0">
      <w:lvlJc w:val="left"/>
      <w:lvlText w:val="•"/>
      <w:numFmt w:val="bullet"/>
      <w:start w:val="1"/>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
      <w:numFmt w:val="bullet"/>
      <w:start w:val="1"/>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1)"/>
      <w:numFmt w:val="decimal"/>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abstractNum>
  <w:abstractNum w:abstractNumId="104">
    <w:nsid w:val="260D8C4A"/>
    <w:multiLevelType w:val="hybridMultilevel"/>
    <w:lvl w:ilvl="0">
      <w:lvlJc w:val="left"/>
      <w:lvlText w:val="•"/>
      <w:numFmt w:val="bullet"/>
      <w:start w:val="1"/>
    </w:lvl>
  </w:abstractNum>
  <w:abstractNum w:abstractNumId="105">
    <w:nsid w:val="73D4D3C4"/>
    <w:multiLevelType w:val="hybridMultilevel"/>
    <w:lvl w:ilvl="0">
      <w:lvlJc w:val="left"/>
      <w:lvlText w:val="(%1)"/>
      <w:numFmt w:val="decimal"/>
      <w:start w:val="1"/>
    </w:lvl>
  </w:abstractNum>
  <w:abstractNum w:abstractNumId="106">
    <w:nsid w:val="746F2E30"/>
    <w:multiLevelType w:val="hybridMultilevel"/>
    <w:lvl w:ilvl="0">
      <w:lvlJc w:val="left"/>
      <w:lvlText w:val="(%1)"/>
      <w:numFmt w:val="decimal"/>
      <w:start w:val="1"/>
    </w:lvl>
  </w:abstractNum>
  <w:abstractNum w:abstractNumId="107">
    <w:nsid w:val="6FDE8AF6"/>
    <w:multiLevelType w:val="hybridMultilevel"/>
    <w:lvl w:ilvl="0">
      <w:lvlJc w:val="left"/>
      <w:lvlText w:val="(%1)"/>
      <w:numFmt w:val="decimal"/>
      <w:start w:val="1"/>
    </w:lvl>
  </w:abstractNum>
  <w:abstractNum w:abstractNumId="108">
    <w:nsid w:val="3FC32E20"/>
    <w:multiLevelType w:val="hybridMultilevel"/>
    <w:lvl w:ilvl="0">
      <w:lvlJc w:val="left"/>
      <w:lvlText w:val="(%1)"/>
      <w:numFmt w:val="decimal"/>
      <w:start w:val="1"/>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
      <w:numFmt w:val="bullet"/>
      <w:start w:val="1"/>
    </w:lvl>
  </w:abstractNum>
  <w:abstractNum w:abstractNumId="111">
    <w:nsid w:val="230F856C"/>
    <w:multiLevelType w:val="hybridMultilevel"/>
    <w:lvl w:ilvl="0">
      <w:lvlJc w:val="left"/>
      <w:lvlText w:val="​"/>
      <w:numFmt w:val="bullet"/>
      <w:start w:val="1"/>
    </w:lvl>
    <w:lvl w:ilvl="1">
      <w:lvlJc w:val="left"/>
      <w:lvlText w:val="•"/>
      <w:numFmt w:val="bullet"/>
      <w:start w:val="1"/>
    </w:lvl>
  </w:abstractNum>
  <w:abstractNum w:abstractNumId="112">
    <w:nsid w:val="6EAA85FB"/>
    <w:multiLevelType w:val="hybridMultilevel"/>
    <w:lvl w:ilvl="0">
      <w:lvlJc w:val="left"/>
      <w:lvlText w:val="•"/>
      <w:numFmt w:val="bullet"/>
      <w:start w:val="1"/>
    </w:lvl>
  </w:abstractNum>
  <w:abstractNum w:abstractNumId="113">
    <w:nsid w:val="3F06ECB2"/>
    <w:multiLevelType w:val="hybridMultilevel"/>
    <w:lvl w:ilvl="0">
      <w:lvlJc w:val="left"/>
      <w:lvlText w:val="(%1)"/>
      <w:numFmt w:val="decimal"/>
    </w:lvl>
    <w:lvl w:ilvl="1">
      <w:lvlJc w:val="left"/>
      <w:lvlText w:val="•"/>
      <w:numFmt w:val="bullet"/>
      <w:start w:val="1"/>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1)"/>
      <w:numFmt w:val="decimal"/>
      <w:start w:val="1"/>
    </w:lvl>
  </w:abstractNum>
  <w:abstractNum w:abstractNumId="116">
    <w:nsid w:val="3F7C2FF4"/>
    <w:multiLevelType w:val="hybridMultilevel"/>
    <w:lvl w:ilvl="0">
      <w:lvlJc w:val="left"/>
      <w:lvlText w:val="(%1)"/>
      <w:numFmt w:val="decimal"/>
      <w:start w:val="1"/>
    </w:lvl>
  </w:abstractNum>
  <w:abstractNum w:abstractNumId="117">
    <w:nsid w:val="25413BEC"/>
    <w:multiLevelType w:val="hybridMultilevel"/>
    <w:lvl w:ilvl="0">
      <w:lvlJc w:val="left"/>
      <w:lvlText w:val="(%1)"/>
      <w:numFmt w:val="decimal"/>
      <w:start w:val="1"/>
    </w:lvl>
  </w:abstractNum>
  <w:abstractNum w:abstractNumId="118">
    <w:nsid w:val="17180B0B"/>
    <w:multiLevelType w:val="hybridMultilevel"/>
    <w:lvl w:ilvl="0">
      <w:lvlJc w:val="left"/>
      <w:lvlText w:val="(%1)"/>
      <w:numFmt w:val="decimal"/>
      <w:start w:val="1"/>
    </w:lvl>
  </w:abstractNum>
  <w:abstractNum w:abstractNumId="119">
    <w:nsid w:val="579328B9"/>
    <w:multiLevelType w:val="hybridMultilevel"/>
    <w:lvl w:ilvl="0">
      <w:lvlJc w:val="left"/>
      <w:lvlText w:val="(%1)"/>
      <w:numFmt w:val="lowerRoman"/>
      <w:start w:val="1"/>
    </w:lvl>
  </w:abstractNum>
  <w:abstractNum w:abstractNumId="120">
    <w:nsid w:val="5D205E20"/>
    <w:multiLevelType w:val="hybridMultilevel"/>
    <w:lvl w:ilvl="0">
      <w:lvlJc w:val="left"/>
      <w:lvlText w:val="(%1)"/>
      <w:numFmt w:val="lowerRoman"/>
      <w:start w:val="1"/>
    </w:lvl>
  </w:abstractNum>
  <w:abstractNum w:abstractNumId="121">
    <w:nsid w:val="11CCA8BA"/>
    <w:multiLevelType w:val="hybridMultilevel"/>
    <w:lvl w:ilvl="0">
      <w:lvlJc w:val="left"/>
      <w:lvlText w:val="(%1)"/>
      <w:numFmt w:val="lowerRoman"/>
      <w:start w:val="1"/>
    </w:lvl>
  </w:abstractNum>
  <w:abstractNum w:abstractNumId="122">
    <w:nsid w:val="4D32AB86"/>
    <w:multiLevelType w:val="hybridMultilevel"/>
    <w:lvl w:ilvl="0">
      <w:lvlJc w:val="left"/>
      <w:lvlText w:val="(%1)"/>
      <w:numFmt w:val="lowerRoman"/>
      <w:start w:val="1"/>
    </w:lvl>
  </w:abstractNum>
  <w:abstractNum w:abstractNumId="123">
    <w:nsid w:val="3F07ACC3"/>
    <w:multiLevelType w:val="hybridMultilevel"/>
    <w:lvl w:ilvl="0">
      <w:lvlJc w:val="left"/>
      <w:lvlText w:val="(%1)"/>
      <w:numFmt w:val="lowerRoman"/>
      <w:start w:val="1"/>
    </w:lvl>
    <w:lvl w:ilvl="1">
      <w:lvlJc w:val="left"/>
      <w:lvlText w:val="(%2)"/>
      <w:numFmt w:val="upperLetter"/>
      <w:start w:val="1"/>
    </w:lvl>
  </w:abstractNum>
  <w:abstractNum w:abstractNumId="124">
    <w:nsid w:val="6B47F63E"/>
    <w:multiLevelType w:val="hybridMultilevel"/>
    <w:lvl w:ilvl="0">
      <w:lvlJc w:val="left"/>
      <w:lvlText w:val="(%1)"/>
      <w:numFmt w:val="lowerRoman"/>
      <w:start w:val="1"/>
    </w:lvl>
    <w:lvl w:ilvl="1">
      <w:lvlJc w:val="left"/>
      <w:lvlText w:val="(%2)"/>
      <w:numFmt w:val="upperLetter"/>
      <w:start w:val="1"/>
    </w:lvl>
  </w:abstractNum>
  <w:abstractNum w:abstractNumId="125">
    <w:nsid w:val="5CB44A05"/>
    <w:multiLevelType w:val="hybridMultilevel"/>
    <w:lvl w:ilvl="0">
      <w:lvlJc w:val="left"/>
      <w:lvlText w:val="(%1)"/>
      <w:numFmt w:val="lowerRoman"/>
      <w:start w:val="3"/>
    </w:lvl>
  </w:abstractNum>
  <w:abstractNum w:abstractNumId="126">
    <w:nsid w:val="16CF80F1"/>
    <w:multiLevelType w:val="hybridMultilevel"/>
    <w:lvl w:ilvl="0">
      <w:lvlJc w:val="left"/>
      <w:lvlText w:val="(%1)"/>
      <w:numFmt w:val="decimal"/>
      <w:start w:val="1"/>
    </w:lvl>
  </w:abstractNum>
  <w:abstractNum w:abstractNumId="127">
    <w:nsid w:val="1C695DEC"/>
    <w:multiLevelType w:val="hybridMultilevel"/>
    <w:lvl w:ilvl="0">
      <w:lvlJc w:val="left"/>
      <w:lvlText w:val="•"/>
      <w:numFmt w:val="bullet"/>
      <w:start w:val="1"/>
    </w:lvl>
  </w:abstractNum>
  <w:abstractNum w:abstractNumId="128">
    <w:nsid w:val="3FCFAED9"/>
    <w:multiLevelType w:val="hybridMultilevel"/>
    <w:lvl w:ilvl="0">
      <w:lvlJc w:val="left"/>
      <w:lvlText w:val="•"/>
      <w:numFmt w:val="bullet"/>
      <w:start w:val="1"/>
    </w:lvl>
  </w:abstractNum>
  <w:abstractNum w:abstractNumId="129">
    <w:nsid w:val="F856867"/>
    <w:multiLevelType w:val="hybridMultilevel"/>
    <w:lvl w:ilvl="0">
      <w:lvlJc w:val="left"/>
      <w:lvlText w:val="•"/>
      <w:numFmt w:val="bullet"/>
      <w:start w:val="1"/>
    </w:lvl>
  </w:abstractNum>
  <w:abstractNum w:abstractNumId="130">
    <w:nsid w:val="11B1CC33"/>
    <w:multiLevelType w:val="hybridMultilevel"/>
    <w:lvl w:ilvl="0">
      <w:lvlJc w:val="left"/>
      <w:lvlText w:val="(%1)"/>
      <w:numFmt w:val="decimal"/>
      <w:start w:val="1"/>
    </w:lvl>
  </w:abstractNum>
  <w:abstractNum w:abstractNumId="131">
    <w:nsid w:val="2E22FBB7"/>
    <w:multiLevelType w:val="hybridMultilevel"/>
    <w:lvl w:ilvl="0">
      <w:lvlJc w:val="left"/>
      <w:lvlText w:val="(%1)"/>
      <w:numFmt w:val="decimal"/>
      <w:start w:val="3"/>
    </w:lvl>
  </w:abstractNum>
  <w:abstractNum w:abstractNumId="132">
    <w:nsid w:val="29934699"/>
    <w:multiLevelType w:val="hybridMultilevel"/>
    <w:lvl w:ilvl="0">
      <w:lvlJc w:val="left"/>
      <w:lvlText w:val="%1"/>
      <w:numFmt w:val="decimal"/>
      <w:start w:val="1"/>
    </w:lvl>
    <w:lvl w:ilvl="1">
      <w:lvlJc w:val="left"/>
      <w:lvlText w:val="(%2)"/>
      <w:numFmt w:val="lowerLetter"/>
      <w:start w:val="1"/>
    </w:lvl>
  </w:abstractNum>
  <w:abstractNum w:abstractNumId="133">
    <w:nsid w:val="77485850"/>
    <w:multiLevelType w:val="hybridMultilevel"/>
    <w:lvl w:ilvl="0">
      <w:lvlJc w:val="left"/>
      <w:lvlText w:val="(%1)"/>
      <w:numFmt w:val="decimal"/>
      <w:start w:val="5"/>
    </w:lvl>
    <w:lvl w:ilvl="1">
      <w:lvlJc w:val="left"/>
      <w:lvlText w:val="%2"/>
      <w:numFmt w:val="lowerLetter"/>
      <w:start w:val="1"/>
    </w:lvl>
  </w:abstractNum>
  <w:abstractNum w:abstractNumId="134">
    <w:nsid w:val="744939A3"/>
    <w:multiLevelType w:val="hybridMultilevel"/>
    <w:lvl w:ilvl="0">
      <w:lvlJc w:val="left"/>
      <w:lvlText w:val="(%1)"/>
      <w:numFmt w:val="decimal"/>
      <w:start w:val="1"/>
    </w:lvl>
  </w:abstractNum>
  <w:abstractNum w:abstractNumId="135">
    <w:nsid w:val="4FA0D2E3"/>
    <w:multiLevelType w:val="hybridMultilevel"/>
    <w:lvl w:ilvl="0">
      <w:lvlJc w:val="left"/>
      <w:lvlText w:val="(%1)"/>
      <w:numFmt w:val="decimal"/>
      <w:start w:val="1"/>
    </w:lvl>
  </w:abstractNum>
  <w:abstractNum w:abstractNumId="136">
    <w:nsid w:val="6B1D2C14"/>
    <w:multiLevelType w:val="hybridMultilevel"/>
    <w:lvl w:ilvl="0">
      <w:lvlJc w:val="left"/>
      <w:lvlText w:val="(%1)"/>
      <w:numFmt w:val="decimal"/>
      <w:start w:val="2"/>
    </w:lvl>
  </w:abstractNum>
  <w:abstractNum w:abstractNumId="137">
    <w:nsid w:val="68B867D3"/>
    <w:multiLevelType w:val="hybridMultilevel"/>
    <w:lvl w:ilvl="0">
      <w:lvlJc w:val="left"/>
      <w:lvlText w:val="(%1)"/>
      <w:numFmt w:val="decimal"/>
      <w:start w:val="1"/>
    </w:lvl>
  </w:abstractNum>
  <w:abstractNum w:abstractNumId="138">
    <w:nsid w:val="3F7F5DD9"/>
    <w:multiLevelType w:val="hybridMultilevel"/>
    <w:lvl w:ilvl="0">
      <w:lvlJc w:val="left"/>
      <w:lvlText w:val="(%1)"/>
      <w:numFmt w:val="decimal"/>
      <w:start w:val="2"/>
    </w:lvl>
  </w:abstractNum>
  <w:abstractNum w:abstractNumId="139">
    <w:nsid w:val="2AE05A34"/>
    <w:multiLevelType w:val="hybridMultilevel"/>
    <w:lvl w:ilvl="0">
      <w:lvlJc w:val="left"/>
      <w:lvlText w:val="(%1)"/>
      <w:numFmt w:val="decimal"/>
      <w:start w:val="1"/>
    </w:lvl>
  </w:abstractNum>
  <w:abstractNum w:abstractNumId="140">
    <w:nsid w:val="32794FF7"/>
    <w:multiLevelType w:val="hybridMultilevel"/>
    <w:lvl w:ilvl="0">
      <w:lvlJc w:val="left"/>
      <w:lvlText w:val="(%1)"/>
      <w:numFmt w:val="decimal"/>
      <w:start w:val="1"/>
    </w:lvl>
  </w:abstractNum>
  <w:abstractNum w:abstractNumId="141">
    <w:nsid w:val="5454945E"/>
    <w:multiLevelType w:val="hybridMultilevel"/>
    <w:lvl w:ilvl="0">
      <w:lvlJc w:val="left"/>
      <w:lvlText w:val="(%1)"/>
      <w:numFmt w:val="lowerRoman"/>
      <w:start w:val="3"/>
    </w:lvl>
  </w:abstractNum>
  <w:abstractNum w:abstractNumId="142">
    <w:nsid w:val="4DEFDFA0"/>
    <w:multiLevelType w:val="hybridMultilevel"/>
    <w:lvl w:ilvl="0">
      <w:lvlJc w:val="left"/>
      <w:lvlText w:val="(%1)"/>
      <w:numFmt w:val="lowerRoman"/>
      <w:start w:val="10"/>
    </w:lvl>
  </w:abstractNum>
  <w:abstractNum w:abstractNumId="143">
    <w:nsid w:val="2123D5F2"/>
    <w:multiLevelType w:val="hybridMultilevel"/>
    <w:lvl w:ilvl="0">
      <w:lvlJc w:val="left"/>
      <w:lvlText w:val="(%1)"/>
      <w:numFmt w:val="lowerRoman"/>
      <w:start w:val="1"/>
    </w:lvl>
  </w:abstractNum>
  <w:abstractNum w:abstractNumId="144">
    <w:nsid w:val="135B8110"/>
    <w:multiLevelType w:val="hybridMultilevel"/>
    <w:lvl w:ilvl="0">
      <w:lvlJc w:val="left"/>
      <w:lvlText w:val="(%1)"/>
      <w:numFmt w:val="lowerRoman"/>
      <w:start w:val="2"/>
    </w:lvl>
  </w:abstractNum>
  <w:abstractNum w:abstractNumId="145">
    <w:nsid w:val="94927A8"/>
    <w:multiLevelType w:val="hybridMultilevel"/>
    <w:lvl w:ilvl="0">
      <w:lvlJc w:val="left"/>
      <w:lvlText w:val="i"/>
      <w:numFmt w:val="bullet"/>
      <w:start w:val="1"/>
    </w:lvl>
  </w:abstractNum>
  <w:abstractNum w:abstractNumId="146">
    <w:nsid w:val="DCDF8F6"/>
    <w:multiLevelType w:val="hybridMultilevel"/>
    <w:lvl w:ilvl="0">
      <w:lvlJc w:val="left"/>
      <w:lvlText w:val="%1"/>
      <w:numFmt w:val="lowerRoman"/>
      <w:start w:val="2"/>
    </w:lvl>
  </w:abstractNum>
  <w:abstractNum w:abstractNumId="147">
    <w:nsid w:val="52D7B105"/>
    <w:multiLevelType w:val="hybridMultilevel"/>
    <w:lvl w:ilvl="0">
      <w:lvlJc w:val="left"/>
      <w:lvlText w:val="%1."/>
      <w:numFmt w:val="lowerRoman"/>
      <w:start w:val="3"/>
    </w:lvl>
  </w:abstractNum>
  <w:abstractNum w:abstractNumId="148">
    <w:nsid w:val="2E8A6394"/>
    <w:multiLevelType w:val="hybridMultilevel"/>
    <w:lvl w:ilvl="0">
      <w:lvlJc w:val="left"/>
      <w:lvlText w:val="(%1)"/>
      <w:numFmt w:val="decimal"/>
      <w:start w:val="1"/>
    </w:lvl>
  </w:abstractNum>
  <w:abstractNum w:abstractNumId="149">
    <w:nsid w:val="24E60401"/>
    <w:multiLevelType w:val="hybridMultilevel"/>
    <w:lvl w:ilvl="0">
      <w:lvlJc w:val="left"/>
      <w:lvlText w:val="(%1)"/>
      <w:numFmt w:val="decimal"/>
      <w:start w:val="2"/>
    </w:lvl>
  </w:abstractNum>
  <w:abstractNum w:abstractNumId="150">
    <w:nsid w:val="2A6AD9BE"/>
    <w:multiLevelType w:val="hybridMultilevel"/>
    <w:lvl w:ilvl="0">
      <w:lvlJc w:val="left"/>
      <w:lvlText w:val="(%1)"/>
      <w:numFmt w:val="decimal"/>
      <w:start w:val="1"/>
    </w:lvl>
  </w:abstractNum>
  <w:abstractNum w:abstractNumId="151">
    <w:nsid w:val="BAAC1B4"/>
    <w:multiLevelType w:val="hybridMultilevel"/>
    <w:lvl w:ilvl="0">
      <w:lvlJc w:val="left"/>
      <w:lvlText w:val="(%1)"/>
      <w:numFmt w:val="decimal"/>
      <w:start w:val="2"/>
    </w:lvl>
  </w:abstractNum>
  <w:abstractNum w:abstractNumId="152">
    <w:nsid w:val="36B2ACBC"/>
    <w:multiLevelType w:val="hybridMultilevel"/>
    <w:lvl w:ilvl="0">
      <w:lvlJc w:val="left"/>
      <w:lvlText w:val="(%1)"/>
      <w:numFmt w:val="decimal"/>
      <w:start w:val="4"/>
    </w:lvl>
  </w:abstractNum>
  <w:abstractNum w:abstractNumId="153">
    <w:nsid w:val="779D8544"/>
    <w:multiLevelType w:val="hybridMultilevel"/>
    <w:lvl w:ilvl="0">
      <w:lvlJc w:val="left"/>
      <w:lvlText w:val="​"/>
      <w:numFmt w:val="bullet"/>
      <w:start w:val="1"/>
    </w:lvl>
  </w:abstractNum>
  <w:abstractNum w:abstractNumId="154">
    <w:nsid w:val="4AB26E78"/>
    <w:multiLevelType w:val="hybridMultilevel"/>
    <w:lvl w:ilvl="0">
      <w:lvlJc w:val="left"/>
      <w:lvlText w:val="•"/>
      <w:numFmt w:val="bullet"/>
      <w:start w:val="1"/>
    </w:lvl>
  </w:abstractNum>
  <w:abstractNum w:abstractNumId="155">
    <w:nsid w:val="21FAA2FA"/>
    <w:multiLevelType w:val="hybridMultilevel"/>
    <w:lvl w:ilvl="0">
      <w:lvlJc w:val="left"/>
      <w:lvlText w:val="&amp;"/>
      <w:numFmt w:val="bullet"/>
      <w:start w:val="1"/>
    </w:lvl>
  </w:abstractNum>
  <w:abstractNum w:abstractNumId="156">
    <w:nsid w:val="5451CF49"/>
    <w:multiLevelType w:val="hybridMultilevel"/>
    <w:lvl w:ilvl="0">
      <w:lvlJc w:val="left"/>
      <w:lvlText w:val="(%1)"/>
      <w:numFmt w:val="decimal"/>
      <w:start w:val="1"/>
    </w:lvl>
  </w:abstractNum>
  <w:abstractNum w:abstractNumId="157">
    <w:nsid w:val="6181EF69"/>
    <w:multiLevelType w:val="hybridMultilevel"/>
    <w:lvl w:ilvl="0">
      <w:lvlJc w:val="left"/>
      <w:lvlText w:val="•"/>
      <w:numFmt w:val="bullet"/>
      <w:start w:val="1"/>
    </w:lvl>
    <w:lvl w:ilvl="1">
      <w:lvlJc w:val="left"/>
      <w:lvlText w:val="\endash "/>
      <w:numFmt w:val="bullet"/>
      <w:start w:val="1"/>
    </w:lvl>
  </w:abstractNum>
  <w:abstractNum w:abstractNumId="158">
    <w:nsid w:val="3E6400E6"/>
    <w:multiLevelType w:val="hybridMultilevel"/>
    <w:lvl w:ilvl="0">
      <w:lvlJc w:val="left"/>
      <w:lvlText w:val="•"/>
      <w:numFmt w:val="bullet"/>
      <w:start w:val="1"/>
    </w:lvl>
  </w:abstractNum>
  <w:abstractNum w:abstractNumId="159">
    <w:nsid w:val="14217E23"/>
    <w:multiLevelType w:val="hybridMultilevel"/>
    <w:lvl w:ilvl="0">
      <w:lvlJc w:val="left"/>
      <w:lvlText w:val="•"/>
      <w:numFmt w:val="bullet"/>
      <w:start w:val="1"/>
    </w:lvl>
  </w:abstractNum>
  <w:abstractNum w:abstractNumId="160">
    <w:nsid w:val="710757D0"/>
    <w:multiLevelType w:val="hybridMultilevel"/>
    <w:lvl w:ilvl="0">
      <w:lvlJc w:val="left"/>
      <w:lvlText w:val="•"/>
      <w:numFmt w:val="bullet"/>
      <w:start w:val="1"/>
    </w:lvl>
  </w:abstractNum>
  <w:abstractNum w:abstractNumId="161">
    <w:nsid w:val="5015CD1A"/>
    <w:multiLevelType w:val="hybridMultilevel"/>
    <w:lvl w:ilvl="0">
      <w:lvlJc w:val="left"/>
      <w:lvlText w:val="•"/>
      <w:numFmt w:val="bullet"/>
      <w:start w:val="1"/>
    </w:lvl>
  </w:abstractNum>
  <w:abstractNum w:abstractNumId="162">
    <w:nsid w:val="424479DA"/>
    <w:multiLevelType w:val="hybridMultilevel"/>
    <w:lvl w:ilvl="0">
      <w:lvlJc w:val="left"/>
      <w:lvlText w:val="•"/>
      <w:numFmt w:val="bullet"/>
      <w:start w:val="1"/>
    </w:lvl>
  </w:abstractNum>
  <w:abstractNum w:abstractNumId="163">
    <w:nsid w:val="1A9A9E69"/>
    <w:multiLevelType w:val="hybridMultilevel"/>
    <w:lvl w:ilvl="0">
      <w:lvlJc w:val="left"/>
      <w:lvlText w:val="•"/>
      <w:numFmt w:val="bullet"/>
      <w:start w:val="1"/>
    </w:lvl>
  </w:abstractNum>
  <w:abstractNum w:abstractNumId="164">
    <w:nsid w:val="475E256A"/>
    <w:multiLevelType w:val="hybridMultilevel"/>
    <w:lvl w:ilvl="0">
      <w:lvlJc w:val="left"/>
      <w:lvlText w:val="•"/>
      <w:numFmt w:val="bullet"/>
      <w:start w:val="1"/>
    </w:lvl>
  </w:abstractNum>
  <w:abstractNum w:abstractNumId="165">
    <w:nsid w:val="368DB37E"/>
    <w:multiLevelType w:val="hybridMultilevel"/>
    <w:lvl w:ilvl="0">
      <w:lvlJc w:val="left"/>
      <w:lvlText w:val="•"/>
      <w:numFmt w:val="bullet"/>
      <w:start w:val="1"/>
    </w:lvl>
  </w:abstractNum>
  <w:abstractNum w:abstractNumId="166">
    <w:nsid w:val="6A3B714C"/>
    <w:multiLevelType w:val="hybridMultilevel"/>
    <w:lvl w:ilvl="0">
      <w:lvlJc w:val="left"/>
      <w:lvlText w:val="•"/>
      <w:numFmt w:val="bullet"/>
      <w:start w:val="1"/>
    </w:lvl>
  </w:abstractNum>
  <w:abstractNum w:abstractNumId="167">
    <w:nsid w:val="327B517E"/>
    <w:multiLevelType w:val="hybridMultilevel"/>
    <w:lvl w:ilvl="0">
      <w:lvlJc w:val="left"/>
      <w:lvlText w:val="•"/>
      <w:numFmt w:val="bullet"/>
      <w:start w:val="1"/>
    </w:lvl>
  </w:abstractNum>
  <w:abstractNum w:abstractNumId="168">
    <w:nsid w:val="1F461B51"/>
    <w:multiLevelType w:val="hybridMultilevel"/>
    <w:lvl w:ilvl="0">
      <w:lvlJc w:val="left"/>
      <w:lvlText w:val="•"/>
      <w:numFmt w:val="bullet"/>
      <w:start w:val="1"/>
    </w:lvl>
  </w:abstractNum>
  <w:abstractNum w:abstractNumId="169">
    <w:nsid w:val="29BACF25"/>
    <w:multiLevelType w:val="hybridMultilevel"/>
    <w:lvl w:ilvl="0">
      <w:lvlJc w:val="left"/>
      <w:lvlText w:val="•"/>
      <w:numFmt w:val="bullet"/>
      <w:start w:val="1"/>
    </w:lvl>
  </w:abstractNum>
  <w:abstractNum w:abstractNumId="170">
    <w:nsid w:val="5D5BABB3"/>
    <w:multiLevelType w:val="hybridMultilevel"/>
    <w:lvl w:ilvl="0">
      <w:lvlJc w:val="left"/>
      <w:lvlText w:val="•"/>
      <w:numFmt w:val="bullet"/>
      <w:start w:val="1"/>
    </w:lvl>
  </w:abstractNum>
  <w:abstractNum w:abstractNumId="171">
    <w:nsid w:val="51BF6B48"/>
    <w:multiLevelType w:val="hybridMultilevel"/>
    <w:lvl w:ilvl="0">
      <w:lvlJc w:val="left"/>
      <w:lvlText w:val="•"/>
      <w:numFmt w:val="bullet"/>
      <w:start w:val="1"/>
    </w:lvl>
  </w:abstractNum>
  <w:abstractNum w:abstractNumId="172">
    <w:nsid w:val="7E0F6384"/>
    <w:multiLevelType w:val="hybridMultilevel"/>
    <w:lvl w:ilvl="0">
      <w:lvlJc w:val="left"/>
      <w:lvlText w:val="•"/>
      <w:numFmt w:val="bullet"/>
      <w:start w:val="1"/>
    </w:lvl>
  </w:abstractNum>
  <w:abstractNum w:abstractNumId="173">
    <w:nsid w:val="2B4B8B53"/>
    <w:multiLevelType w:val="hybridMultilevel"/>
    <w:lvl w:ilvl="0">
      <w:lvlJc w:val="left"/>
      <w:lvlText w:val="•"/>
      <w:numFmt w:val="bullet"/>
      <w:start w:val="1"/>
    </w:lvl>
  </w:abstractNum>
  <w:abstractNum w:abstractNumId="174">
    <w:nsid w:val="72E3413A"/>
    <w:multiLevelType w:val="hybridMultilevel"/>
    <w:lvl w:ilvl="0">
      <w:lvlJc w:val="left"/>
      <w:lvlText w:val="•"/>
      <w:numFmt w:val="bullet"/>
      <w:start w:val="1"/>
    </w:lvl>
  </w:abstractNum>
  <w:abstractNum w:abstractNumId="175">
    <w:nsid w:val="116AE494"/>
    <w:multiLevelType w:val="hybridMultilevel"/>
    <w:lvl w:ilvl="0">
      <w:lvlJc w:val="left"/>
      <w:lvlText w:val="•"/>
      <w:numFmt w:val="bullet"/>
      <w:start w:val="1"/>
    </w:lvl>
  </w:abstractNum>
  <w:abstractNum w:abstractNumId="176">
    <w:nsid w:val="3494B2FB"/>
    <w:multiLevelType w:val="hybridMultilevel"/>
    <w:lvl w:ilvl="0">
      <w:lvlJc w:val="left"/>
      <w:lvlText w:val="•"/>
      <w:numFmt w:val="bullet"/>
      <w:start w:val="1"/>
    </w:lvl>
  </w:abstractNum>
  <w:abstractNum w:abstractNumId="177">
    <w:nsid w:val="B13A31"/>
    <w:multiLevelType w:val="hybridMultilevel"/>
    <w:lvl w:ilvl="0">
      <w:lvlJc w:val="left"/>
      <w:lvlText w:val="•"/>
      <w:numFmt w:val="bullet"/>
      <w:start w:val="1"/>
    </w:lvl>
  </w:abstractNum>
  <w:abstractNum w:abstractNumId="178">
    <w:nsid w:val="64429599"/>
    <w:multiLevelType w:val="hybridMultilevel"/>
    <w:lvl w:ilvl="0">
      <w:lvlJc w:val="left"/>
      <w:lvlText w:val="•"/>
      <w:numFmt w:val="bullet"/>
      <w:start w:val="1"/>
    </w:lvl>
  </w:abstractNum>
  <w:abstractNum w:abstractNumId="179">
    <w:nsid w:val="631F1690"/>
    <w:multiLevelType w:val="hybridMultilevel"/>
    <w:lvl w:ilvl="0">
      <w:lvlJc w:val="left"/>
      <w:lvlText w:val="•"/>
      <w:numFmt w:val="bullet"/>
      <w:start w:val="1"/>
    </w:lvl>
  </w:abstractNum>
  <w:abstractNum w:abstractNumId="180">
    <w:nsid w:val="25973E32"/>
    <w:multiLevelType w:val="hybridMultilevel"/>
    <w:lvl w:ilvl="0">
      <w:lvlJc w:val="left"/>
      <w:lvlText w:val="•"/>
      <w:numFmt w:val="bullet"/>
      <w:start w:val="1"/>
    </w:lvl>
  </w:abstractNum>
  <w:abstractNum w:abstractNumId="181">
    <w:nsid w:val="EAD6F57"/>
    <w:multiLevelType w:val="hybridMultilevel"/>
    <w:lvl w:ilvl="0">
      <w:lvlJc w:val="left"/>
      <w:lvlText w:val="•"/>
      <w:numFmt w:val="bullet"/>
      <w:start w:val="1"/>
    </w:lvl>
  </w:abstractNum>
  <w:abstractNum w:abstractNumId="182">
    <w:nsid w:val="6EC9D844"/>
    <w:multiLevelType w:val="hybridMultilevel"/>
    <w:lvl w:ilvl="0">
      <w:lvlJc w:val="left"/>
      <w:lvlText w:val="*"/>
      <w:numFmt w:val="bullet"/>
      <w:start w:val="1"/>
    </w:lvl>
  </w:abstractNum>
  <w:abstractNum w:abstractNumId="183">
    <w:nsid w:val="5C49EAEE"/>
    <w:multiLevelType w:val="hybridMultilevel"/>
    <w:lvl w:ilvl="0">
      <w:lvlJc w:val="left"/>
      <w:lvlText w:val="(%1)"/>
      <w:numFmt w:val="decimal"/>
      <w:start w:val="1"/>
    </w:lvl>
  </w:abstractNum>
  <w:abstractNum w:abstractNumId="184">
    <w:nsid w:val="64AF49B"/>
    <w:multiLevelType w:val="hybridMultilevel"/>
    <w:lvl w:ilvl="0">
      <w:lvlJc w:val="left"/>
      <w:lvlText w:val="(%1)"/>
      <w:numFmt w:val="decimal"/>
      <w:start w:val="3"/>
    </w:lvl>
  </w:abstractNum>
  <w:abstractNum w:abstractNumId="185">
    <w:nsid w:val="397C46BC"/>
    <w:multiLevelType w:val="hybridMultilevel"/>
    <w:lvl w:ilvl="0">
      <w:lvlJc w:val="left"/>
      <w:lvlText w:val="•"/>
      <w:numFmt w:val="bullet"/>
      <w:start w:val="1"/>
    </w:lvl>
  </w:abstractNum>
  <w:abstractNum w:abstractNumId="186">
    <w:nsid w:val="7E448DE9"/>
    <w:multiLevelType w:val="hybridMultilevel"/>
    <w:lvl w:ilvl="0">
      <w:lvlJc w:val="left"/>
      <w:lvlText w:val="​"/>
      <w:numFmt w:val="bullet"/>
      <w:start w:val="1"/>
    </w:lvl>
  </w:abstractNum>
  <w:abstractNum w:abstractNumId="187">
    <w:nsid w:val="5A9CC3E5"/>
    <w:multiLevelType w:val="hybridMultilevel"/>
    <w:lvl w:ilvl="0">
      <w:lvlJc w:val="left"/>
      <w:lvlText w:val="​"/>
      <w:numFmt w:val="bullet"/>
      <w:start w:val="1"/>
    </w:lvl>
  </w:abstractNum>
  <w:abstractNum w:abstractNumId="188">
    <w:nsid w:val="1AFE3625"/>
    <w:multiLevelType w:val="hybridMultilevel"/>
    <w:lvl w:ilvl="0">
      <w:lvlJc w:val="left"/>
      <w:lvlText w:val="•"/>
      <w:numFmt w:val="bullet"/>
      <w:start w:val="1"/>
    </w:lvl>
  </w:abstractNum>
  <w:abstractNum w:abstractNumId="189">
    <w:nsid w:val="3CA88ECF"/>
    <w:multiLevelType w:val="hybridMultilevel"/>
    <w:lvl w:ilvl="0">
      <w:lvlJc w:val="left"/>
      <w:lvlText w:val="•"/>
      <w:numFmt w:val="bullet"/>
      <w:start w:val="1"/>
    </w:lvl>
  </w:abstractNum>
  <w:abstractNum w:abstractNumId="190">
    <w:nsid w:val="6EBE4208"/>
    <w:multiLevelType w:val="hybridMultilevel"/>
    <w:lvl w:ilvl="0">
      <w:lvlJc w:val="left"/>
      <w:lvlText w:val="•"/>
      <w:numFmt w:val="bullet"/>
      <w:start w:val="1"/>
    </w:lvl>
  </w:abstractNum>
  <w:abstractNum w:abstractNumId="191">
    <w:nsid w:val="C058DF5"/>
    <w:multiLevelType w:val="hybridMultilevel"/>
    <w:lvl w:ilvl="0">
      <w:lvlJc w:val="left"/>
      <w:lvlText w:val="•"/>
      <w:numFmt w:val="bullet"/>
      <w:start w:val="1"/>
    </w:lvl>
  </w:abstractNum>
  <w:abstractNum w:abstractNumId="192">
    <w:nsid w:val="CBE5BE9"/>
    <w:multiLevelType w:val="hybridMultilevel"/>
    <w:lvl w:ilvl="0">
      <w:lvlJc w:val="left"/>
      <w:lvlText w:val="A"/>
      <w:numFmt w:val="bullet"/>
      <w:start w:val="1"/>
    </w:lvl>
  </w:abstractNum>
  <w:abstractNum w:abstractNumId="193">
    <w:nsid w:val="3102BBE2"/>
    <w:multiLevelType w:val="hybridMultilevel"/>
    <w:lvl w:ilvl="0">
      <w:lvlJc w:val="left"/>
      <w:lvlText w:val="•"/>
      <w:numFmt w:val="bullet"/>
      <w:start w:val="1"/>
    </w:lvl>
  </w:abstractNum>
  <w:abstractNum w:abstractNumId="194">
    <w:nsid w:val="26A02C5E"/>
    <w:multiLevelType w:val="hybridMultilevel"/>
    <w:lvl w:ilvl="0">
      <w:lvlJc w:val="left"/>
      <w:lvlText w:val="•"/>
      <w:numFmt w:val="bullet"/>
      <w:start w:val="1"/>
    </w:lvl>
  </w:abstractNum>
  <w:abstractNum w:abstractNumId="195">
    <w:nsid w:val="541C81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2024-03-14T07:40:31Z</dcterms:created>
  <dcterms:modified xsi:type="dcterms:W3CDTF">2024-03-14T07:40:31Z</dcterms:modified>
</cp:coreProperties>
</file>