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jc w:val="center"/>
        <w:ind w:right="3259"/>
        <w:spacing w:after="0"/>
        <w:rPr>
          <w:sz w:val="20"/>
          <w:szCs w:val="20"/>
          <w:color w:val="auto"/>
        </w:rPr>
      </w:pPr>
      <w:r>
        <w:rPr>
          <w:rFonts w:ascii="Courier New" w:cs="Courier New" w:eastAsia="Courier New" w:hAnsi="Courier New"/>
          <w:sz w:val="15"/>
          <w:szCs w:val="15"/>
          <w:color w:val="auto"/>
        </w:rPr>
        <w:t>UNITED STATES</w:t>
      </w: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tabs>
          <w:tab w:leader="none" w:pos="160" w:val="left"/>
        </w:tabs>
        <w:rPr>
          <w:sz w:val="20"/>
          <w:szCs w:val="20"/>
          <w:color w:val="auto"/>
        </w:rPr>
      </w:pPr>
      <w:r>
        <w:rPr>
          <w:rFonts w:ascii="Courier New" w:cs="Courier New" w:eastAsia="Courier New" w:hAnsi="Courier New"/>
          <w:sz w:val="15"/>
          <w:szCs w:val="15"/>
          <w:color w:val="auto"/>
        </w:rPr>
        <w:t>WASHINGTON, D. C.</w:t>
      </w:r>
      <w:r>
        <w:rPr>
          <w:sz w:val="20"/>
          <w:szCs w:val="20"/>
          <w:color w:val="auto"/>
        </w:rPr>
        <w:tab/>
      </w:r>
      <w:r>
        <w:rPr>
          <w:rFonts w:ascii="Courier New" w:cs="Courier New" w:eastAsia="Courier New" w:hAnsi="Courier New"/>
          <w:sz w:val="14"/>
          <w:szCs w:val="14"/>
          <w:color w:val="auto"/>
        </w:rPr>
        <w:t>20549</w:t>
      </w:r>
    </w:p>
    <w:p>
      <w:pPr>
        <w:spacing w:after="0" w:line="33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1480" w:right="3879" w:hanging="696"/>
        <w:spacing w:after="0" w:line="235" w:lineRule="auto"/>
        <w:tabs>
          <w:tab w:leader="none" w:pos="95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QUARTERLY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June 30, 1996</w:t>
      </w:r>
    </w:p>
    <w:p>
      <w:pPr>
        <w:spacing w:after="0" w:line="169"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1480" w:right="3799" w:hanging="696"/>
        <w:spacing w:after="0" w:line="235" w:lineRule="auto"/>
        <w:tabs>
          <w:tab w:leader="none" w:pos="112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6" w:lineRule="exact"/>
        <w:rPr>
          <w:rFonts w:ascii="Courier New" w:cs="Courier New" w:eastAsia="Courier New" w:hAnsi="Courier New"/>
          <w:sz w:val="15"/>
          <w:szCs w:val="15"/>
          <w:color w:val="auto"/>
        </w:rPr>
      </w:pPr>
    </w:p>
    <w:p>
      <w:pPr>
        <w:ind w:left="14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For the transition period from . . . . to . . . . . . . .</w:t>
      </w:r>
    </w:p>
    <w:p>
      <w:pPr>
        <w:spacing w:after="0" w:line="17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0-7949</w:t>
      </w:r>
    </w:p>
    <w:p>
      <w:pPr>
        <w:spacing w:after="0" w:line="33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FIRST HAWAIIAN, INC.</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26" w:right="1440" w:bottom="1440" w:gutter="0" w:footer="0" w:header="0"/>
        </w:sectPr>
      </w:pPr>
    </w:p>
    <w:p>
      <w:pPr>
        <w:spacing w:after="0" w:line="338" w:lineRule="exact"/>
        <w:rPr>
          <w:sz w:val="24"/>
          <w:szCs w:val="24"/>
          <w:color w:val="auto"/>
        </w:rPr>
      </w:pPr>
    </w:p>
    <w:p>
      <w:pPr>
        <w:jc w:val="center"/>
        <w:ind w:left="44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left="4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99-0156159</w:t>
      </w: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120" w:space="720"/>
            <w:col w:w="5379"/>
          </w:cols>
          <w:pgMar w:left="240" w:top="226" w:right="1440" w:bottom="1440" w:gutter="0" w:footer="0" w:header="0"/>
          <w:type w:val="continuous"/>
        </w:sectPr>
      </w:pPr>
    </w:p>
    <w:p>
      <w:pPr>
        <w:jc w:val="center"/>
        <w:ind w:left="360"/>
        <w:spacing w:after="0"/>
        <w:rPr>
          <w:sz w:val="20"/>
          <w:szCs w:val="20"/>
          <w:color w:val="auto"/>
        </w:rPr>
      </w:pPr>
      <w:r>
        <w:rPr>
          <w:rFonts w:ascii="Courier New" w:cs="Courier New" w:eastAsia="Courier New" w:hAnsi="Courier New"/>
          <w:sz w:val="15"/>
          <w:szCs w:val="15"/>
          <w:color w:val="auto"/>
        </w:rPr>
        <w:t>1132 BISHOP STREET, HONOLULU, HAWAII</w:t>
      </w:r>
    </w:p>
    <w:p>
      <w:pPr>
        <w:spacing w:after="0" w:line="5" w:lineRule="exact"/>
        <w:rPr>
          <w:sz w:val="24"/>
          <w:szCs w:val="24"/>
          <w:color w:val="auto"/>
        </w:rPr>
      </w:pPr>
    </w:p>
    <w:p>
      <w:pPr>
        <w:jc w:val="center"/>
        <w:ind w:left="3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96813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560" w:space="720"/>
            <w:col w:w="4939"/>
          </w:cols>
          <w:pgMar w:left="240" w:top="226" w:right="1440" w:bottom="1440" w:gutter="0" w:footer="0" w:header="0"/>
          <w:type w:val="continuous"/>
        </w:sectPr>
      </w:pPr>
    </w:p>
    <w:p>
      <w:pPr>
        <w:spacing w:after="0" w:line="144"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(808) 525-7000</w:t>
      </w:r>
    </w:p>
    <w:p>
      <w:pPr>
        <w:jc w:val="center"/>
        <w:ind w:right="319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260"/>
        <w:spacing w:after="0"/>
        <w:tabs>
          <w:tab w:leader="none" w:pos="4380" w:val="left"/>
          <w:tab w:leader="none" w:pos="4820" w:val="left"/>
        </w:tabs>
        <w:rPr>
          <w:sz w:val="20"/>
          <w:szCs w:val="20"/>
          <w:color w:val="auto"/>
        </w:rPr>
      </w:pPr>
      <w:r>
        <w:rPr>
          <w:rFonts w:ascii="Courier New" w:cs="Courier New" w:eastAsia="Courier New" w:hAnsi="Courier New"/>
          <w:sz w:val="15"/>
          <w:szCs w:val="15"/>
          <w:color w:val="auto"/>
        </w:rPr>
        <w:t>Indicate by check mark whether the registrant</w:t>
        <w:tab/>
        <w:t>(1)</w:t>
      </w:r>
      <w:r>
        <w:rPr>
          <w:sz w:val="20"/>
          <w:szCs w:val="20"/>
          <w:color w:val="auto"/>
        </w:rPr>
        <w:tab/>
      </w:r>
      <w:r>
        <w:rPr>
          <w:rFonts w:ascii="Courier New" w:cs="Courier New" w:eastAsia="Courier New" w:hAnsi="Courier New"/>
          <w:sz w:val="14"/>
          <w:szCs w:val="14"/>
          <w:color w:val="auto"/>
        </w:rPr>
        <w:t>has filed all reports</w:t>
      </w:r>
    </w:p>
    <w:p>
      <w:pPr>
        <w:ind w:left="2460"/>
        <w:spacing w:after="0"/>
        <w:rPr>
          <w:sz w:val="20"/>
          <w:szCs w:val="20"/>
          <w:color w:val="auto"/>
        </w:rPr>
      </w:pPr>
      <w:r>
        <w:rPr>
          <w:rFonts w:ascii="Courier New" w:cs="Courier New" w:eastAsia="Courier New" w:hAnsi="Courier New"/>
          <w:sz w:val="15"/>
          <w:szCs w:val="15"/>
          <w:color w:val="auto"/>
        </w:rPr>
        <w:t>required to be filed by</w:t>
      </w:r>
    </w:p>
    <w:p>
      <w:pPr>
        <w:sectPr>
          <w:pgSz w:w="11900" w:h="16838" w:orient="portrait"/>
          <w:cols w:equalWidth="0" w:num="1">
            <w:col w:w="10219"/>
          </w:cols>
          <w:pgMar w:left="240" w:top="226" w:right="1440"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13 or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l5(d) of</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the Securities</w:t>
            </w:r>
          </w:p>
        </w:tc>
        <w:tc>
          <w:tcPr>
            <w:tcW w:w="36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Exchange Act of 1934 during the preceding</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12 months (or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for such</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shorter period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that</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the registrant was required to file</w:t>
            </w:r>
          </w:p>
        </w:tc>
      </w:tr>
      <w:tr>
        <w:trPr>
          <w:trHeight w:val="0"/>
        </w:trPr>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such reports), and (2)</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has been subject to</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such filing requirements for the</w:t>
            </w:r>
          </w:p>
        </w:tc>
      </w:tr>
    </w:tbl>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past 90 days.</w:t>
      </w:r>
    </w:p>
    <w:p>
      <w:pPr>
        <w:sectPr>
          <w:pgSz w:w="11900" w:h="16838" w:orient="portrait"/>
          <w:cols w:equalWidth="0" w:num="1">
            <w:col w:w="10219"/>
          </w:cols>
          <w:pgMar w:left="240" w:top="226" w:right="1440" w:bottom="1440" w:gutter="0" w:footer="0" w:header="0"/>
          <w:type w:val="continuous"/>
        </w:sectPr>
      </w:pPr>
    </w:p>
    <w:p>
      <w:pPr>
        <w:spacing w:after="0" w:line="5" w:lineRule="exact"/>
        <w:rPr>
          <w:sz w:val="24"/>
          <w:szCs w:val="24"/>
          <w:color w:val="auto"/>
        </w:rPr>
      </w:pPr>
    </w:p>
    <w:p>
      <w:pPr>
        <w:ind w:left="22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38" w:orient="portrait"/>
          <w:cols w:equalWidth="0" w:num="3">
            <w:col w:w="2460" w:space="360"/>
            <w:col w:w="420" w:space="720"/>
            <w:col w:w="6259"/>
          </w:cols>
          <w:pgMar w:left="240" w:top="226"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3500" w:space="720"/>
            <w:col w:w="5999"/>
          </w:cols>
          <w:pgMar w:left="240" w:top="226" w:right="1440" w:bottom="1440" w:gutter="0" w:footer="0" w:header="0"/>
          <w:type w:val="continuous"/>
        </w:sectPr>
      </w:pPr>
    </w:p>
    <w:p>
      <w:pPr>
        <w:jc w:val="center"/>
        <w:ind w:right="3379"/>
        <w:spacing w:after="0"/>
        <w:rPr>
          <w:sz w:val="20"/>
          <w:szCs w:val="20"/>
          <w:color w:val="auto"/>
        </w:rPr>
      </w:pPr>
      <w:r>
        <w:rPr>
          <w:rFonts w:ascii="Courier New" w:cs="Courier New" w:eastAsia="Courier New" w:hAnsi="Courier New"/>
          <w:sz w:val="14"/>
          <w:szCs w:val="14"/>
          <w:color w:val="auto"/>
        </w:rPr>
        <w:t>The number of shares outstanding of each of the issuer's classes of common</w:t>
      </w:r>
    </w:p>
    <w:p>
      <w:pPr>
        <w:spacing w:after="0" w:line="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stock as of July 29, 1996 was:</w:t>
      </w:r>
    </w:p>
    <w:p>
      <w:pPr>
        <w:sectPr>
          <w:pgSz w:w="11900" w:h="16838" w:orient="portrait"/>
          <w:cols w:equalWidth="0" w:num="1">
            <w:col w:w="10219"/>
          </w:cols>
          <w:pgMar w:left="240" w:top="226" w:right="1440" w:bottom="1440" w:gutter="0" w:footer="0" w:header="0"/>
          <w:type w:val="continuous"/>
        </w:sectPr>
      </w:pPr>
    </w:p>
    <w:p>
      <w:pPr>
        <w:spacing w:after="0" w:line="339" w:lineRule="exact"/>
        <w:rPr>
          <w:sz w:val="24"/>
          <w:szCs w:val="24"/>
          <w:color w:val="auto"/>
        </w:rPr>
      </w:pPr>
    </w:p>
    <w:p>
      <w:pPr>
        <w:ind w:left="1920"/>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Common Stock, $5 Par Value</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31,127,897 Shares</w:t>
      </w:r>
    </w:p>
    <w:p>
      <w:pPr>
        <w:sectPr>
          <w:pgSz w:w="11900" w:h="16838" w:orient="portrait"/>
          <w:cols w:equalWidth="0" w:num="2">
            <w:col w:w="4040" w:space="720"/>
            <w:col w:w="5459"/>
          </w:cols>
          <w:pgMar w:left="240" w:top="226"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65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580" w:type="dxa"/>
            <w:vAlign w:val="bottom"/>
          </w:tcPr>
          <w:p>
            <w:pPr>
              <w:ind w:left="700"/>
              <w:spacing w:after="0"/>
              <w:rPr>
                <w:sz w:val="20"/>
                <w:szCs w:val="20"/>
                <w:color w:val="auto"/>
              </w:rPr>
            </w:pPr>
            <w:r>
              <w:rPr>
                <w:rFonts w:ascii="Courier New" w:cs="Courier New" w:eastAsia="Courier New" w:hAnsi="Courier New"/>
                <w:sz w:val="15"/>
                <w:szCs w:val="15"/>
                <w:color w:val="auto"/>
              </w:rPr>
              <w:t>FINANCIAL INFORMATION</w:t>
            </w:r>
          </w:p>
        </w:tc>
        <w:tc>
          <w:tcPr>
            <w:tcW w:w="820" w:type="dxa"/>
            <w:vAlign w:val="bottom"/>
          </w:tcPr>
          <w:p>
            <w:pPr>
              <w:spacing w:after="0"/>
              <w:rPr>
                <w:sz w:val="14"/>
                <w:szCs w:val="14"/>
                <w:color w:val="auto"/>
              </w:rPr>
            </w:pPr>
          </w:p>
        </w:tc>
      </w:tr>
      <w:tr>
        <w:trPr>
          <w:trHeight w:val="678"/>
        </w:trPr>
        <w:tc>
          <w:tcPr>
            <w:tcW w:w="7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7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 (Unaudited)</w:t>
            </w:r>
          </w:p>
        </w:tc>
        <w:tc>
          <w:tcPr>
            <w:tcW w:w="820" w:type="dxa"/>
            <w:vAlign w:val="bottom"/>
          </w:tcPr>
          <w:p>
            <w:pPr>
              <w:spacing w:after="0"/>
              <w:rPr>
                <w:sz w:val="24"/>
                <w:szCs w:val="24"/>
                <w:color w:val="auto"/>
              </w:rPr>
            </w:pPr>
          </w:p>
        </w:tc>
      </w:tr>
      <w:tr>
        <w:trPr>
          <w:trHeight w:val="339"/>
        </w:trPr>
        <w:tc>
          <w:tcPr>
            <w:tcW w:w="780" w:type="dxa"/>
            <w:vAlign w:val="bottom"/>
          </w:tcPr>
          <w:p>
            <w:pPr>
              <w:spacing w:after="0"/>
              <w:rPr>
                <w:sz w:val="24"/>
                <w:szCs w:val="2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Consolidated Balance Sheets at June 30, 1996, December 31, 1995</w:t>
            </w:r>
          </w:p>
        </w:tc>
        <w:tc>
          <w:tcPr>
            <w:tcW w:w="8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6580" w:type="dxa"/>
            <w:vAlign w:val="bottom"/>
          </w:tcPr>
          <w:p>
            <w:pPr>
              <w:ind w:left="700"/>
              <w:spacing w:after="0"/>
              <w:rPr>
                <w:sz w:val="20"/>
                <w:szCs w:val="20"/>
                <w:color w:val="auto"/>
              </w:rPr>
            </w:pPr>
            <w:r>
              <w:rPr>
                <w:rFonts w:ascii="Courier New" w:cs="Courier New" w:eastAsia="Courier New" w:hAnsi="Courier New"/>
                <w:sz w:val="15"/>
                <w:szCs w:val="15"/>
                <w:color w:val="auto"/>
              </w:rPr>
              <w:t>and June 30, 1995</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w:t>
            </w:r>
          </w:p>
        </w:tc>
      </w:tr>
      <w:tr>
        <w:trPr>
          <w:trHeight w:val="170"/>
        </w:trPr>
        <w:tc>
          <w:tcPr>
            <w:tcW w:w="780" w:type="dxa"/>
            <w:vAlign w:val="bottom"/>
          </w:tcPr>
          <w:p>
            <w:pPr>
              <w:spacing w:after="0"/>
              <w:rPr>
                <w:sz w:val="14"/>
                <w:szCs w:val="1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Consolidated Statements of Income for the quarter and six months ended</w:t>
            </w:r>
          </w:p>
        </w:tc>
        <w:tc>
          <w:tcPr>
            <w:tcW w:w="82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6580" w:type="dxa"/>
            <w:vAlign w:val="bottom"/>
          </w:tcPr>
          <w:p>
            <w:pPr>
              <w:ind w:left="700"/>
              <w:spacing w:after="0"/>
              <w:rPr>
                <w:sz w:val="20"/>
                <w:szCs w:val="20"/>
                <w:color w:val="auto"/>
              </w:rPr>
            </w:pPr>
            <w:r>
              <w:rPr>
                <w:rFonts w:ascii="Courier New" w:cs="Courier New" w:eastAsia="Courier New" w:hAnsi="Courier New"/>
                <w:sz w:val="15"/>
                <w:szCs w:val="15"/>
                <w:color w:val="auto"/>
              </w:rPr>
              <w:t>June 30, 1996 and 1995</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r>
      <w:tr>
        <w:trPr>
          <w:trHeight w:val="170"/>
        </w:trPr>
        <w:tc>
          <w:tcPr>
            <w:tcW w:w="780" w:type="dxa"/>
            <w:vAlign w:val="bottom"/>
          </w:tcPr>
          <w:p>
            <w:pPr>
              <w:spacing w:after="0"/>
              <w:rPr>
                <w:sz w:val="14"/>
                <w:szCs w:val="1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Consolidated Statements of Cash Flows for the six months ended</w:t>
            </w:r>
          </w:p>
        </w:tc>
        <w:tc>
          <w:tcPr>
            <w:tcW w:w="82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6580" w:type="dxa"/>
            <w:vAlign w:val="bottom"/>
          </w:tcPr>
          <w:p>
            <w:pPr>
              <w:ind w:left="700"/>
              <w:spacing w:after="0"/>
              <w:rPr>
                <w:sz w:val="20"/>
                <w:szCs w:val="20"/>
                <w:color w:val="auto"/>
              </w:rPr>
            </w:pPr>
            <w:r>
              <w:rPr>
                <w:rFonts w:ascii="Courier New" w:cs="Courier New" w:eastAsia="Courier New" w:hAnsi="Courier New"/>
                <w:sz w:val="15"/>
                <w:szCs w:val="15"/>
                <w:color w:val="auto"/>
              </w:rPr>
              <w:t>June 30, 1996 and 1995</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w:t>
            </w:r>
          </w:p>
        </w:tc>
      </w:tr>
      <w:tr>
        <w:trPr>
          <w:trHeight w:val="170"/>
        </w:trPr>
        <w:tc>
          <w:tcPr>
            <w:tcW w:w="780" w:type="dxa"/>
            <w:vAlign w:val="bottom"/>
          </w:tcPr>
          <w:p>
            <w:pPr>
              <w:spacing w:after="0"/>
              <w:rPr>
                <w:sz w:val="14"/>
                <w:szCs w:val="1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Consolidated Statements of Changes in Stockholders' Equity for the</w:t>
            </w:r>
          </w:p>
        </w:tc>
        <w:tc>
          <w:tcPr>
            <w:tcW w:w="82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6580" w:type="dxa"/>
            <w:vAlign w:val="bottom"/>
          </w:tcPr>
          <w:p>
            <w:pPr>
              <w:ind w:left="700"/>
              <w:spacing w:after="0"/>
              <w:rPr>
                <w:sz w:val="20"/>
                <w:szCs w:val="20"/>
                <w:color w:val="auto"/>
              </w:rPr>
            </w:pPr>
            <w:r>
              <w:rPr>
                <w:rFonts w:ascii="Courier New" w:cs="Courier New" w:eastAsia="Courier New" w:hAnsi="Courier New"/>
                <w:sz w:val="15"/>
                <w:szCs w:val="15"/>
                <w:color w:val="auto"/>
              </w:rPr>
              <w:t>quarter and six months ended June 30, 1996 and 1995</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r>
      <w:tr>
        <w:trPr>
          <w:trHeight w:val="170"/>
        </w:trPr>
        <w:tc>
          <w:tcPr>
            <w:tcW w:w="780" w:type="dxa"/>
            <w:vAlign w:val="bottom"/>
          </w:tcPr>
          <w:p>
            <w:pPr>
              <w:spacing w:after="0"/>
              <w:rPr>
                <w:sz w:val="14"/>
                <w:szCs w:val="1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r>
      <w:tr>
        <w:trPr>
          <w:trHeight w:val="509"/>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8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6580" w:type="dxa"/>
            <w:vAlign w:val="bottom"/>
          </w:tcPr>
          <w:p>
            <w:pPr>
              <w:ind w:left="700"/>
              <w:spacing w:after="0"/>
              <w:rPr>
                <w:sz w:val="20"/>
                <w:szCs w:val="20"/>
                <w:color w:val="auto"/>
              </w:rPr>
            </w:pPr>
            <w:r>
              <w:rPr>
                <w:rFonts w:ascii="Courier New" w:cs="Courier New" w:eastAsia="Courier New" w:hAnsi="Courier New"/>
                <w:sz w:val="15"/>
                <w:szCs w:val="15"/>
                <w:color w:val="auto"/>
              </w:rPr>
              <w:t>and Results of Operations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7 - 19</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580" w:type="dxa"/>
            <w:vAlign w:val="bottom"/>
          </w:tcPr>
          <w:p>
            <w:pPr>
              <w:ind w:left="700"/>
              <w:spacing w:after="0"/>
              <w:rPr>
                <w:sz w:val="20"/>
                <w:szCs w:val="20"/>
                <w:color w:val="auto"/>
              </w:rPr>
            </w:pPr>
            <w:r>
              <w:rPr>
                <w:rFonts w:ascii="Courier New" w:cs="Courier New" w:eastAsia="Courier New" w:hAnsi="Courier New"/>
                <w:sz w:val="15"/>
                <w:szCs w:val="15"/>
                <w:color w:val="auto"/>
              </w:rPr>
              <w:t>OTHER INFORMATION</w:t>
            </w:r>
          </w:p>
        </w:tc>
        <w:tc>
          <w:tcPr>
            <w:tcW w:w="820" w:type="dxa"/>
            <w:vAlign w:val="bottom"/>
          </w:tcPr>
          <w:p>
            <w:pPr>
              <w:spacing w:after="0"/>
              <w:rPr>
                <w:sz w:val="24"/>
                <w:szCs w:val="24"/>
                <w:color w:val="auto"/>
              </w:rPr>
            </w:pP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Exhibits and Reports on Form 8-K</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w:t>
            </w:r>
          </w:p>
        </w:tc>
      </w:tr>
      <w:tr>
        <w:trPr>
          <w:trHeight w:val="33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w:t>
            </w:r>
          </w:p>
        </w:tc>
      </w:tr>
      <w:tr>
        <w:trPr>
          <w:trHeight w:val="33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EXHIBIT INDEX</w:t>
            </w:r>
          </w:p>
        </w:tc>
        <w:tc>
          <w:tcPr>
            <w:tcW w:w="820" w:type="dxa"/>
            <w:vAlign w:val="bottom"/>
          </w:tcPr>
          <w:p>
            <w:pPr>
              <w:spacing w:after="0"/>
              <w:rPr>
                <w:sz w:val="24"/>
                <w:szCs w:val="24"/>
                <w:color w:val="auto"/>
              </w:rPr>
            </w:pPr>
          </w:p>
        </w:tc>
      </w:tr>
      <w:tr>
        <w:trPr>
          <w:trHeight w:val="678"/>
        </w:trPr>
        <w:tc>
          <w:tcPr>
            <w:tcW w:w="780" w:type="dxa"/>
            <w:vAlign w:val="bottom"/>
          </w:tcPr>
          <w:p>
            <w:pPr>
              <w:spacing w:after="0"/>
              <w:rPr>
                <w:sz w:val="24"/>
                <w:szCs w:val="24"/>
                <w:color w:val="auto"/>
              </w:rPr>
            </w:pPr>
          </w:p>
        </w:tc>
        <w:tc>
          <w:tcPr>
            <w:tcW w:w="6580" w:type="dxa"/>
            <w:vAlign w:val="bottom"/>
          </w:tcPr>
          <w:p>
            <w:pPr>
              <w:ind w:left="2640"/>
              <w:spacing w:after="0"/>
              <w:rPr>
                <w:sz w:val="20"/>
                <w:szCs w:val="20"/>
                <w:color w:val="auto"/>
              </w:rPr>
            </w:pPr>
            <w:r>
              <w:rPr>
                <w:rFonts w:ascii="Courier New" w:cs="Courier New" w:eastAsia="Courier New" w:hAnsi="Courier New"/>
                <w:sz w:val="15"/>
                <w:szCs w:val="15"/>
                <w:color w:val="auto"/>
              </w:rPr>
              <w:t>1</w:t>
            </w:r>
          </w:p>
        </w:tc>
        <w:tc>
          <w:tcPr>
            <w:tcW w:w="8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ind w:left="2200"/>
        <w:spacing w:after="0"/>
        <w:tabs>
          <w:tab w:leader="none" w:pos="29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 (Unaudited)</w:t>
      </w:r>
    </w:p>
    <w:p>
      <w:pPr>
        <w:spacing w:after="0"/>
        <w:rPr>
          <w:sz w:val="20"/>
          <w:szCs w:val="20"/>
          <w:color w:val="auto"/>
        </w:rPr>
      </w:pPr>
      <w:r>
        <w:rPr>
          <w:rFonts w:ascii="Courier New" w:cs="Courier New" w:eastAsia="Courier New" w:hAnsi="Courier New"/>
          <w:sz w:val="15"/>
          <w:szCs w:val="15"/>
          <w:color w:val="auto"/>
        </w:rPr>
        <w:t>First Hawaiian, Inc. and Subsidiaries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JUNE 30,</w:t>
            </w:r>
          </w:p>
        </w:tc>
        <w:tc>
          <w:tcPr>
            <w:tcW w:w="40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December 31,</w:t>
            </w:r>
          </w:p>
        </w:tc>
        <w:tc>
          <w:tcPr>
            <w:tcW w:w="4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4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66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Interest-bearing deposits in other banks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174,130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244,570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11,770</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Federal funds sold and securities purchased</w:t>
            </w: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under agreements to resell</w:t>
            </w:r>
          </w:p>
        </w:tc>
        <w:tc>
          <w:tcPr>
            <w:tcW w:w="66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201,840</w:t>
            </w:r>
          </w:p>
        </w:tc>
        <w:tc>
          <w:tcPr>
            <w:tcW w:w="400" w:type="dxa"/>
            <w:vAlign w:val="bottom"/>
          </w:tcPr>
          <w:p>
            <w:pPr>
              <w:spacing w:after="0"/>
              <w:rPr>
                <w:sz w:val="14"/>
                <w:szCs w:val="1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169,803</w:t>
            </w:r>
          </w:p>
        </w:tc>
        <w:tc>
          <w:tcPr>
            <w:tcW w:w="4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180,000</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Investment securities:</w:t>
            </w: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Available-for-sale</w:t>
            </w:r>
          </w:p>
        </w:tc>
        <w:tc>
          <w:tcPr>
            <w:tcW w:w="66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1,269,854</w:t>
            </w:r>
          </w:p>
        </w:tc>
        <w:tc>
          <w:tcPr>
            <w:tcW w:w="400" w:type="dxa"/>
            <w:vAlign w:val="bottom"/>
          </w:tcPr>
          <w:p>
            <w:pPr>
              <w:spacing w:after="0"/>
              <w:rPr>
                <w:sz w:val="14"/>
                <w:szCs w:val="1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1,175,293</w:t>
            </w:r>
          </w:p>
        </w:tc>
        <w:tc>
          <w:tcPr>
            <w:tcW w:w="4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156,560</w:t>
            </w:r>
          </w:p>
        </w:tc>
      </w:tr>
      <w:tr>
        <w:trPr>
          <w:trHeight w:val="339"/>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Held-to-maturity (fair value of $1,186,636)</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1,186,214</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Loans</w:t>
            </w:r>
          </w:p>
        </w:tc>
        <w:tc>
          <w:tcPr>
            <w:tcW w:w="66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5,658,838</w:t>
            </w:r>
          </w:p>
        </w:tc>
        <w:tc>
          <w:tcPr>
            <w:tcW w:w="400" w:type="dxa"/>
            <w:vAlign w:val="bottom"/>
          </w:tcPr>
          <w:p>
            <w:pPr>
              <w:spacing w:after="0"/>
              <w:rPr>
                <w:sz w:val="14"/>
                <w:szCs w:val="1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5,259,545</w:t>
            </w:r>
          </w:p>
        </w:tc>
        <w:tc>
          <w:tcPr>
            <w:tcW w:w="4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5,253,682</w:t>
            </w:r>
          </w:p>
        </w:tc>
      </w:tr>
      <w:tr>
        <w:trPr>
          <w:trHeight w:val="339"/>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Less allowance for loan losses</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84,531</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78,733</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61,200</w:t>
            </w:r>
          </w:p>
        </w:tc>
      </w:tr>
      <w:tr>
        <w:trPr>
          <w:trHeight w:val="170"/>
        </w:trPr>
        <w:tc>
          <w:tcPr>
            <w:tcW w:w="466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loans</w:t>
            </w:r>
          </w:p>
        </w:tc>
        <w:tc>
          <w:tcPr>
            <w:tcW w:w="66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5,574,307</w:t>
            </w:r>
          </w:p>
        </w:tc>
        <w:tc>
          <w:tcPr>
            <w:tcW w:w="400" w:type="dxa"/>
            <w:vAlign w:val="bottom"/>
          </w:tcPr>
          <w:p>
            <w:pPr>
              <w:spacing w:after="0"/>
              <w:rPr>
                <w:sz w:val="14"/>
                <w:szCs w:val="1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5,180,812</w:t>
            </w:r>
          </w:p>
        </w:tc>
        <w:tc>
          <w:tcPr>
            <w:tcW w:w="4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5,192,482</w:t>
            </w:r>
          </w:p>
        </w:tc>
      </w:tr>
      <w:tr>
        <w:trPr>
          <w:trHeight w:val="170"/>
        </w:trPr>
        <w:tc>
          <w:tcPr>
            <w:tcW w:w="466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Total earning assets</w:t>
            </w:r>
          </w:p>
        </w:tc>
        <w:tc>
          <w:tcPr>
            <w:tcW w:w="66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7,220,131</w:t>
            </w:r>
          </w:p>
        </w:tc>
        <w:tc>
          <w:tcPr>
            <w:tcW w:w="400" w:type="dxa"/>
            <w:vAlign w:val="bottom"/>
          </w:tcPr>
          <w:p>
            <w:pPr>
              <w:spacing w:after="0"/>
              <w:rPr>
                <w:sz w:val="14"/>
                <w:szCs w:val="1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6,770,478</w:t>
            </w:r>
          </w:p>
        </w:tc>
        <w:tc>
          <w:tcPr>
            <w:tcW w:w="4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6,727,026</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Cash and due from banks</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261,353</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304,051</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264,456</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Premises and equipment</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260,679</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241,987</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242,439</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Customers' acceptance liability</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712</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1,701</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Core deposit premium</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35,007</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16,665</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12,902</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88,542</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75,309</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77,106</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181,438</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154,024</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145,071</w:t>
            </w:r>
          </w:p>
        </w:tc>
      </w:tr>
      <w:tr>
        <w:trPr>
          <w:trHeight w:val="170"/>
        </w:trPr>
        <w:tc>
          <w:tcPr>
            <w:tcW w:w="466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8,047,862</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7,564,509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7,470,701</w:t>
            </w:r>
          </w:p>
        </w:tc>
      </w:tr>
      <w:tr>
        <w:trPr>
          <w:trHeight w:val="170"/>
        </w:trPr>
        <w:tc>
          <w:tcPr>
            <w:tcW w:w="466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Noninterest-bearing demand</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928,544</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913,228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825,597</w:t>
            </w:r>
          </w:p>
        </w:tc>
      </w:tr>
      <w:tr>
        <w:trPr>
          <w:trHeight w:val="339"/>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Interest-bearing demand</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1,252,308</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1,073,136</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1,107,981</w:t>
            </w:r>
          </w:p>
        </w:tc>
      </w:tr>
      <w:tr>
        <w:trPr>
          <w:trHeight w:val="339"/>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Savings</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1,154,894</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1,147,997</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1,119,705</w:t>
            </w:r>
          </w:p>
        </w:tc>
      </w:tr>
      <w:tr>
        <w:trPr>
          <w:trHeight w:val="339"/>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Time</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2,314,335</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1,927,011</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1,714,216</w:t>
            </w:r>
          </w:p>
        </w:tc>
      </w:tr>
      <w:tr>
        <w:trPr>
          <w:trHeight w:val="339"/>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Foreign</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222,958</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296,941</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413,559</w:t>
            </w:r>
          </w:p>
        </w:tc>
      </w:tr>
      <w:tr>
        <w:trPr>
          <w:trHeight w:val="170"/>
        </w:trPr>
        <w:tc>
          <w:tcPr>
            <w:tcW w:w="466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Total deposits</w:t>
            </w:r>
          </w:p>
        </w:tc>
        <w:tc>
          <w:tcPr>
            <w:tcW w:w="66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5,873,039</w:t>
            </w:r>
          </w:p>
        </w:tc>
        <w:tc>
          <w:tcPr>
            <w:tcW w:w="400" w:type="dxa"/>
            <w:vAlign w:val="bottom"/>
          </w:tcPr>
          <w:p>
            <w:pPr>
              <w:spacing w:after="0"/>
              <w:rPr>
                <w:sz w:val="14"/>
                <w:szCs w:val="1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5,358,313</w:t>
            </w:r>
          </w:p>
        </w:tc>
        <w:tc>
          <w:tcPr>
            <w:tcW w:w="4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5,181,058</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992,573</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1,083,179</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1,174,543</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Acceptances outstanding</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712</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1,701</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239,159</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232,733</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224,014</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275,750</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238,752</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243,771</w:t>
            </w:r>
          </w:p>
        </w:tc>
      </w:tr>
      <w:tr>
        <w:trPr>
          <w:trHeight w:val="170"/>
        </w:trPr>
        <w:tc>
          <w:tcPr>
            <w:tcW w:w="466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66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7,381,233</w:t>
            </w:r>
          </w:p>
        </w:tc>
        <w:tc>
          <w:tcPr>
            <w:tcW w:w="400" w:type="dxa"/>
            <w:vAlign w:val="bottom"/>
          </w:tcPr>
          <w:p>
            <w:pPr>
              <w:spacing w:after="0"/>
              <w:rPr>
                <w:sz w:val="14"/>
                <w:szCs w:val="1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6,914,972</w:t>
            </w:r>
          </w:p>
        </w:tc>
        <w:tc>
          <w:tcPr>
            <w:tcW w:w="4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6,825,087</w:t>
            </w:r>
          </w:p>
        </w:tc>
      </w:tr>
      <w:tr>
        <w:trPr>
          <w:trHeight w:val="170"/>
        </w:trPr>
        <w:tc>
          <w:tcPr>
            <w:tcW w:w="466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w:t>
            </w:r>
          </w:p>
        </w:tc>
        <w:tc>
          <w:tcPr>
            <w:tcW w:w="66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162,713</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162,713</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162,713</w:t>
            </w:r>
          </w:p>
        </w:tc>
      </w:tr>
      <w:tr>
        <w:trPr>
          <w:trHeight w:val="339"/>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Surplus</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133,933</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133,925</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133,927</w:t>
            </w:r>
          </w:p>
        </w:tc>
      </w:tr>
      <w:tr>
        <w:trPr>
          <w:trHeight w:val="339"/>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408,560</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385,976</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365,119</w:t>
            </w:r>
          </w:p>
        </w:tc>
      </w:tr>
      <w:tr>
        <w:trPr>
          <w:trHeight w:val="339"/>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Unrealized valuation adjustment</w:t>
            </w:r>
          </w:p>
        </w:tc>
        <w:tc>
          <w:tcPr>
            <w:tcW w:w="66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202</w:t>
            </w:r>
          </w:p>
        </w:tc>
        <w:tc>
          <w:tcPr>
            <w:tcW w:w="400" w:type="dxa"/>
            <w:vAlign w:val="bottom"/>
          </w:tcPr>
          <w:p>
            <w:pPr>
              <w:spacing w:after="0"/>
              <w:rPr>
                <w:sz w:val="24"/>
                <w:szCs w:val="2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5,489</w:t>
            </w:r>
          </w:p>
        </w:tc>
        <w:tc>
          <w:tcPr>
            <w:tcW w:w="4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329</w:t>
            </w:r>
          </w:p>
        </w:tc>
      </w:tr>
      <w:tr>
        <w:trPr>
          <w:trHeight w:val="339"/>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Treasury stock</w:t>
            </w:r>
          </w:p>
        </w:tc>
        <w:tc>
          <w:tcPr>
            <w:tcW w:w="660" w:type="dxa"/>
            <w:vAlign w:val="bottom"/>
          </w:tcPr>
          <w:p>
            <w:pPr>
              <w:spacing w:after="0"/>
              <w:rPr>
                <w:sz w:val="24"/>
                <w:szCs w:val="2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(38,779)</w:t>
            </w:r>
          </w:p>
        </w:tc>
        <w:tc>
          <w:tcPr>
            <w:tcW w:w="400" w:type="dxa"/>
            <w:vAlign w:val="bottom"/>
          </w:tcPr>
          <w:p>
            <w:pPr>
              <w:spacing w:after="0"/>
              <w:rPr>
                <w:sz w:val="24"/>
                <w:szCs w:val="2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(38,566)</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(16,474)</w:t>
            </w:r>
          </w:p>
        </w:tc>
      </w:tr>
      <w:tr>
        <w:trPr>
          <w:trHeight w:val="170"/>
        </w:trPr>
        <w:tc>
          <w:tcPr>
            <w:tcW w:w="466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66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666,629</w:t>
            </w:r>
          </w:p>
        </w:tc>
        <w:tc>
          <w:tcPr>
            <w:tcW w:w="400" w:type="dxa"/>
            <w:vAlign w:val="bottom"/>
          </w:tcPr>
          <w:p>
            <w:pPr>
              <w:spacing w:after="0"/>
              <w:rPr>
                <w:sz w:val="14"/>
                <w:szCs w:val="1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649,537</w:t>
            </w:r>
          </w:p>
        </w:tc>
        <w:tc>
          <w:tcPr>
            <w:tcW w:w="4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645,614</w:t>
            </w:r>
          </w:p>
        </w:tc>
      </w:tr>
      <w:tr>
        <w:trPr>
          <w:trHeight w:val="170"/>
        </w:trPr>
        <w:tc>
          <w:tcPr>
            <w:tcW w:w="466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8,047,862</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7,564,509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7,470,701</w:t>
            </w:r>
          </w:p>
        </w:tc>
      </w:tr>
      <w:tr>
        <w:trPr>
          <w:trHeight w:val="170"/>
        </w:trPr>
        <w:tc>
          <w:tcPr>
            <w:tcW w:w="466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ectPr>
          <w:pgSz w:w="11900" w:h="16838" w:orient="portrait"/>
          <w:cols w:equalWidth="0" w:num="1">
            <w:col w:w="10219"/>
          </w:cols>
          <w:pgMar w:left="240" w:top="283" w:right="1440" w:bottom="58" w:gutter="0" w:footer="0" w:header="0"/>
        </w:sectPr>
      </w:pPr>
    </w:p>
    <w:bookmarkStart w:id="3" w:name="page4"/>
    <w:bookmarkEnd w:id="3"/>
    <w:p>
      <w:pPr>
        <w:ind w:left="2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30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rPr>
          <w:sz w:val="20"/>
          <w:szCs w:val="20"/>
          <w:color w:val="auto"/>
        </w:rPr>
      </w:pPr>
      <w:r>
        <w:rPr>
          <w:rFonts w:ascii="Courier New" w:cs="Courier New" w:eastAsia="Courier New" w:hAnsi="Courier New"/>
          <w:sz w:val="15"/>
          <w:szCs w:val="15"/>
          <w:color w:val="auto"/>
        </w:rPr>
        <w:t>First Hawaiian, Inc. and Subsidiaries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gridSpan w:val="3"/>
          </w:tcPr>
          <w:p>
            <w:pPr>
              <w:jc w:val="right"/>
              <w:ind w:right="607"/>
              <w:spacing w:after="0"/>
              <w:rPr>
                <w:sz w:val="20"/>
                <w:szCs w:val="20"/>
                <w:color w:val="auto"/>
              </w:rPr>
            </w:pPr>
            <w:r>
              <w:rPr>
                <w:rFonts w:ascii="Courier New" w:cs="Courier New" w:eastAsia="Courier New" w:hAnsi="Courier New"/>
                <w:sz w:val="15"/>
                <w:szCs w:val="15"/>
                <w:color w:val="auto"/>
              </w:rPr>
              <w:t>QUARTER ENDED JUNE 30,</w:t>
            </w:r>
          </w:p>
        </w:tc>
        <w:tc>
          <w:tcPr>
            <w:tcW w:w="520" w:type="dxa"/>
            <w:vAlign w:val="bottom"/>
          </w:tcPr>
          <w:p>
            <w:pPr>
              <w:spacing w:after="0"/>
              <w:rPr>
                <w:sz w:val="14"/>
                <w:szCs w:val="14"/>
                <w:color w:val="auto"/>
              </w:rPr>
            </w:pPr>
          </w:p>
        </w:tc>
        <w:tc>
          <w:tcPr>
            <w:tcW w:w="25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SIX MONTHS ENDED JUNE 30,</w:t>
            </w:r>
          </w:p>
        </w:tc>
      </w:tr>
      <w:tr>
        <w:trPr>
          <w:trHeight w:val="170"/>
        </w:trPr>
        <w:tc>
          <w:tcPr>
            <w:tcW w:w="4140" w:type="dxa"/>
            <w:vAlign w:val="bottom"/>
          </w:tcPr>
          <w:p>
            <w:pPr>
              <w:spacing w:after="0"/>
              <w:rPr>
                <w:sz w:val="14"/>
                <w:szCs w:val="14"/>
                <w:color w:val="auto"/>
              </w:rPr>
            </w:pPr>
          </w:p>
        </w:tc>
        <w:tc>
          <w:tcPr>
            <w:tcW w:w="322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(in thousands, except shares and per share data)</w:t>
            </w:r>
          </w:p>
        </w:tc>
        <w:tc>
          <w:tcPr>
            <w:tcW w:w="900" w:type="dxa"/>
            <w:vAlign w:val="bottom"/>
          </w:tcPr>
          <w:p>
            <w:pPr>
              <w:spacing w:after="0"/>
              <w:rPr>
                <w:sz w:val="14"/>
                <w:szCs w:val="14"/>
                <w:color w:val="auto"/>
              </w:rPr>
            </w:pPr>
          </w:p>
        </w:tc>
      </w:tr>
      <w:tr>
        <w:trPr>
          <w:trHeight w:val="509"/>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Interest and fees on loans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112,732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122,322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222,984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240,978</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Lease financing income</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2,502</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2,408</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5,339</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Interest on investment securities: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Taxable interest income</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17,459</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10,440</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34,257</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21,800</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Exempt from Federal income taxes</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773</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1,509</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1,633</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3,163</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interest income</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5,140</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4,966</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10,172</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8,298</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Total interest income</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138,606</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141,645</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274,385</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280,239</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42,955</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45,956</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85,004</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88,105</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13,202</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20,875</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27,036</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41,388</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4,391</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3,397</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8,267</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6,576</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Total interest expense</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60,548</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70,228</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120,307</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136,069</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Net interest income</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78,058</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71,417</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154,078</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144,170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Provision for loan losses</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5,191</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3,341</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8,513</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6,681</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Net interest income after provision for</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loan losses</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72,867</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68,076</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145,565</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137,489</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NONINTEREST INCOME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Trust income</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5,829</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5,624</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12,326</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11,978</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Service charges on deposit accounts</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6,211</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5,874</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12,197</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12,180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service charges and fees</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10,081</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8,510</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19,898</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16,764</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Securities gains, net</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5,282</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1,692</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6,930</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3,760</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Total noninterest income</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27,410</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21,700</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51,378</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44,683</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NONINTEREST EXPENSES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Salaries and wages</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24,947</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22,857</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49,141</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46,084</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Employee benefits</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8,778</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5,612</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17,956</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12,846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Occupancy expense</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6,372</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6,499</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12,817</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12,925</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Equipment expense</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5,641</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5,823</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11,122</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12,209</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22,208</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19,544</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44,316</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39,616</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Total noninterest expenses</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67,946</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60,335</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135,352</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123,680</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Income before income taxes</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32,331</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29,441</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61,591</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58,492</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11,587</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10,573</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20,644</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20,854</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20,744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18,868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40,947</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37,638</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DIVIDENDS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31,127,822</w:t>
            </w:r>
          </w:p>
        </w:tc>
        <w:tc>
          <w:tcPr>
            <w:tcW w:w="3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31,988,345</w:t>
            </w:r>
          </w:p>
        </w:tc>
        <w:tc>
          <w:tcPr>
            <w:tcW w:w="5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31,124,513</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32,004,804</w:t>
            </w:r>
          </w:p>
        </w:tc>
      </w:tr>
      <w:tr>
        <w:trPr>
          <w:trHeight w:val="170"/>
        </w:trPr>
        <w:tc>
          <w:tcPr>
            <w:tcW w:w="41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8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400"/>
          </w:cols>
          <w:pgMar w:left="240" w:top="283" w:right="125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rPr>
          <w:sz w:val="20"/>
          <w:szCs w:val="20"/>
          <w:color w:val="auto"/>
        </w:rPr>
      </w:pPr>
      <w:r>
        <w:rPr>
          <w:rFonts w:ascii="Courier New" w:cs="Courier New" w:eastAsia="Courier New" w:hAnsi="Courier New"/>
          <w:sz w:val="15"/>
          <w:szCs w:val="15"/>
          <w:color w:val="auto"/>
        </w:rPr>
        <w:t>First Hawaiian, Inc. and Subsidiaries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60" w:type="dxa"/>
            <w:vAlign w:val="bottom"/>
            <w:gridSpan w:val="3"/>
          </w:tcPr>
          <w:p>
            <w:pPr>
              <w:jc w:val="right"/>
              <w:ind w:right="1167"/>
              <w:spacing w:after="0"/>
              <w:rPr>
                <w:sz w:val="20"/>
                <w:szCs w:val="20"/>
                <w:color w:val="auto"/>
              </w:rPr>
            </w:pPr>
            <w:r>
              <w:rPr>
                <w:rFonts w:ascii="Courier New" w:cs="Courier New" w:eastAsia="Courier New" w:hAnsi="Courier New"/>
                <w:sz w:val="15"/>
                <w:szCs w:val="15"/>
                <w:color w:val="auto"/>
              </w:rPr>
              <w:t>SIX MONTHS ENDED JUNE 30,</w:t>
            </w:r>
          </w:p>
        </w:tc>
      </w:tr>
      <w:tr>
        <w:trPr>
          <w:trHeight w:val="170"/>
        </w:trPr>
        <w:tc>
          <w:tcPr>
            <w:tcW w:w="5100" w:type="dxa"/>
            <w:vAlign w:val="bottom"/>
          </w:tcPr>
          <w:p>
            <w:pPr>
              <w:spacing w:after="0"/>
              <w:rPr>
                <w:sz w:val="14"/>
                <w:szCs w:val="14"/>
                <w:color w:val="auto"/>
              </w:rPr>
            </w:pPr>
          </w:p>
        </w:tc>
        <w:tc>
          <w:tcPr>
            <w:tcW w:w="48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1580" w:type="dxa"/>
            <w:vAlign w:val="bottom"/>
          </w:tcPr>
          <w:p>
            <w:pPr>
              <w:spacing w:after="0"/>
              <w:rPr>
                <w:sz w:val="14"/>
                <w:szCs w:val="14"/>
                <w:color w:val="auto"/>
              </w:rPr>
            </w:pPr>
          </w:p>
        </w:tc>
        <w:tc>
          <w:tcPr>
            <w:tcW w:w="1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10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(in thousands)</w:t>
            </w:r>
          </w:p>
        </w:tc>
        <w:tc>
          <w:tcPr>
            <w:tcW w:w="1340" w:type="dxa"/>
            <w:vAlign w:val="bottom"/>
          </w:tcPr>
          <w:p>
            <w:pPr>
              <w:spacing w:after="0"/>
              <w:rPr>
                <w:sz w:val="14"/>
                <w:szCs w:val="14"/>
                <w:color w:val="auto"/>
              </w:rPr>
            </w:pP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AND DUE FROM BANKS AT BEGINNING OF PERIOD</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304,051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262,894</w:t>
            </w:r>
          </w:p>
        </w:tc>
      </w:tr>
      <w:tr>
        <w:trPr>
          <w:trHeight w:val="170"/>
        </w:trPr>
        <w:tc>
          <w:tcPr>
            <w:tcW w:w="510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40,947</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37,638</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Provision for loan losses</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8,513</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6,681</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15,298</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13,328</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12,213</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8,850</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Increase in interest receivable</w:t>
            </w: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(3,254)</w:t>
            </w:r>
          </w:p>
        </w:tc>
        <w:tc>
          <w:tcPr>
            <w:tcW w:w="1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(3,207)</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Increase (decrease) in interest payable</w:t>
            </w: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(7,006)</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8,217</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Decrease in prepaid expenses</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1,594</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446</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(22,985)</w:t>
            </w:r>
          </w:p>
        </w:tc>
        <w:tc>
          <w:tcPr>
            <w:tcW w:w="1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(22,352)</w:t>
            </w:r>
          </w:p>
        </w:tc>
      </w:tr>
      <w:tr>
        <w:trPr>
          <w:trHeight w:val="170"/>
        </w:trPr>
        <w:tc>
          <w:tcPr>
            <w:tcW w:w="510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45,320</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49,601</w:t>
            </w:r>
          </w:p>
        </w:tc>
      </w:tr>
      <w:tr>
        <w:trPr>
          <w:trHeight w:val="170"/>
        </w:trPr>
        <w:tc>
          <w:tcPr>
            <w:tcW w:w="510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Net decrease (increase) in interest-bearing deposits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in other banks</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70,440</w:t>
            </w:r>
          </w:p>
        </w:tc>
        <w:tc>
          <w:tcPr>
            <w:tcW w:w="1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Net increase in Federal funds sold and securities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purchased under agreements to resell</w:t>
            </w: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(32,037)</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Purchase of available-for-sale investment securities</w:t>
            </w: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(466,457)</w:t>
            </w:r>
          </w:p>
        </w:tc>
        <w:tc>
          <w:tcPr>
            <w:tcW w:w="1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(11,743)</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Proceeds from sale of available-for-sale</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investment securities</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5,009</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Proceeds from maturity of available-for-sale</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investment securities</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358,109</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2,175</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Purchase of held-to-maturity investment securities</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(51,831)</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Proceeds from maturity of held-to-maturity</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investment securities</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348,129</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Net decrease (increase) in loans to customers</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10,501</w:t>
            </w:r>
          </w:p>
        </w:tc>
        <w:tc>
          <w:tcPr>
            <w:tcW w:w="1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(213,473)</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 Pacific Northwest acquisition</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218,966</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(13,765)</w:t>
            </w:r>
          </w:p>
        </w:tc>
        <w:tc>
          <w:tcPr>
            <w:tcW w:w="1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(6,094)</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5,208</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3,216</w:t>
            </w:r>
          </w:p>
        </w:tc>
      </w:tr>
      <w:tr>
        <w:trPr>
          <w:trHeight w:val="170"/>
        </w:trPr>
        <w:tc>
          <w:tcPr>
            <w:tcW w:w="510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cash provided by investing activities</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155,974</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75,279</w:t>
            </w:r>
          </w:p>
        </w:tc>
      </w:tr>
      <w:tr>
        <w:trPr>
          <w:trHeight w:val="170"/>
        </w:trPr>
        <w:tc>
          <w:tcPr>
            <w:tcW w:w="510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Net increase (decrease) in deposits</w:t>
            </w: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(171,816)</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28,845</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Net decrease in short-term borrowings</w:t>
            </w: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(90,606)</w:t>
            </w:r>
          </w:p>
        </w:tc>
        <w:tc>
          <w:tcPr>
            <w:tcW w:w="1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(155,273)</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Proceeds from long-term debt</w:t>
            </w:r>
          </w:p>
        </w:tc>
        <w:tc>
          <w:tcPr>
            <w:tcW w:w="7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53,000</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24,447</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Payments on long-term debt</w:t>
            </w: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(16,002)</w:t>
            </w:r>
          </w:p>
        </w:tc>
        <w:tc>
          <w:tcPr>
            <w:tcW w:w="1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Cash dividends paid</w:t>
            </w: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(18,363)</w:t>
            </w:r>
          </w:p>
        </w:tc>
        <w:tc>
          <w:tcPr>
            <w:tcW w:w="1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(18,864)</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Repurchased common stock</w:t>
            </w: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c>
          <w:tcPr>
            <w:tcW w:w="1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(2,466)</w:t>
            </w:r>
          </w:p>
        </w:tc>
      </w:tr>
      <w:tr>
        <w:trPr>
          <w:trHeight w:val="170"/>
        </w:trPr>
        <w:tc>
          <w:tcPr>
            <w:tcW w:w="510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(243,992)</w:t>
            </w:r>
          </w:p>
        </w:tc>
        <w:tc>
          <w:tcPr>
            <w:tcW w:w="15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(123,318)</w:t>
            </w:r>
          </w:p>
        </w:tc>
      </w:tr>
      <w:tr>
        <w:trPr>
          <w:trHeight w:val="170"/>
        </w:trPr>
        <w:tc>
          <w:tcPr>
            <w:tcW w:w="510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AND DUE FROM BANKS AT END OF PERIOD</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261,353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264,456</w:t>
            </w:r>
          </w:p>
        </w:tc>
      </w:tr>
      <w:tr>
        <w:trPr>
          <w:trHeight w:val="170"/>
        </w:trPr>
        <w:tc>
          <w:tcPr>
            <w:tcW w:w="510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Supplemental disclosures: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Interest paid</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127,313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127,852</w:t>
            </w:r>
          </w:p>
        </w:tc>
      </w:tr>
      <w:tr>
        <w:trPr>
          <w:trHeight w:val="170"/>
        </w:trPr>
        <w:tc>
          <w:tcPr>
            <w:tcW w:w="510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Net income taxes paid</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8,431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12,004</w:t>
            </w:r>
          </w:p>
        </w:tc>
      </w:tr>
      <w:tr>
        <w:trPr>
          <w:trHeight w:val="170"/>
        </w:trPr>
        <w:tc>
          <w:tcPr>
            <w:tcW w:w="510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and financing activities: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Loans exchanged for mortgage backed securities</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486,625</w:t>
            </w:r>
          </w:p>
        </w:tc>
      </w:tr>
      <w:tr>
        <w:trPr>
          <w:trHeight w:val="170"/>
        </w:trPr>
        <w:tc>
          <w:tcPr>
            <w:tcW w:w="510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Company purchased 31 branches in the Pacific Northwest. In conjunction with the acquisition, liabilities were assumed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Fair</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value of</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assets acquired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431,352</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Cash</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received</w:t>
            </w: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218,966</w:t>
            </w:r>
          </w:p>
        </w:tc>
      </w:tr>
      <w:tr>
        <w:trPr>
          <w:trHeight w:val="170"/>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gridSpan w:val="3"/>
          </w:tcPr>
          <w:p>
            <w:pPr>
              <w:spacing w:after="0"/>
              <w:rPr>
                <w:sz w:val="20"/>
                <w:szCs w:val="20"/>
                <w:color w:val="auto"/>
              </w:rPr>
            </w:pPr>
            <w:r>
              <w:rPr>
                <w:rFonts w:ascii="Courier New" w:cs="Courier New" w:eastAsia="Courier New" w:hAnsi="Courier New"/>
                <w:sz w:val="15"/>
                <w:szCs w:val="15"/>
                <w:color w:val="auto"/>
              </w:rPr>
              <w:t>Liabilities assumed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650,318</w:t>
            </w:r>
          </w:p>
        </w:tc>
      </w:tr>
      <w:tr>
        <w:trPr>
          <w:trHeight w:val="170"/>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6" w:name="page7"/>
    <w:bookmarkEnd w:id="6"/>
    <w:p>
      <w:pPr>
        <w:ind w:left="270"/>
        <w:spacing w:after="0"/>
        <w:rPr>
          <w:sz w:val="20"/>
          <w:szCs w:val="20"/>
          <w:color w:val="auto"/>
        </w:rPr>
      </w:pPr>
      <w:r>
        <w:rPr>
          <w:rFonts w:ascii="Courier New" w:cs="Courier New" w:eastAsia="Courier New" w:hAnsi="Courier New"/>
          <w:sz w:val="15"/>
          <w:szCs w:val="15"/>
          <w:color w:val="auto"/>
        </w:rPr>
        <w:t>6</w:t>
      </w:r>
    </w:p>
    <w:p>
      <w:pPr>
        <w:ind w:left="10"/>
        <w:spacing w:after="0"/>
        <w:rPr>
          <w:sz w:val="20"/>
          <w:szCs w:val="20"/>
          <w:color w:val="auto"/>
        </w:rPr>
      </w:pPr>
      <w:r>
        <w:rPr>
          <w:rFonts w:ascii="Courier New" w:cs="Courier New" w:eastAsia="Courier New" w:hAnsi="Courier New"/>
          <w:sz w:val="15"/>
          <w:szCs w:val="15"/>
          <w:color w:val="auto"/>
        </w:rPr>
        <w:t>CONSOLIDATED STATEMENTS OF</w:t>
      </w:r>
    </w:p>
    <w:p>
      <w:pPr>
        <w:ind w:left="10"/>
        <w:spacing w:after="0"/>
        <w:rPr>
          <w:sz w:val="20"/>
          <w:szCs w:val="20"/>
          <w:color w:val="auto"/>
        </w:rPr>
      </w:pPr>
      <w:r>
        <w:rPr>
          <w:rFonts w:ascii="Courier New" w:cs="Courier New" w:eastAsia="Courier New" w:hAnsi="Courier New"/>
          <w:sz w:val="15"/>
          <w:szCs w:val="15"/>
          <w:color w:val="auto"/>
        </w:rPr>
        <w:t>CHANGES IN STOCKHOLDERS' EQUITY (UNAUDITED)</w:t>
      </w:r>
    </w:p>
    <w:p>
      <w:pPr>
        <w:ind w:left="10"/>
        <w:spacing w:after="0" w:line="238" w:lineRule="auto"/>
        <w:rPr>
          <w:sz w:val="20"/>
          <w:szCs w:val="20"/>
          <w:color w:val="auto"/>
        </w:rPr>
      </w:pPr>
      <w:r>
        <w:rPr>
          <w:rFonts w:ascii="Courier New" w:cs="Courier New" w:eastAsia="Courier New" w:hAnsi="Courier New"/>
          <w:sz w:val="15"/>
          <w:szCs w:val="15"/>
          <w:color w:val="auto"/>
        </w:rPr>
        <w:t>First Hawaiian, Inc. and Subsidiaries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8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w w:val="96"/>
              </w:rPr>
              <w:t>QUARTER ENDED JUNE 30,</w:t>
            </w:r>
          </w:p>
        </w:tc>
        <w:tc>
          <w:tcPr>
            <w:tcW w:w="660" w:type="dxa"/>
            <w:vAlign w:val="bottom"/>
          </w:tcPr>
          <w:p>
            <w:pPr>
              <w:spacing w:after="0"/>
              <w:rPr>
                <w:sz w:val="14"/>
                <w:szCs w:val="14"/>
                <w:color w:val="auto"/>
              </w:rPr>
            </w:pPr>
          </w:p>
        </w:tc>
        <w:tc>
          <w:tcPr>
            <w:tcW w:w="27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SIX MONTHS ENDED JUNE 30,</w:t>
            </w:r>
          </w:p>
        </w:tc>
      </w:tr>
      <w:tr>
        <w:trPr>
          <w:trHeight w:val="170"/>
        </w:trPr>
        <w:tc>
          <w:tcPr>
            <w:tcW w:w="37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5"/>
              </w:rPr>
              <w:t>------------------------------</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1996</w:t>
            </w:r>
          </w:p>
        </w:tc>
        <w:tc>
          <w:tcPr>
            <w:tcW w:w="440" w:type="dxa"/>
            <w:vAlign w:val="bottom"/>
          </w:tcPr>
          <w:p>
            <w:pPr>
              <w:spacing w:after="0"/>
              <w:rPr>
                <w:sz w:val="14"/>
                <w:szCs w:val="14"/>
                <w:color w:val="auto"/>
              </w:rPr>
            </w:pPr>
          </w:p>
        </w:tc>
        <w:tc>
          <w:tcPr>
            <w:tcW w:w="13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spacing w:after="0"/>
              <w:rPr>
                <w:sz w:val="14"/>
                <w:szCs w:val="14"/>
                <w:color w:val="auto"/>
              </w:rPr>
            </w:pP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780" w:type="dxa"/>
            <w:vAlign w:val="bottom"/>
          </w:tcPr>
          <w:p>
            <w:pPr>
              <w:spacing w:after="0"/>
              <w:rPr>
                <w:sz w:val="14"/>
                <w:szCs w:val="14"/>
                <w:color w:val="auto"/>
              </w:rPr>
            </w:pP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 thousands)</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BALANCE, BEGINNING OF PERIOD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657,229</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637,961</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649,537</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627,944</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20,744</w:t>
            </w:r>
          </w:p>
        </w:tc>
        <w:tc>
          <w:tcPr>
            <w:tcW w:w="44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18,868</w:t>
            </w:r>
          </w:p>
        </w:tc>
        <w:tc>
          <w:tcPr>
            <w:tcW w:w="66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40,947</w:t>
            </w:r>
          </w:p>
        </w:tc>
        <w:tc>
          <w:tcPr>
            <w:tcW w:w="56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37,638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Issuance (purchase) of treasury stock, net</w:t>
            </w:r>
          </w:p>
        </w:tc>
        <w:tc>
          <w:tcPr>
            <w:tcW w:w="44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w:t>
            </w:r>
          </w:p>
        </w:tc>
        <w:tc>
          <w:tcPr>
            <w:tcW w:w="4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(2,311)</w:t>
            </w:r>
          </w:p>
        </w:tc>
        <w:tc>
          <w:tcPr>
            <w:tcW w:w="66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(213)</w:t>
            </w:r>
          </w:p>
        </w:tc>
        <w:tc>
          <w:tcPr>
            <w:tcW w:w="5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(2,466)</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Incentive plan for key executives</w:t>
            </w:r>
          </w:p>
        </w:tc>
        <w:tc>
          <w:tcPr>
            <w:tcW w:w="44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w:t>
            </w:r>
          </w:p>
        </w:tc>
        <w:tc>
          <w:tcPr>
            <w:tcW w:w="56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Unrealized valuation adjustment</w:t>
            </w:r>
          </w:p>
        </w:tc>
        <w:tc>
          <w:tcPr>
            <w:tcW w:w="4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(2,169)</w:t>
            </w:r>
          </w:p>
        </w:tc>
        <w:tc>
          <w:tcPr>
            <w:tcW w:w="44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526</w:t>
            </w:r>
          </w:p>
        </w:tc>
        <w:tc>
          <w:tcPr>
            <w:tcW w:w="66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(5,287)</w:t>
            </w:r>
          </w:p>
        </w:tc>
        <w:tc>
          <w:tcPr>
            <w:tcW w:w="56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1,362</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Cash dividends</w:t>
            </w:r>
          </w:p>
        </w:tc>
        <w:tc>
          <w:tcPr>
            <w:tcW w:w="4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(9,183)</w:t>
            </w:r>
          </w:p>
        </w:tc>
        <w:tc>
          <w:tcPr>
            <w:tcW w:w="4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(9,430)</w:t>
            </w:r>
          </w:p>
        </w:tc>
        <w:tc>
          <w:tcPr>
            <w:tcW w:w="66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(18,363)</w:t>
            </w:r>
          </w:p>
        </w:tc>
        <w:tc>
          <w:tcPr>
            <w:tcW w:w="5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(18,864)</w:t>
            </w:r>
          </w:p>
        </w:tc>
      </w:tr>
      <w:tr>
        <w:trPr>
          <w:trHeight w:val="170"/>
        </w:trPr>
        <w:tc>
          <w:tcPr>
            <w:tcW w:w="3780" w:type="dxa"/>
            <w:vAlign w:val="bottom"/>
          </w:tcPr>
          <w:p>
            <w:pPr>
              <w:spacing w:after="0"/>
              <w:rPr>
                <w:sz w:val="14"/>
                <w:szCs w:val="14"/>
                <w:color w:val="auto"/>
              </w:rPr>
            </w:pP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BALANCE, END OF PERIOD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666,629</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645,614</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666,629</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645,614</w:t>
            </w:r>
          </w:p>
        </w:tc>
      </w:tr>
      <w:tr>
        <w:trPr>
          <w:trHeight w:val="170"/>
        </w:trPr>
        <w:tc>
          <w:tcPr>
            <w:tcW w:w="3780" w:type="dxa"/>
            <w:vAlign w:val="bottom"/>
          </w:tcPr>
          <w:p>
            <w:pPr>
              <w:spacing w:after="0"/>
              <w:rPr>
                <w:sz w:val="14"/>
                <w:szCs w:val="14"/>
                <w:color w:val="auto"/>
              </w:rPr>
            </w:pP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8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 (Unaudited)</w:t>
      </w:r>
    </w:p>
    <w:p>
      <w:pPr>
        <w:ind w:left="10"/>
        <w:spacing w:after="0"/>
        <w:rPr>
          <w:sz w:val="20"/>
          <w:szCs w:val="20"/>
          <w:color w:val="auto"/>
        </w:rPr>
      </w:pPr>
      <w:r>
        <w:rPr>
          <w:rFonts w:ascii="Courier New" w:cs="Courier New" w:eastAsia="Courier New" w:hAnsi="Courier New"/>
          <w:sz w:val="15"/>
          <w:szCs w:val="15"/>
          <w:color w:val="auto"/>
        </w:rPr>
        <w:t>First Hawaiian, Inc. and Subsidiaries</w:t>
      </w:r>
    </w:p>
    <w:p>
      <w:pPr>
        <w:spacing w:after="0" w:line="169" w:lineRule="exact"/>
        <w:rPr>
          <w:sz w:val="20"/>
          <w:szCs w:val="20"/>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of the Company include the accounts</w:t>
      </w:r>
    </w:p>
    <w:p>
      <w:pPr>
        <w:spacing w:after="0" w:line="5" w:lineRule="exact"/>
        <w:rPr>
          <w:sz w:val="20"/>
          <w:szCs w:val="20"/>
          <w:color w:val="auto"/>
        </w:rPr>
      </w:pPr>
    </w:p>
    <w:p>
      <w:pPr>
        <w:ind w:left="10" w:right="3440"/>
        <w:spacing w:after="0" w:line="237" w:lineRule="auto"/>
        <w:rPr>
          <w:sz w:val="20"/>
          <w:szCs w:val="20"/>
          <w:color w:val="auto"/>
        </w:rPr>
      </w:pPr>
      <w:r>
        <w:rPr>
          <w:rFonts w:ascii="Courier New" w:cs="Courier New" w:eastAsia="Courier New" w:hAnsi="Courier New"/>
          <w:sz w:val="15"/>
          <w:szCs w:val="15"/>
          <w:color w:val="auto"/>
        </w:rPr>
        <w:t>of First Hawaiian, Inc. and its wholly-owned subsidiaries - First Hawaiian Bank and its wholly-owned subsidiaries; Pioneer Federal Savings Bank and its wholly-owned subsidiary; First Hawaiian Creditcorp, Inc.; Pacific One Bank; First Hawaiian Leasing, Inc.; and FHI International, Inc. All significant intercompany balances and transactions have been eliminated in consolidation.</w:t>
      </w:r>
    </w:p>
    <w:p>
      <w:pPr>
        <w:spacing w:after="0" w:line="9" w:lineRule="exact"/>
        <w:rPr>
          <w:sz w:val="20"/>
          <w:szCs w:val="20"/>
          <w:color w:val="auto"/>
        </w:rPr>
      </w:pPr>
    </w:p>
    <w:p>
      <w:pPr>
        <w:ind w:left="10" w:right="3360" w:firstLine="441"/>
        <w:spacing w:after="0" w:line="256" w:lineRule="auto"/>
        <w:rPr>
          <w:sz w:val="20"/>
          <w:szCs w:val="20"/>
          <w:color w:val="auto"/>
        </w:rPr>
      </w:pPr>
      <w:r>
        <w:rPr>
          <w:rFonts w:ascii="Courier New" w:cs="Courier New" w:eastAsia="Courier New" w:hAnsi="Courier New"/>
          <w:sz w:val="14"/>
          <w:szCs w:val="14"/>
          <w:color w:val="auto"/>
        </w:rPr>
        <w:t>Certain amounts in the consolidated financial statements for 1995 have been reclassified to conform with the 1996 presentation. Such reclassifications had no effect on the consolidated net income as previously reported.</w:t>
      </w:r>
    </w:p>
    <w:p>
      <w:pPr>
        <w:spacing w:after="0" w:line="1" w:lineRule="exact"/>
        <w:rPr>
          <w:sz w:val="20"/>
          <w:szCs w:val="20"/>
          <w:color w:val="auto"/>
        </w:rPr>
      </w:pPr>
    </w:p>
    <w:p>
      <w:pPr>
        <w:jc w:val="both"/>
        <w:ind w:left="10" w:right="3540" w:firstLine="441"/>
        <w:spacing w:after="0" w:line="237" w:lineRule="auto"/>
        <w:rPr>
          <w:sz w:val="20"/>
          <w:szCs w:val="20"/>
          <w:color w:val="auto"/>
        </w:rPr>
      </w:pPr>
      <w:r>
        <w:rPr>
          <w:rFonts w:ascii="Courier New" w:cs="Courier New" w:eastAsia="Courier New" w:hAnsi="Courier New"/>
          <w:sz w:val="15"/>
          <w:szCs w:val="15"/>
          <w:color w:val="auto"/>
        </w:rPr>
        <w:t>In the opinion of management, all adjustments (which included only normal recurring adjustments) necessary for a fair presentation are reflected in the consolidated financial statements.</w:t>
      </w:r>
    </w:p>
    <w:p>
      <w:pPr>
        <w:spacing w:after="0" w:line="169" w:lineRule="exact"/>
        <w:rPr>
          <w:sz w:val="20"/>
          <w:szCs w:val="20"/>
          <w:color w:val="auto"/>
        </w:rPr>
      </w:pP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CHANGES</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1996, the Company adopted Statement of Financial</w:t>
      </w:r>
    </w:p>
    <w:p>
      <w:pPr>
        <w:spacing w:after="0" w:line="5" w:lineRule="exact"/>
        <w:rPr>
          <w:sz w:val="20"/>
          <w:szCs w:val="20"/>
          <w:color w:val="auto"/>
        </w:rPr>
      </w:pPr>
    </w:p>
    <w:p>
      <w:pPr>
        <w:ind w:left="10" w:right="3440"/>
        <w:spacing w:after="0" w:line="238" w:lineRule="auto"/>
        <w:rPr>
          <w:sz w:val="20"/>
          <w:szCs w:val="20"/>
          <w:color w:val="auto"/>
        </w:rPr>
      </w:pPr>
      <w:r>
        <w:rPr>
          <w:rFonts w:ascii="Courier New" w:cs="Courier New" w:eastAsia="Courier New" w:hAnsi="Courier New"/>
          <w:sz w:val="15"/>
          <w:szCs w:val="15"/>
          <w:color w:val="auto"/>
        </w:rPr>
        <w:t>Accounting Standards ("SFAS") No. 122, "Accounting for Mortgage Servicing Rights." SFAS 122 amends SFAS No. 65, "Accounting for Certain Mortgage Banking Activities," to require that mortgage banking enterprises recognize as separate assets rights to service mortgage loans for others. SFAS No. 122 also requires that mortgage banking enterprises assess capitalized mortgage servicing rights based on the fair value of those rights on a disaggregated basis. The adoption of this standard did not have a material effect on the consolidated financial statements of the Company.</w:t>
      </w:r>
    </w:p>
    <w:p>
      <w:pPr>
        <w:spacing w:after="0" w:line="8" w:lineRule="exact"/>
        <w:rPr>
          <w:sz w:val="20"/>
          <w:szCs w:val="20"/>
          <w:color w:val="auto"/>
        </w:rPr>
      </w:pPr>
    </w:p>
    <w:p>
      <w:pPr>
        <w:ind w:left="10" w:right="3360" w:firstLine="441"/>
        <w:spacing w:after="0" w:line="256" w:lineRule="auto"/>
        <w:rPr>
          <w:sz w:val="20"/>
          <w:szCs w:val="20"/>
          <w:color w:val="auto"/>
        </w:rPr>
      </w:pPr>
      <w:r>
        <w:rPr>
          <w:rFonts w:ascii="Courier New" w:cs="Courier New" w:eastAsia="Courier New" w:hAnsi="Courier New"/>
          <w:sz w:val="14"/>
          <w:szCs w:val="14"/>
          <w:color w:val="auto"/>
        </w:rPr>
        <w:t>Effective January 1, 1995, the Company adopted SFAS No. 114, "Accounting by Creditors for Impairment of a Loan," and SFAS No. 118, "Accounting by Creditors for Impairment of a Loan - Income Recognition and Disclosures." SFAS No. 114 requires that impaired loans be measured based on the present value of expected future cash flows discounted at the loan's effective interest rate, or at the loan's observable market price, or at the fair value of the collateral if the loan is collateral dependent. The adoption of SFAS No. 114 did not result in additional provisions for loan losses primarily because the majority of impaired loan valuations continue to be based on the fair value of the collateral.</w:t>
      </w:r>
    </w:p>
    <w:p>
      <w:pPr>
        <w:spacing w:after="0" w:line="3" w:lineRule="exact"/>
        <w:rPr>
          <w:sz w:val="20"/>
          <w:szCs w:val="20"/>
          <w:color w:val="auto"/>
        </w:rPr>
      </w:pPr>
    </w:p>
    <w:p>
      <w:pPr>
        <w:ind w:left="10" w:right="3360" w:firstLine="441"/>
        <w:spacing w:after="0" w:line="257" w:lineRule="auto"/>
        <w:rPr>
          <w:sz w:val="20"/>
          <w:szCs w:val="20"/>
          <w:color w:val="auto"/>
        </w:rPr>
      </w:pPr>
      <w:r>
        <w:rPr>
          <w:rFonts w:ascii="Courier New" w:cs="Courier New" w:eastAsia="Courier New" w:hAnsi="Courier New"/>
          <w:sz w:val="14"/>
          <w:szCs w:val="14"/>
          <w:color w:val="auto"/>
        </w:rPr>
        <w:t>The provision for loan losses charged to expense is based upon the Company's historical loss experience and estimates of future loan losses in the current loan portfolio, including the evaluation of impaired loans in accordance with SFAS No. 114. A loan is considered to be impaired when, based upon current information and events, it is probable that the Company will be unable to collect all amounts due according to the contractual terms of the loan. Impairment is primarily measured based on the fair value of the collateral. Impairment losses are included in the provision for loan losses. SFAS No. 114 does not apply to large groups of smaller balance homogeneous loans that are collectively evaluated for impairment, except for those loans restructured under a troubled debt structuring. Loans collectively evaluated for impairment include certain smaller balance commercial loans, consumer loans and residential real estate loans, and are not included in the data that follows.</w:t>
      </w:r>
    </w:p>
    <w:p>
      <w:pPr>
        <w:sectPr>
          <w:pgSz w:w="11900" w:h="16838" w:orient="portrait"/>
          <w:cols w:equalWidth="0" w:num="1">
            <w:col w:w="10410"/>
          </w:cols>
          <w:pgMar w:left="230" w:top="283" w:right="1259" w:bottom="1440" w:gutter="0" w:footer="0" w:header="0"/>
        </w:sectPr>
      </w:pPr>
    </w:p>
    <w:p>
      <w:pPr>
        <w:spacing w:after="0" w:line="32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410"/>
          </w:cols>
          <w:pgMar w:left="230" w:top="283" w:right="1259" w:bottom="1440" w:gutter="0" w:footer="0" w:header="0"/>
          <w:type w:val="continuous"/>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7</w:t>
      </w:r>
    </w:p>
    <w:p>
      <w:pPr>
        <w:ind w:left="10"/>
        <w:spacing w:after="0"/>
        <w:rPr>
          <w:sz w:val="20"/>
          <w:szCs w:val="20"/>
          <w:color w:val="auto"/>
        </w:rPr>
      </w:pPr>
      <w:r>
        <w:rPr>
          <w:rFonts w:ascii="Courier New" w:cs="Courier New" w:eastAsia="Courier New" w:hAnsi="Courier New"/>
          <w:sz w:val="15"/>
          <w:szCs w:val="15"/>
          <w:color w:val="auto"/>
        </w:rPr>
        <w:t>CONSOLIDATED STATEMENTS OF</w:t>
      </w:r>
    </w:p>
    <w:p>
      <w:pPr>
        <w:ind w:left="10"/>
        <w:spacing w:after="0"/>
        <w:rPr>
          <w:sz w:val="20"/>
          <w:szCs w:val="20"/>
          <w:color w:val="auto"/>
        </w:rPr>
      </w:pPr>
      <w:r>
        <w:rPr>
          <w:rFonts w:ascii="Courier New" w:cs="Courier New" w:eastAsia="Courier New" w:hAnsi="Courier New"/>
          <w:sz w:val="15"/>
          <w:szCs w:val="15"/>
          <w:color w:val="auto"/>
        </w:rPr>
        <w:t>CHANGES IN STOCKHOLDERS' EQUITY</w:t>
      </w:r>
    </w:p>
    <w:p>
      <w:pPr>
        <w:ind w:left="10"/>
        <w:spacing w:after="0" w:line="238" w:lineRule="auto"/>
        <w:rPr>
          <w:sz w:val="20"/>
          <w:szCs w:val="20"/>
          <w:color w:val="auto"/>
        </w:rPr>
      </w:pPr>
      <w:r>
        <w:rPr>
          <w:rFonts w:ascii="Courier New" w:cs="Courier New" w:eastAsia="Courier New" w:hAnsi="Courier New"/>
          <w:sz w:val="15"/>
          <w:szCs w:val="15"/>
          <w:color w:val="auto"/>
        </w:rPr>
        <w:t>First Hawaiian, Inc. and Subsidiaries (Unaudited)</w:t>
      </w:r>
    </w:p>
    <w:p>
      <w:pPr>
        <w:spacing w:after="0" w:line="175"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The following table summarizes impaired loan information as of June 30, 1996: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Impaired loans</w:t>
            </w:r>
          </w:p>
        </w:tc>
        <w:tc>
          <w:tcPr>
            <w:tcW w:w="3000" w:type="dxa"/>
            <w:vAlign w:val="bottom"/>
          </w:tcPr>
          <w:p>
            <w:pPr>
              <w:spacing w:after="0"/>
              <w:rPr>
                <w:sz w:val="24"/>
                <w:szCs w:val="2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74,233</w:t>
            </w: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Impaired loans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with related allowance for</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loan losses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calculated under SFAS No. 114</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55,132</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Interest payments on impaired loans are applied to principal.</w:t>
      </w:r>
    </w:p>
    <w:p>
      <w:pPr>
        <w:spacing w:after="0" w:line="169" w:lineRule="exact"/>
        <w:rPr>
          <w:sz w:val="20"/>
          <w:szCs w:val="20"/>
          <w:color w:val="auto"/>
        </w:rPr>
      </w:pPr>
    </w:p>
    <w:p>
      <w:pPr>
        <w:ind w:left="790" w:hanging="790"/>
        <w:spacing w:after="0"/>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w:t>
      </w:r>
    </w:p>
    <w:p>
      <w:pPr>
        <w:spacing w:after="0" w:line="175"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On May 31, 1996, the Company acquired 31 branches in Oregon, Washington and Idaho (the "Pacific Northwest Acquisition"), which were being divested by U.S. Bancorp and West One Bancorp as a result of their merger, at a purchase price of $36 million. The branch acquisitions included the purchase of loans of $400 million and assumption of deposits of $687 million. Of the 31 branches acquired by the Company, the 26 Oregon and Idaho branches will be operated as Pacific One Bank, a wholly-owned subsidiary of the Company. The five branches acquired in Washington will operate as Pacific One Bank, FSB and will be branches of Pioneer Federal Savings Bank, another wholly-owned subsidiary of the Company. The Pacific Northwest Acquisition was accounted for using the purchase method of accounting and the results of its operations were included in the Consolidated Statements of Income from the date of acquisition.</w:t>
      </w:r>
    </w:p>
    <w:p>
      <w:pPr>
        <w:spacing w:after="0" w:line="33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recorded consolidated net income for the first six months of 1996</w:t>
      </w:r>
    </w:p>
    <w:p>
      <w:pPr>
        <w:spacing w:after="0"/>
        <w:rPr>
          <w:sz w:val="20"/>
          <w:szCs w:val="20"/>
          <w:color w:val="auto"/>
        </w:rPr>
      </w:pPr>
      <w:r>
        <w:rPr>
          <w:rFonts w:ascii="Courier New" w:cs="Courier New" w:eastAsia="Courier New" w:hAnsi="Courier New"/>
          <w:sz w:val="15"/>
          <w:szCs w:val="15"/>
          <w:color w:val="auto"/>
        </w:rPr>
        <w:t>of $40,947,000, an increase of $3,309,000, or 8.8%, over the first six months</w:t>
      </w:r>
    </w:p>
    <w:p>
      <w:pPr>
        <w:spacing w:after="0"/>
        <w:tabs>
          <w:tab w:leader="none" w:pos="860" w:val="left"/>
        </w:tabs>
        <w:rPr>
          <w:sz w:val="20"/>
          <w:szCs w:val="20"/>
          <w:color w:val="auto"/>
        </w:rPr>
      </w:pPr>
      <w:r>
        <w:rPr>
          <w:rFonts w:ascii="Courier New" w:cs="Courier New" w:eastAsia="Courier New" w:hAnsi="Courier New"/>
          <w:sz w:val="15"/>
          <w:szCs w:val="15"/>
          <w:color w:val="auto"/>
        </w:rPr>
        <w:t>of 1995.</w:t>
      </w:r>
      <w:r>
        <w:rPr>
          <w:sz w:val="20"/>
          <w:szCs w:val="20"/>
          <w:color w:val="auto"/>
        </w:rPr>
        <w:tab/>
      </w:r>
      <w:r>
        <w:rPr>
          <w:rFonts w:ascii="Courier New" w:cs="Courier New" w:eastAsia="Courier New" w:hAnsi="Courier New"/>
          <w:sz w:val="14"/>
          <w:szCs w:val="14"/>
          <w:color w:val="auto"/>
        </w:rPr>
        <w:t>For the second quarter of 1996, the consolidated net income of</w:t>
      </w:r>
    </w:p>
    <w:p>
      <w:pPr>
        <w:spacing w:after="0" w:line="238" w:lineRule="auto"/>
        <w:tabs>
          <w:tab w:leader="none" w:pos="6660" w:val="left"/>
        </w:tabs>
        <w:rPr>
          <w:sz w:val="20"/>
          <w:szCs w:val="20"/>
          <w:color w:val="auto"/>
        </w:rPr>
      </w:pPr>
      <w:r>
        <w:rPr>
          <w:rFonts w:ascii="Courier New" w:cs="Courier New" w:eastAsia="Courier New" w:hAnsi="Courier New"/>
          <w:sz w:val="15"/>
          <w:szCs w:val="15"/>
          <w:color w:val="auto"/>
        </w:rPr>
        <w:t>$20,744,000 represented an increase of 9.9% over the same quarter in 1995.</w:t>
        <w:tab/>
        <w:t>The</w:t>
      </w:r>
    </w:p>
    <w:p>
      <w:pPr>
        <w:spacing w:after="0"/>
        <w:rPr>
          <w:sz w:val="20"/>
          <w:szCs w:val="20"/>
          <w:color w:val="auto"/>
        </w:rPr>
      </w:pPr>
      <w:r>
        <w:rPr>
          <w:rFonts w:ascii="Courier New" w:cs="Courier New" w:eastAsia="Courier New" w:hAnsi="Courier New"/>
          <w:sz w:val="15"/>
          <w:szCs w:val="15"/>
          <w:color w:val="auto"/>
        </w:rPr>
        <w:t>improved operating results for the Company reflects the slow, but steady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recovery of the Hawaii economy and a reduction in the Federal Deposit Insurance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deposit insurance premium.</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a per share basis, consolidated net income for the six months and quarter ended June 30, 1996 were $1.32 and $.67, respectively, representing increases of 11.9% and 13.6%, respectively, over the same periods in 1995. The proportionately greater increase in earnings per share was attributable to the fewer average number of shares outstanding in 1996 as compared to 1995, as a result of the Company's stock repurchase plan which authorized the total repurchase of up to 1.6 million shares (of which 1.1 million shares were repurchased as of June 30, 1996), or five percent of the Company's approximately 31 million shares outstanding.</w:t>
      </w:r>
    </w:p>
    <w:p>
      <w:pPr>
        <w:spacing w:after="0" w:line="179"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an annualized basis, the Company's return on average total assets for the first six months of 1996 was 1.10%, an increase of 11.1% over the same period in 1995, and return on average stockholders' equity was 12.52%, or an increase of 5.3%, over the same period in 1995. The increase in return on average total assets was primarily attributable to the increase in net income. The increase in return on average shareholders' equity was due to the increase in net income and the stock repurchase plan previously discussed.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INTEREST INCOME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Net interest income, on a fully taxable equivalent basis, increased $7,997,000, or 5.4%, to $155,201,000 for the first six months of 1996 from $147,204,000 for the same period in 1995. Net interest income increased $5,732,000, or 7.9%, to $78,595,000 for the second quarter of 1996 from $72,863,000 for the same period in 1995. The increases in net interest income for the first six months and second quarter of 1996 over the same periods in 1995, were primarily due to increases in the net interest margin, partially offset by decreases in average earning assets.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net interest margin was 4.59% for the first six months and second quarter of 1995, up 34 basis points (1% equals 100 basis points) and 42 basis points, respectively, over the same periods in 1995. Both the yield on average earning assets and rate paid on funding sources decreased during the first six months and second quarter of 1996 as compared with the same periods in 1995 due to a lower interest rate environment. However, the 38 basis point decrease in the rate paid on funding sources outpaced the decrease in the yield on average earning assets of 4 basis points for the first six months of 1996 as compared to the same period in 1995, resulting in a favorable impact on the net interest margin. In addition, the increases in noninterest-bearing demand deposits during the first six months and second quarter of 1996 over the same periods in 1995 also contributed to the increase in the net interest margin. The disproportionate decrease in the rate paid on funding sources was attributable in part to the positive impact of interest rate swaps designed to minimize the effect on the net interest margin from declining interest rates. For the first six months of 1996, the net interest rate swap expense on deposit accounts decreased $4,699,000 compared to the same period in 1995.</w:t>
      </w:r>
    </w:p>
    <w:p>
      <w:pPr>
        <w:spacing w:after="0" w:line="18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Average earning assets decreased by $173,526,000, or 2.5%, and $127,168,000, or 1.8%, for the first six months and second quarter of 1996, respectively, as compared to the same periods in 1995. In addition, in the second quarter of 1995, the Company securitized approximately $490,000,000 of adjustable rate mortgage loans with the Federal National Mortgage Association ("FNMA") in an effort to increase its funding capacity and liquidity. The securities backed by these loans are held by the Company and were reclassified to the investment securities portfolio. Excluding the aforementioned Pacific Northwest acquisition and loan securitization, the investment securities portfolio reflected decreases of $329,780,000, or 32.6%, and $264,459,000 or 28.1%, for the first six months and second quarter of 1996, respectively, compared to the same periods in 1995. The investment securities portfolio was allowed to run-off as securities matured since the securitized loans provided the necessary collateral for public deposits and reverse repurchase agreements. In addition, the increases in the overall yield on the investment securities portfolio, compared to the first six months and second quarter of 1995, were primarily attributable to the</w:t>
      </w: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4"/>
          <w:szCs w:val="14"/>
          <w:color w:val="auto"/>
        </w:rPr>
        <w:t>upward repricing of the securitized adjustable rate mortgage loans as a result of the increases in prevailing interest rates during the second half of 1995.</w:t>
      </w:r>
    </w:p>
    <w:p>
      <w:pPr>
        <w:spacing w:after="0" w:line="15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Excluding the effect of the Pacific Northwest acquisition and loan securitization, average loans for the first six months and second quarter of 1996 reflected slight decreases of .5% and 1.7%, respectively, compared to the same periods in 1995. The Company continues its efforts to diversify the loan portfolio, both geographically and by industry. Also, the mix of average earning assets continues to change (excluding the effect of the Pacific Northwest acquisition and loan securitization), with higher-yielding average loans representing 84.3% of average earning assets for the first six months and second quarter of 1996, as compared to 81.4% and 81.8%, respectively, for the same periods in 1995.</w:t>
      </w:r>
    </w:p>
    <w:p>
      <w:pPr>
        <w:spacing w:after="0" w:line="18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Average interest-bearing deposits and liabilities decreased by $226,820,000, or 3.8%, and $189,662,000, or 3.2%, for the first six months and second quarter of 1996, respectively, compared to the same periods in 1995. These decreases were due primarily to the repayment of short-term borrowings from proceeds received from the run-off of the investment securities portfolio. These decreases were offset by increases in average deposits resulting primarily from the previously mentioned Pacific Northwest acquisition and deposits acquired from a depository financial services loan company in the fourth quarter of 1995. In addition, the Company issued $50 million of long-term subordinated debt during the second quarter of 1996 to fund the Pacific Northwest acquisition.</w:t>
      </w:r>
    </w:p>
    <w:p>
      <w:pPr>
        <w:spacing w:after="0" w:line="181"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As a result of depositors seeking higher yields, the mix of average interest-bearing deposits and liabilities changed with higher-yielding average time deposits representing 48.4% and 49.0% of average interest-bearing deposits and liabilities for the first six months and second quarter of 1996, respectively, as compared to 44.8% and 46.5%, respectively, for the same periods in 1995.</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following table sets forth consolidated average balance sheets, an analysis of interest income/expense, and average yield/rate for each major category of interest-earning assets and interest-bearing liabilities for the periods indicated on a taxable equivalent basis. The tax equivalent adjustment is made for items exempt from Federal income taxes (assuming a 35% tax rate for 1996 and 1995) to make them comparable with taxable items before any income taxes are applied.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QUARTER ENDED JUNE 30,</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60" w:type="dxa"/>
            <w:vAlign w:val="bottom"/>
            <w:gridSpan w:val="10"/>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1996</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1995</w:t>
            </w:r>
          </w:p>
        </w:tc>
        <w:tc>
          <w:tcPr>
            <w:tcW w:w="80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Courier New" w:cs="Courier New" w:eastAsia="Courier New" w:hAnsi="Courier New"/>
                <w:sz w:val="7"/>
                <w:szCs w:val="7"/>
                <w:color w:val="auto"/>
                <w:w w:val="70"/>
              </w:rPr>
              <w: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INTEREST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Interest</w:t>
            </w:r>
          </w:p>
        </w:tc>
        <w:tc>
          <w:tcPr>
            <w:tcW w:w="80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AVERAGE</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INCOME/</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YIELD/</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Average</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Income/</w:t>
            </w:r>
          </w:p>
        </w:tc>
        <w:tc>
          <w:tcPr>
            <w:tcW w:w="8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Yield/</w:t>
            </w:r>
          </w:p>
        </w:tc>
      </w:tr>
      <w:tr>
        <w:trPr>
          <w:trHeight w:val="170"/>
        </w:trPr>
        <w:tc>
          <w:tcPr>
            <w:tcW w:w="520" w:type="dxa"/>
            <w:vAlign w:val="bottom"/>
          </w:tcPr>
          <w:p>
            <w:pPr>
              <w:spacing w:after="0"/>
              <w:rPr>
                <w:sz w:val="14"/>
                <w:szCs w:val="14"/>
                <w:color w:val="auto"/>
              </w:rPr>
            </w:pPr>
          </w:p>
        </w:tc>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BALANCE</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EXPENSE</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RATE (1)</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Balance</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Expense</w:t>
            </w:r>
          </w:p>
        </w:tc>
        <w:tc>
          <w:tcPr>
            <w:tcW w:w="8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Rate (1)</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w w:val="96"/>
              </w:rPr>
              <w:t>(dollars in thousands)</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Earning assets: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2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Interest-bearing deposits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 other banks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200,787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2,755</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5.52%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17,686</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5.97%</w:t>
            </w:r>
          </w:p>
        </w:tc>
      </w:tr>
      <w:tr>
        <w:trPr>
          <w:trHeight w:val="170"/>
        </w:trPr>
        <w:tc>
          <w:tcPr>
            <w:tcW w:w="2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Federal funds sold and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securities purchased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under agreements to</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resell</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173,394</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2,385</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5.53</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312,632</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4,701</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6.03</w:t>
            </w:r>
          </w:p>
        </w:tc>
      </w:tr>
      <w:tr>
        <w:trPr>
          <w:trHeight w:val="170"/>
        </w:trPr>
        <w:tc>
          <w:tcPr>
            <w:tcW w:w="2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Investment securities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3"/>
              </w:rPr>
              <w:t>1,157,550</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18,633</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6.47</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953,268</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13,234</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5.57</w:t>
            </w:r>
          </w:p>
        </w:tc>
      </w:tr>
      <w:tr>
        <w:trPr>
          <w:trHeight w:val="170"/>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Loans</w:t>
            </w:r>
          </w:p>
        </w:tc>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3"/>
              </w:rPr>
              <w:t>5,352,206</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115,369</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8.67</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5,727,519</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124,892</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8.77</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339"/>
        </w:trPr>
        <w:tc>
          <w:tcPr>
            <w:tcW w:w="2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Total earning assets</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3"/>
              </w:rPr>
              <w:t>6,883,937</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139,142</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8.13</w:t>
            </w:r>
          </w:p>
        </w:tc>
        <w:tc>
          <w:tcPr>
            <w:tcW w:w="22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7,011,105</w:t>
            </w:r>
          </w:p>
        </w:tc>
        <w:tc>
          <w:tcPr>
            <w:tcW w:w="3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143,091</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8.19</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Nonearning assets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672,224</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671,145</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2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$7,556,161</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$7,682,250</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48"/>
        </w:trPr>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SIX MONTHS ENDED JUNE 30,</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60" w:type="dxa"/>
            <w:vAlign w:val="bottom"/>
            <w:gridSpan w:val="10"/>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1996</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1995</w:t>
            </w:r>
          </w:p>
        </w:tc>
        <w:tc>
          <w:tcPr>
            <w:tcW w:w="80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Courier New" w:cs="Courier New" w:eastAsia="Courier New" w:hAnsi="Courier New"/>
                <w:sz w:val="6"/>
                <w:szCs w:val="6"/>
                <w:color w:val="auto"/>
                <w:w w:val="79"/>
              </w:rPr>
              <w: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INTEREST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Interest</w:t>
            </w:r>
          </w:p>
        </w:tc>
        <w:tc>
          <w:tcPr>
            <w:tcW w:w="80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AVERAGE</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INCOME/</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YIELD/</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Average</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Income/</w:t>
            </w:r>
          </w:p>
        </w:tc>
        <w:tc>
          <w:tcPr>
            <w:tcW w:w="8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Yield/</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BALANCE</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EXPENSE</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RATE (1)</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Balance</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Expense</w:t>
            </w:r>
          </w:p>
        </w:tc>
        <w:tc>
          <w:tcPr>
            <w:tcW w:w="8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Rate (1)</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w w:val="96"/>
              </w:rPr>
              <w:t>(dollars in thousands)</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Earning assets: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2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Interest-bearing deposits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 other banks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204,168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5,653</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5.57%</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14,093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5.97%</w:t>
            </w:r>
          </w:p>
        </w:tc>
      </w:tr>
      <w:tr>
        <w:trPr>
          <w:trHeight w:val="170"/>
        </w:trPr>
        <w:tc>
          <w:tcPr>
            <w:tcW w:w="2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Federal funds sold and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securities purchased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under agreements to</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resell</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164,399</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4,519</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5.53</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272,244</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7,881</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5.84</w:t>
            </w:r>
          </w:p>
        </w:tc>
      </w:tr>
      <w:tr>
        <w:trPr>
          <w:trHeight w:val="170"/>
        </w:trPr>
        <w:tc>
          <w:tcPr>
            <w:tcW w:w="2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Investment securities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3"/>
              </w:rPr>
              <w:t>1,145,829</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36,736</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6.45</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1,016,748</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27,675</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5.49</w:t>
            </w:r>
          </w:p>
        </w:tc>
      </w:tr>
      <w:tr>
        <w:trPr>
          <w:trHeight w:val="170"/>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Loans</w:t>
            </w:r>
          </w:p>
        </w:tc>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3"/>
              </w:rPr>
              <w:t>5,292,443</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228,600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8.69</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5,677,280</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247,299</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8.78</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339"/>
        </w:trPr>
        <w:tc>
          <w:tcPr>
            <w:tcW w:w="2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Total earning assets</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3"/>
              </w:rPr>
              <w:t>6,806,839</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275,508</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8.14</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6,980,365</w:t>
            </w:r>
          </w:p>
        </w:tc>
        <w:tc>
          <w:tcPr>
            <w:tcW w:w="3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283,273</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8.18</w:t>
            </w: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Nonearning assets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645,151</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660,625</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2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$7,451,990</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$7,640,990</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w:t>
      </w:r>
    </w:p>
    <w:p>
      <w:pPr>
        <w:spacing w:after="0" w:line="174" w:lineRule="exact"/>
        <w:rPr>
          <w:rFonts w:ascii="Courier New" w:cs="Courier New" w:eastAsia="Courier New" w:hAnsi="Courier New"/>
          <w:sz w:val="15"/>
          <w:szCs w:val="15"/>
          <w:color w:val="auto"/>
        </w:rPr>
      </w:pPr>
    </w:p>
    <w:p>
      <w:pPr>
        <w:ind w:left="450" w:right="3439" w:hanging="450"/>
        <w:spacing w:after="0" w:line="235"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Nonaccruing loans have been included in the computations of average loan balances.</w:t>
      </w:r>
    </w:p>
    <w:p>
      <w:pPr>
        <w:spacing w:after="0" w:line="175" w:lineRule="exact"/>
        <w:rPr>
          <w:rFonts w:ascii="Courier New" w:cs="Courier New" w:eastAsia="Courier New" w:hAnsi="Courier New"/>
          <w:sz w:val="15"/>
          <w:szCs w:val="15"/>
          <w:color w:val="auto"/>
        </w:rPr>
      </w:pPr>
    </w:p>
    <w:p>
      <w:pPr>
        <w:ind w:left="450" w:right="3259" w:hanging="450"/>
        <w:spacing w:after="0" w:line="260" w:lineRule="auto"/>
        <w:tabs>
          <w:tab w:leader="none" w:pos="4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for loans included loan fees of $6,183 and $11,801 for the quarter and six months ended June 30, 1996, respectively, and $6,091 and $12,006 for the quarter and six months ended June 30, 1995, respectively.</w:t>
      </w:r>
    </w:p>
    <w:p>
      <w:pPr>
        <w:sectPr>
          <w:pgSz w:w="11900" w:h="16838" w:orient="portrait"/>
          <w:cols w:equalWidth="0" w:num="1">
            <w:col w:w="10229"/>
          </w:cols>
          <w:pgMar w:left="230" w:top="283" w:right="1440" w:bottom="1440" w:gutter="0" w:footer="0" w:header="0"/>
        </w:sectPr>
      </w:pPr>
    </w:p>
    <w:p>
      <w:pPr>
        <w:spacing w:after="0" w:line="32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283"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509"/>
        </w:trPr>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QUARTER ENDED JUNE 30,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920" w:type="dxa"/>
            <w:vAlign w:val="bottom"/>
            <w:gridSpan w:val="10"/>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1996</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Courier New" w:cs="Courier New" w:eastAsia="Courier New" w:hAnsi="Courier New"/>
                <w:sz w:val="7"/>
                <w:szCs w:val="7"/>
                <w:color w:val="auto"/>
                <w:w w:val="76"/>
              </w:rPr>
              <w: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INTEREST</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Interest</w:t>
            </w:r>
          </w:p>
        </w:tc>
        <w:tc>
          <w:tcPr>
            <w:tcW w:w="940" w:type="dxa"/>
            <w:vAlign w:val="bottom"/>
          </w:tcPr>
          <w:p>
            <w:pPr>
              <w:spacing w:after="0"/>
              <w:rPr>
                <w:sz w:val="14"/>
                <w:szCs w:val="14"/>
                <w:color w:val="auto"/>
              </w:rPr>
            </w:pPr>
          </w:p>
        </w:tc>
      </w:tr>
      <w:tr>
        <w:trPr>
          <w:trHeight w:val="170"/>
        </w:trPr>
        <w:tc>
          <w:tcPr>
            <w:tcW w:w="2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LIABILITIES AND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AVERAGE</w:t>
            </w:r>
          </w:p>
        </w:tc>
        <w:tc>
          <w:tcPr>
            <w:tcW w:w="98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8"/>
              </w:rPr>
              <w:t>INCOME/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YIELD/</w:t>
            </w:r>
          </w:p>
        </w:tc>
        <w:tc>
          <w:tcPr>
            <w:tcW w:w="2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Average</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Income/</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Yield/</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BALANCE</w:t>
            </w:r>
          </w:p>
        </w:tc>
        <w:tc>
          <w:tcPr>
            <w:tcW w:w="98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8"/>
              </w:rPr>
              <w:t>EXPENSE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RATE (1)</w:t>
            </w:r>
          </w:p>
        </w:tc>
        <w:tc>
          <w:tcPr>
            <w:tcW w:w="2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Balance</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Expense</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w w:val="97"/>
              </w:rPr>
              <w:t>Rate (1)</w:t>
            </w: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(dollars in thousands)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Interest-bearing</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deposits and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liabilities: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Deposits</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4,549,312</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42,955</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3.80%</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4,417,055</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45,956</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4.18%</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Short-term</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borrowings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976,131</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13,201</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5.44</w:t>
            </w: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1,341,108</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20,875</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6.24</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280,498</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4,391</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6.30</w:t>
            </w: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237,440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3,397</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5.74</w:t>
            </w: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Total interest-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bearing deposits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liabilities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5,805,941</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60,547</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4.19</w:t>
            </w: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5,995,603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70,228</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4.70</w:t>
            </w: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Interest rate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spread</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3.94%</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3.49%</w:t>
            </w: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Noninterest-bearing</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demand</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deposits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872,528</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826,791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215,405</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213,468</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6,893,874</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7,035,862</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equity</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662,287</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646,388</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Total liabilities and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7,556,161</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7,682,250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Net interest income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margin 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earning assets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78,595</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4.59%</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72,863</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4.17%</w:t>
            </w: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Tax equivalent adjustment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1,446</w:t>
            </w:r>
          </w:p>
        </w:tc>
        <w:tc>
          <w:tcPr>
            <w:tcW w:w="94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0"/>
        </w:trPr>
        <w:tc>
          <w:tcPr>
            <w:tcW w:w="2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Net interest income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78,058</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71,417</w:t>
            </w:r>
          </w:p>
        </w:tc>
        <w:tc>
          <w:tcPr>
            <w:tcW w:w="94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678"/>
        </w:trPr>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SIX MONTHS ENDED JUNE 30,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920" w:type="dxa"/>
            <w:vAlign w:val="bottom"/>
            <w:gridSpan w:val="10"/>
          </w:tcPr>
          <w:p>
            <w:pPr>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Courier New" w:cs="Courier New" w:eastAsia="Courier New" w:hAnsi="Courier New"/>
                <w:sz w:val="7"/>
                <w:szCs w:val="7"/>
                <w:color w:val="auto"/>
                <w:w w:val="76"/>
              </w:rPr>
              <w: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0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w:t>
            </w: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AVERAGE</w:t>
            </w:r>
          </w:p>
        </w:tc>
        <w:tc>
          <w:tcPr>
            <w:tcW w:w="98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8"/>
              </w:rPr>
              <w:t>INCOME/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YIELD/</w:t>
            </w:r>
          </w:p>
        </w:tc>
        <w:tc>
          <w:tcPr>
            <w:tcW w:w="22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Average</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Income/</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Yield/</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BALANCE</w:t>
            </w:r>
          </w:p>
        </w:tc>
        <w:tc>
          <w:tcPr>
            <w:tcW w:w="98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8"/>
              </w:rPr>
              <w:t>EXPENSE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RATE (1)</w:t>
            </w:r>
          </w:p>
        </w:tc>
        <w:tc>
          <w:tcPr>
            <w:tcW w:w="2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Balance</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Expense</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Rate (1)</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(dollars in thousands)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Interest-bearing</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deposits and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liabilities: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Deposits</w:t>
            </w:r>
          </w:p>
        </w:tc>
        <w:tc>
          <w:tcPr>
            <w:tcW w:w="1800" w:type="dxa"/>
            <w:vAlign w:val="bottom"/>
          </w:tcPr>
          <w:p>
            <w:pPr>
              <w:spacing w:after="0"/>
              <w:rPr>
                <w:sz w:val="24"/>
                <w:szCs w:val="24"/>
                <w:color w:val="auto"/>
              </w:rPr>
            </w:pP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4,470,853</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85,004</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3.82%</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4,371,111</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88,105</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4.06%</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Short-term borrowings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1,010,700</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27,036</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5.38</w:t>
            </w: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1,370,252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41,388</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6.09</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263,658</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8,267</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6.31</w:t>
            </w: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230,668</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6,576</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5.75</w:t>
            </w: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gridSpan w:val="2"/>
          </w:tcPr>
          <w:p>
            <w:pPr>
              <w:ind w:left="360"/>
              <w:spacing w:after="0"/>
              <w:rPr>
                <w:sz w:val="20"/>
                <w:szCs w:val="20"/>
                <w:color w:val="auto"/>
              </w:rPr>
            </w:pPr>
            <w:r>
              <w:rPr>
                <w:rFonts w:ascii="Courier New" w:cs="Courier New" w:eastAsia="Courier New" w:hAnsi="Courier New"/>
                <w:sz w:val="3"/>
                <w:szCs w:val="3"/>
                <w:color w:val="auto"/>
                <w:w w:val="73"/>
              </w:rPr>
              <w:t>------------</w:t>
            </w:r>
          </w:p>
        </w:tc>
        <w:tc>
          <w:tcPr>
            <w:tcW w:w="9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Total interest-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bearing deposits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liabilities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5,745,211</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120,307</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4.21</w:t>
            </w: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5,972,031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136,069</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4.59</w:t>
            </w: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gridSpan w:val="2"/>
          </w:tcPr>
          <w:p>
            <w:pPr>
              <w:ind w:left="360"/>
              <w:spacing w:after="0"/>
              <w:rPr>
                <w:sz w:val="20"/>
                <w:szCs w:val="20"/>
                <w:color w:val="auto"/>
              </w:rPr>
            </w:pPr>
            <w:r>
              <w:rPr>
                <w:rFonts w:ascii="Courier New" w:cs="Courier New" w:eastAsia="Courier New" w:hAnsi="Courier New"/>
                <w:sz w:val="3"/>
                <w:szCs w:val="3"/>
                <w:color w:val="auto"/>
                <w:w w:val="73"/>
              </w:rPr>
              <w:t>------------</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820" w:type="dxa"/>
            <w:vAlign w:val="bottom"/>
          </w:tcPr>
          <w:p>
            <w:pPr>
              <w:spacing w:after="0"/>
              <w:rPr>
                <w:sz w:val="14"/>
                <w:szCs w:val="14"/>
                <w:color w:val="auto"/>
              </w:rPr>
            </w:pP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Interest rate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3.93%</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3.59%</w:t>
            </w:r>
          </w:p>
        </w:tc>
      </w:tr>
      <w:tr>
        <w:trPr>
          <w:trHeight w:val="170"/>
        </w:trPr>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spread</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Noninterest-bearing</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demand</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deposits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851,740</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828,221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197,236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202,243</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gridSpan w:val="2"/>
          </w:tcPr>
          <w:p>
            <w:pPr>
              <w:ind w:left="360"/>
              <w:spacing w:after="0"/>
              <w:rPr>
                <w:sz w:val="20"/>
                <w:szCs w:val="20"/>
                <w:color w:val="auto"/>
              </w:rPr>
            </w:pPr>
            <w:r>
              <w:rPr>
                <w:rFonts w:ascii="Courier New" w:cs="Courier New" w:eastAsia="Courier New" w:hAnsi="Courier New"/>
                <w:sz w:val="3"/>
                <w:szCs w:val="3"/>
                <w:color w:val="auto"/>
                <w:w w:val="73"/>
              </w:rPr>
              <w:t>------------</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6,794,187</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7,002,495</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equity</w:t>
            </w: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657,803</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638,495</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gridSpan w:val="2"/>
          </w:tcPr>
          <w:p>
            <w:pPr>
              <w:ind w:left="360"/>
              <w:spacing w:after="0"/>
              <w:rPr>
                <w:sz w:val="20"/>
                <w:szCs w:val="20"/>
                <w:color w:val="auto"/>
              </w:rPr>
            </w:pPr>
            <w:r>
              <w:rPr>
                <w:rFonts w:ascii="Courier New" w:cs="Courier New" w:eastAsia="Courier New" w:hAnsi="Courier New"/>
                <w:sz w:val="3"/>
                <w:szCs w:val="3"/>
                <w:color w:val="auto"/>
                <w:w w:val="73"/>
              </w:rPr>
              <w:t>------------</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Total liabilities and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7,451,990</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7,640,990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interest income</w:t>
      </w:r>
    </w:p>
    <w:p>
      <w:pPr>
        <w:ind w:left="80"/>
        <w:spacing w:after="0"/>
        <w:rPr>
          <w:sz w:val="20"/>
          <w:szCs w:val="20"/>
          <w:color w:val="auto"/>
        </w:rPr>
      </w:pPr>
      <w:r>
        <w:rPr>
          <w:rFonts w:ascii="Courier New" w:cs="Courier New" w:eastAsia="Courier New" w:hAnsi="Courier New"/>
          <w:sz w:val="15"/>
          <w:szCs w:val="15"/>
          <w:color w:val="auto"/>
        </w:rPr>
        <w:t>and margin on</w:t>
      </w:r>
    </w:p>
    <w:p>
      <w:pPr>
        <w:sectPr>
          <w:pgSz w:w="11900" w:h="16838" w:orient="portrait"/>
          <w:cols w:equalWidth="0" w:num="1">
            <w:col w:w="10219"/>
          </w:cols>
          <w:pgMar w:left="240" w:top="283"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earning assets</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155,201</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4.59%</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147,204</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4.25%</w:t>
            </w:r>
          </w:p>
        </w:tc>
      </w:tr>
      <w:tr>
        <w:trPr>
          <w:trHeight w:val="170"/>
        </w:trPr>
        <w:tc>
          <w:tcPr>
            <w:tcW w:w="28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Tax equivalent adjustment</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1,123</w:t>
            </w:r>
          </w:p>
        </w:tc>
        <w:tc>
          <w:tcPr>
            <w:tcW w:w="1320" w:type="dxa"/>
            <w:vAlign w:val="bottom"/>
          </w:tcPr>
          <w:p>
            <w:pPr>
              <w:spacing w:after="0"/>
              <w:rPr>
                <w:sz w:val="24"/>
                <w:szCs w:val="24"/>
                <w:color w:val="auto"/>
              </w:rPr>
            </w:pP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3,031</w:t>
            </w:r>
          </w:p>
        </w:tc>
        <w:tc>
          <w:tcPr>
            <w:tcW w:w="560" w:type="dxa"/>
            <w:vAlign w:val="bottom"/>
          </w:tcPr>
          <w:p>
            <w:pPr>
              <w:spacing w:after="0"/>
              <w:rPr>
                <w:sz w:val="24"/>
                <w:szCs w:val="24"/>
                <w:color w:val="auto"/>
              </w:rPr>
            </w:pPr>
          </w:p>
        </w:tc>
      </w:tr>
      <w:tr>
        <w:trPr>
          <w:trHeight w:val="170"/>
        </w:trPr>
        <w:tc>
          <w:tcPr>
            <w:tcW w:w="2820" w:type="dxa"/>
            <w:vAlign w:val="bottom"/>
          </w:tcPr>
          <w:p>
            <w:pPr>
              <w:spacing w:after="0"/>
              <w:rPr>
                <w:sz w:val="14"/>
                <w:szCs w:val="14"/>
                <w:color w:val="auto"/>
              </w:rPr>
            </w:pP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339"/>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Net interest income</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$ 154,078</w:t>
            </w:r>
          </w:p>
        </w:tc>
        <w:tc>
          <w:tcPr>
            <w:tcW w:w="1320" w:type="dxa"/>
            <w:vAlign w:val="bottom"/>
          </w:tcPr>
          <w:p>
            <w:pPr>
              <w:spacing w:after="0"/>
              <w:rPr>
                <w:sz w:val="24"/>
                <w:szCs w:val="24"/>
                <w:color w:val="auto"/>
              </w:rPr>
            </w:pP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$ 144,173</w:t>
            </w:r>
          </w:p>
        </w:tc>
        <w:tc>
          <w:tcPr>
            <w:tcW w:w="560" w:type="dxa"/>
            <w:vAlign w:val="bottom"/>
          </w:tcPr>
          <w:p>
            <w:pPr>
              <w:spacing w:after="0"/>
              <w:rPr>
                <w:sz w:val="24"/>
                <w:szCs w:val="24"/>
                <w:color w:val="auto"/>
              </w:rPr>
            </w:pPr>
          </w:p>
        </w:tc>
      </w:tr>
      <w:tr>
        <w:trPr>
          <w:trHeight w:val="170"/>
        </w:trPr>
        <w:tc>
          <w:tcPr>
            <w:tcW w:w="2820" w:type="dxa"/>
            <w:vAlign w:val="bottom"/>
          </w:tcPr>
          <w:p>
            <w:pPr>
              <w:spacing w:after="0"/>
              <w:rPr>
                <w:sz w:val="14"/>
                <w:szCs w:val="14"/>
                <w:color w:val="auto"/>
              </w:rPr>
            </w:pP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678"/>
        </w:trPr>
        <w:tc>
          <w:tcPr>
            <w:tcW w:w="2820" w:type="dxa"/>
            <w:vAlign w:val="bottom"/>
          </w:tcPr>
          <w:p>
            <w:pPr>
              <w:spacing w:after="0"/>
              <w:rPr>
                <w:sz w:val="24"/>
                <w:szCs w:val="24"/>
                <w:color w:val="auto"/>
              </w:rPr>
            </w:pPr>
          </w:p>
        </w:tc>
        <w:tc>
          <w:tcPr>
            <w:tcW w:w="2240" w:type="dxa"/>
            <w:vAlign w:val="bottom"/>
          </w:tcPr>
          <w:p>
            <w:pPr>
              <w:jc w:val="right"/>
              <w:ind w:right="1387"/>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rPr>
          <w:sz w:val="20"/>
          <w:szCs w:val="20"/>
          <w:color w:val="auto"/>
        </w:rPr>
      </w:pPr>
      <w:r>
        <w:rPr>
          <w:rFonts w:ascii="Courier New" w:cs="Courier New" w:eastAsia="Courier New" w:hAnsi="Courier New"/>
          <w:sz w:val="15"/>
          <w:szCs w:val="15"/>
          <w:color w:val="auto"/>
        </w:rPr>
        <w:t>INVESTMENT SECURITIES</w:t>
      </w:r>
    </w:p>
    <w:p>
      <w:pPr>
        <w:spacing w:after="0" w:line="174" w:lineRule="exact"/>
        <w:rPr>
          <w:sz w:val="20"/>
          <w:szCs w:val="20"/>
          <w:color w:val="auto"/>
        </w:rPr>
      </w:pPr>
    </w:p>
    <w:p>
      <w:pPr>
        <w:ind w:right="4319"/>
        <w:spacing w:after="0" w:line="265" w:lineRule="auto"/>
        <w:rPr>
          <w:sz w:val="20"/>
          <w:szCs w:val="20"/>
          <w:color w:val="auto"/>
        </w:rPr>
      </w:pPr>
      <w:r>
        <w:rPr>
          <w:rFonts w:ascii="Courier New" w:cs="Courier New" w:eastAsia="Courier New" w:hAnsi="Courier New"/>
          <w:sz w:val="14"/>
          <w:szCs w:val="14"/>
          <w:color w:val="auto"/>
        </w:rPr>
        <w:t>The following table presents the amortized cost and fair values of available-for-sale investment securities as of the dates indicated:</w:t>
      </w:r>
    </w:p>
    <w:p>
      <w:pPr>
        <w:spacing w:after="0" w:line="200" w:lineRule="exact"/>
        <w:rPr>
          <w:sz w:val="20"/>
          <w:szCs w:val="20"/>
          <w:color w:val="auto"/>
        </w:rPr>
      </w:pPr>
    </w:p>
    <w:p>
      <w:pPr>
        <w:spacing w:after="0" w:line="292"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June 30,</w:t>
            </w:r>
          </w:p>
        </w:tc>
        <w:tc>
          <w:tcPr>
            <w:tcW w:w="20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June 30,</w:t>
            </w:r>
          </w:p>
        </w:tc>
      </w:tr>
      <w:tr>
        <w:trPr>
          <w:trHeight w:val="170"/>
        </w:trPr>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14"/>
                <w:szCs w:val="14"/>
                <w:color w:val="auto"/>
              </w:rPr>
            </w:pPr>
          </w:p>
        </w:tc>
        <w:tc>
          <w:tcPr>
            <w:tcW w:w="13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1980" w:type="dxa"/>
            <w:vAlign w:val="bottom"/>
          </w:tcPr>
          <w:p>
            <w:pPr>
              <w:spacing w:after="0"/>
              <w:rPr>
                <w:sz w:val="14"/>
                <w:szCs w:val="14"/>
                <w:color w:val="auto"/>
              </w:rPr>
            </w:pPr>
          </w:p>
        </w:tc>
        <w:tc>
          <w:tcPr>
            <w:tcW w:w="21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5"/>
                <w:szCs w:val="15"/>
                <w:color w:val="auto"/>
              </w:rPr>
              <w:t>(in</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thousands)</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Amortized cost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1,269,525</w:t>
            </w:r>
          </w:p>
        </w:tc>
        <w:tc>
          <w:tcPr>
            <w:tcW w:w="7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1,166,178</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156,015</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Unrealized gains</w:t>
            </w:r>
          </w:p>
        </w:tc>
        <w:tc>
          <w:tcPr>
            <w:tcW w:w="660" w:type="dxa"/>
            <w:vAlign w:val="bottom"/>
          </w:tcPr>
          <w:p>
            <w:pPr>
              <w:spacing w:after="0"/>
              <w:rPr>
                <w:sz w:val="24"/>
                <w:szCs w:val="24"/>
                <w:color w:val="auto"/>
              </w:rPr>
            </w:pP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4,098</w:t>
            </w:r>
          </w:p>
        </w:tc>
        <w:tc>
          <w:tcPr>
            <w:tcW w:w="700" w:type="dxa"/>
            <w:vAlign w:val="bottom"/>
          </w:tcPr>
          <w:p>
            <w:pPr>
              <w:spacing w:after="0"/>
              <w:rPr>
                <w:sz w:val="24"/>
                <w:szCs w:val="2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9,920</w:t>
            </w:r>
          </w:p>
        </w:tc>
        <w:tc>
          <w:tcPr>
            <w:tcW w:w="54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696</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Unrealized losses</w:t>
            </w:r>
          </w:p>
        </w:tc>
        <w:tc>
          <w:tcPr>
            <w:tcW w:w="660" w:type="dxa"/>
            <w:vAlign w:val="bottom"/>
          </w:tcPr>
          <w:p>
            <w:pPr>
              <w:spacing w:after="0"/>
              <w:rPr>
                <w:sz w:val="24"/>
                <w:szCs w:val="2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(3,769)</w:t>
            </w:r>
          </w:p>
        </w:tc>
        <w:tc>
          <w:tcPr>
            <w:tcW w:w="70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(805)</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70"/>
        </w:trPr>
        <w:tc>
          <w:tcPr>
            <w:tcW w:w="1980" w:type="dxa"/>
            <w:vAlign w:val="bottom"/>
          </w:tcPr>
          <w:p>
            <w:pPr>
              <w:spacing w:after="0"/>
              <w:rPr>
                <w:sz w:val="14"/>
                <w:szCs w:val="14"/>
                <w:color w:val="auto"/>
              </w:rPr>
            </w:pPr>
          </w:p>
        </w:tc>
        <w:tc>
          <w:tcPr>
            <w:tcW w:w="21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1,269,854</w:t>
            </w:r>
          </w:p>
        </w:tc>
        <w:tc>
          <w:tcPr>
            <w:tcW w:w="7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1,175,293</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156,560</w:t>
            </w:r>
          </w:p>
        </w:tc>
      </w:tr>
      <w:tr>
        <w:trPr>
          <w:trHeight w:val="170"/>
        </w:trPr>
        <w:tc>
          <w:tcPr>
            <w:tcW w:w="1980" w:type="dxa"/>
            <w:vAlign w:val="bottom"/>
          </w:tcPr>
          <w:p>
            <w:pPr>
              <w:spacing w:after="0"/>
              <w:rPr>
                <w:sz w:val="14"/>
                <w:szCs w:val="14"/>
                <w:color w:val="auto"/>
              </w:rPr>
            </w:pPr>
          </w:p>
        </w:tc>
        <w:tc>
          <w:tcPr>
            <w:tcW w:w="21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Book and fair values of held-to-maturity investment securities at June 30, 1995, were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2560" w:type="dxa"/>
            <w:vAlign w:val="bottom"/>
          </w:tcPr>
          <w:p>
            <w:pPr>
              <w:spacing w:after="0"/>
              <w:rPr>
                <w:sz w:val="20"/>
                <w:szCs w:val="20"/>
                <w:color w:val="auto"/>
              </w:rPr>
            </w:pPr>
            <w:r>
              <w:rPr>
                <w:rFonts w:ascii="Courier New" w:cs="Courier New" w:eastAsia="Courier New" w:hAnsi="Courier New"/>
                <w:sz w:val="15"/>
                <w:szCs w:val="15"/>
                <w:color w:val="auto"/>
              </w:rPr>
              <w:t>Book value</w:t>
            </w: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$ 1,186,214</w:t>
            </w:r>
          </w:p>
        </w:tc>
      </w:tr>
      <w:tr>
        <w:trPr>
          <w:trHeight w:val="339"/>
        </w:trPr>
        <w:tc>
          <w:tcPr>
            <w:tcW w:w="2560" w:type="dxa"/>
            <w:vAlign w:val="bottom"/>
          </w:tcPr>
          <w:p>
            <w:pPr>
              <w:spacing w:after="0"/>
              <w:rPr>
                <w:sz w:val="20"/>
                <w:szCs w:val="20"/>
                <w:color w:val="auto"/>
              </w:rPr>
            </w:pPr>
            <w:r>
              <w:rPr>
                <w:rFonts w:ascii="Courier New" w:cs="Courier New" w:eastAsia="Courier New" w:hAnsi="Courier New"/>
                <w:sz w:val="15"/>
                <w:szCs w:val="15"/>
                <w:color w:val="auto"/>
              </w:rPr>
              <w:t>Unrealized gains</w:t>
            </w: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3,630</w:t>
            </w:r>
          </w:p>
        </w:tc>
      </w:tr>
      <w:tr>
        <w:trPr>
          <w:trHeight w:val="339"/>
        </w:trPr>
        <w:tc>
          <w:tcPr>
            <w:tcW w:w="2560" w:type="dxa"/>
            <w:vAlign w:val="bottom"/>
          </w:tcPr>
          <w:p>
            <w:pPr>
              <w:spacing w:after="0"/>
              <w:rPr>
                <w:sz w:val="20"/>
                <w:szCs w:val="20"/>
                <w:color w:val="auto"/>
              </w:rPr>
            </w:pPr>
            <w:r>
              <w:rPr>
                <w:rFonts w:ascii="Courier New" w:cs="Courier New" w:eastAsia="Courier New" w:hAnsi="Courier New"/>
                <w:sz w:val="15"/>
                <w:szCs w:val="15"/>
                <w:color w:val="auto"/>
              </w:rPr>
              <w:t>Unrealized losses</w:t>
            </w:r>
          </w:p>
        </w:tc>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(3,208)</w:t>
            </w:r>
          </w:p>
        </w:tc>
      </w:tr>
      <w:tr>
        <w:trPr>
          <w:trHeight w:val="170"/>
        </w:trPr>
        <w:tc>
          <w:tcPr>
            <w:tcW w:w="2560" w:type="dxa"/>
            <w:vAlign w:val="bottom"/>
          </w:tcPr>
          <w:p>
            <w:pPr>
              <w:spacing w:after="0"/>
              <w:rPr>
                <w:sz w:val="14"/>
                <w:szCs w:val="14"/>
                <w:color w:val="auto"/>
              </w:rPr>
            </w:pP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256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$ 1,186,636</w:t>
            </w:r>
          </w:p>
        </w:tc>
      </w:tr>
      <w:tr>
        <w:trPr>
          <w:trHeight w:val="170"/>
        </w:trPr>
        <w:tc>
          <w:tcPr>
            <w:tcW w:w="2560" w:type="dxa"/>
            <w:vAlign w:val="bottom"/>
          </w:tcPr>
          <w:p>
            <w:pPr>
              <w:spacing w:after="0"/>
              <w:rPr>
                <w:sz w:val="14"/>
                <w:szCs w:val="14"/>
                <w:color w:val="auto"/>
              </w:rPr>
            </w:pP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December 1995, the Company made a one-time reclassification of its investment securities portfolio from held-to-maturity to available-for-sale as allowed by SFAS No. 115, "Accounting for Certain Investments in Debt and Equity Securities."</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Gross realized gains and losses for the six months ended June 30, 1996 and 1995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1996</w:t>
            </w:r>
          </w:p>
        </w:tc>
        <w:tc>
          <w:tcPr>
            <w:tcW w:w="132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600" w:type="dxa"/>
            <w:vAlign w:val="bottom"/>
          </w:tcPr>
          <w:p>
            <w:pPr>
              <w:spacing w:after="0"/>
              <w:rPr>
                <w:sz w:val="14"/>
                <w:szCs w:val="14"/>
                <w:color w:val="auto"/>
              </w:rPr>
            </w:pP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Realized gains</w:t>
            </w:r>
          </w:p>
        </w:tc>
        <w:tc>
          <w:tcPr>
            <w:tcW w:w="8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37</w:t>
            </w:r>
          </w:p>
        </w:tc>
        <w:tc>
          <w:tcPr>
            <w:tcW w:w="132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Realized losses</w:t>
            </w:r>
          </w:p>
        </w:tc>
        <w:tc>
          <w:tcPr>
            <w:tcW w:w="840" w:type="dxa"/>
            <w:vAlign w:val="bottom"/>
          </w:tcPr>
          <w:p>
            <w:pPr>
              <w:spacing w:after="0"/>
              <w:rPr>
                <w:sz w:val="24"/>
                <w:szCs w:val="24"/>
                <w:color w:val="auto"/>
              </w:rPr>
            </w:pPr>
          </w:p>
        </w:tc>
        <w:tc>
          <w:tcPr>
            <w:tcW w:w="6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(10)</w:t>
            </w:r>
          </w:p>
        </w:tc>
        <w:tc>
          <w:tcPr>
            <w:tcW w:w="1320" w:type="dxa"/>
            <w:vAlign w:val="bottom"/>
          </w:tcPr>
          <w:p>
            <w:pPr>
              <w:spacing w:after="0"/>
              <w:rPr>
                <w:sz w:val="24"/>
                <w:szCs w:val="2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r>
      <w:tr>
        <w:trPr>
          <w:trHeight w:val="170"/>
        </w:trPr>
        <w:tc>
          <w:tcPr>
            <w:tcW w:w="2520" w:type="dxa"/>
            <w:vAlign w:val="bottom"/>
          </w:tcPr>
          <w:p>
            <w:pPr>
              <w:spacing w:after="0"/>
              <w:rPr>
                <w:sz w:val="14"/>
                <w:szCs w:val="14"/>
                <w:color w:val="auto"/>
              </w:rPr>
            </w:pPr>
          </w:p>
        </w:tc>
        <w:tc>
          <w:tcPr>
            <w:tcW w:w="146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ind w:left="1140"/>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Securities gains, net</w:t>
            </w:r>
          </w:p>
        </w:tc>
        <w:tc>
          <w:tcPr>
            <w:tcW w:w="8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27</w:t>
            </w:r>
          </w:p>
        </w:tc>
        <w:tc>
          <w:tcPr>
            <w:tcW w:w="132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170"/>
        </w:trPr>
        <w:tc>
          <w:tcPr>
            <w:tcW w:w="2520" w:type="dxa"/>
            <w:vAlign w:val="bottom"/>
          </w:tcPr>
          <w:p>
            <w:pPr>
              <w:spacing w:after="0"/>
              <w:rPr>
                <w:sz w:val="14"/>
                <w:szCs w:val="14"/>
                <w:color w:val="auto"/>
              </w:rPr>
            </w:pPr>
          </w:p>
        </w:tc>
        <w:tc>
          <w:tcPr>
            <w:tcW w:w="146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ind w:left="1140"/>
              <w:spacing w:after="0"/>
              <w:rPr>
                <w:sz w:val="20"/>
                <w:szCs w:val="20"/>
                <w:color w:val="auto"/>
              </w:rPr>
            </w:pPr>
            <w:r>
              <w:rPr>
                <w:rFonts w:ascii="Courier New" w:cs="Courier New" w:eastAsia="Courier New" w:hAnsi="Courier New"/>
                <w:sz w:val="15"/>
                <w:szCs w:val="15"/>
                <w:color w:val="auto"/>
                <w:w w:val="93"/>
              </w:rPr>
              <w:t>=========</w:t>
            </w:r>
          </w:p>
        </w:tc>
      </w:tr>
    </w:tbl>
    <w:p>
      <w:pPr>
        <w:spacing w:after="0" w:line="34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Gains and losses realized on the sales of investment securities are determined using the specific identification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4" w:name="page15"/>
    <w:bookmarkEnd w:id="14"/>
    <w:p>
      <w:pPr>
        <w:jc w:val="right"/>
        <w:ind w:right="670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jc w:val="right"/>
        <w:ind w:right="6700"/>
        <w:spacing w:after="0"/>
        <w:rPr>
          <w:sz w:val="20"/>
          <w:szCs w:val="20"/>
          <w:color w:val="auto"/>
        </w:rPr>
      </w:pPr>
      <w:r>
        <w:rPr>
          <w:rFonts w:ascii="Courier New" w:cs="Courier New" w:eastAsia="Courier New" w:hAnsi="Courier New"/>
          <w:sz w:val="14"/>
          <w:szCs w:val="14"/>
          <w:color w:val="auto"/>
        </w:rPr>
        <w:t>LOANS</w:t>
      </w:r>
    </w:p>
    <w:p>
      <w:pPr>
        <w:spacing w:after="0" w:line="180" w:lineRule="exact"/>
        <w:rPr>
          <w:sz w:val="20"/>
          <w:szCs w:val="20"/>
          <w:color w:val="auto"/>
        </w:rPr>
      </w:pPr>
    </w:p>
    <w:p>
      <w:pPr>
        <w:ind w:right="280"/>
        <w:spacing w:after="0" w:line="235" w:lineRule="auto"/>
        <w:rPr>
          <w:sz w:val="20"/>
          <w:szCs w:val="20"/>
          <w:color w:val="auto"/>
        </w:rPr>
      </w:pPr>
      <w:r>
        <w:rPr>
          <w:rFonts w:ascii="Courier New" w:cs="Courier New" w:eastAsia="Courier New" w:hAnsi="Courier New"/>
          <w:sz w:val="15"/>
          <w:szCs w:val="15"/>
          <w:color w:val="auto"/>
        </w:rPr>
        <w:t>The following table sets forth the loan portfolio by major categories and loan mix at June 30, 1996, December 31, 1995 and June 30, 1995:</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08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JUNE 30, 1996</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1995</w:t>
            </w:r>
          </w:p>
        </w:tc>
        <w:tc>
          <w:tcPr>
            <w:tcW w:w="28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20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AMOUNT</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21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 -------</w:t>
            </w:r>
          </w:p>
        </w:tc>
      </w:tr>
      <w:tr>
        <w:trPr>
          <w:trHeight w:val="170"/>
        </w:trPr>
        <w:tc>
          <w:tcPr>
            <w:tcW w:w="2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(dollars in thousands)</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Commercial, financial and</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agricultural</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$1,375,920</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24.3%</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$1,315,736</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w:t>
            </w:r>
          </w:p>
        </w:tc>
        <w:tc>
          <w:tcPr>
            <w:tcW w:w="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r>
      <w:tr>
        <w:trPr>
          <w:trHeight w:val="509"/>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Commercial</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1,162,909</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20.5</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996,715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w:t>
            </w:r>
          </w:p>
        </w:tc>
        <w:tc>
          <w:tcPr>
            <w:tcW w:w="280" w:type="dxa"/>
            <w:vAlign w:val="bottom"/>
          </w:tcPr>
          <w:p>
            <w:pPr>
              <w:spacing w:after="0"/>
              <w:rPr>
                <w:sz w:val="14"/>
                <w:szCs w:val="14"/>
                <w:color w:val="auto"/>
              </w:rPr>
            </w:pPr>
          </w:p>
        </w:tc>
      </w:tr>
      <w:tr>
        <w:trPr>
          <w:trHeight w:val="339"/>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Construction</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211,842</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256,943</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w:t>
            </w:r>
          </w:p>
        </w:tc>
        <w:tc>
          <w:tcPr>
            <w:tcW w:w="280" w:type="dxa"/>
            <w:vAlign w:val="bottom"/>
          </w:tcPr>
          <w:p>
            <w:pPr>
              <w:spacing w:after="0"/>
              <w:rPr>
                <w:sz w:val="24"/>
                <w:szCs w:val="24"/>
                <w:color w:val="auto"/>
              </w:rPr>
            </w:pP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Residential:</w:t>
            </w: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2900" w:type="dxa"/>
            <w:vAlign w:val="bottom"/>
          </w:tcPr>
          <w:p>
            <w:pPr>
              <w:ind w:left="780"/>
              <w:spacing w:after="0"/>
              <w:rPr>
                <w:sz w:val="20"/>
                <w:szCs w:val="20"/>
                <w:color w:val="auto"/>
              </w:rPr>
            </w:pPr>
            <w:r>
              <w:rPr>
                <w:rFonts w:ascii="Courier New" w:cs="Courier New" w:eastAsia="Courier New" w:hAnsi="Courier New"/>
                <w:sz w:val="15"/>
                <w:szCs w:val="15"/>
                <w:color w:val="auto"/>
              </w:rPr>
              <w:t>Insured, guaranteed or</w:t>
            </w: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2900" w:type="dxa"/>
            <w:vAlign w:val="bottom"/>
          </w:tcPr>
          <w:p>
            <w:pPr>
              <w:ind w:left="1220"/>
              <w:spacing w:after="0"/>
              <w:rPr>
                <w:sz w:val="20"/>
                <w:szCs w:val="20"/>
                <w:color w:val="auto"/>
              </w:rPr>
            </w:pPr>
            <w:r>
              <w:rPr>
                <w:rFonts w:ascii="Courier New" w:cs="Courier New" w:eastAsia="Courier New" w:hAnsi="Courier New"/>
                <w:sz w:val="15"/>
                <w:szCs w:val="15"/>
                <w:color w:val="auto"/>
              </w:rPr>
              <w:t>conventional</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1,418,345</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25.1</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1,334,063</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w:t>
            </w:r>
          </w:p>
        </w:tc>
        <w:tc>
          <w:tcPr>
            <w:tcW w:w="280" w:type="dxa"/>
            <w:vAlign w:val="bottom"/>
          </w:tcPr>
          <w:p>
            <w:pPr>
              <w:spacing w:after="0"/>
              <w:rPr>
                <w:sz w:val="14"/>
                <w:szCs w:val="14"/>
                <w:color w:val="auto"/>
              </w:rPr>
            </w:pPr>
          </w:p>
        </w:tc>
      </w:tr>
      <w:tr>
        <w:trPr>
          <w:trHeight w:val="339"/>
        </w:trPr>
        <w:tc>
          <w:tcPr>
            <w:tcW w:w="2900" w:type="dxa"/>
            <w:vAlign w:val="bottom"/>
          </w:tcPr>
          <w:p>
            <w:pPr>
              <w:ind w:left="780"/>
              <w:spacing w:after="0"/>
              <w:rPr>
                <w:sz w:val="20"/>
                <w:szCs w:val="20"/>
                <w:color w:val="auto"/>
              </w:rPr>
            </w:pPr>
            <w:r>
              <w:rPr>
                <w:rFonts w:ascii="Courier New" w:cs="Courier New" w:eastAsia="Courier New" w:hAnsi="Courier New"/>
                <w:sz w:val="15"/>
                <w:szCs w:val="15"/>
                <w:color w:val="auto"/>
                <w:w w:val="97"/>
              </w:rPr>
              <w:t>Home equity credit lines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416,875</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432,229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w:t>
            </w:r>
          </w:p>
        </w:tc>
        <w:tc>
          <w:tcPr>
            <w:tcW w:w="280" w:type="dxa"/>
            <w:vAlign w:val="bottom"/>
          </w:tcPr>
          <w:p>
            <w:pPr>
              <w:spacing w:after="0"/>
              <w:rPr>
                <w:sz w:val="24"/>
                <w:szCs w:val="24"/>
                <w:color w:val="auto"/>
              </w:rPr>
            </w:pPr>
          </w:p>
        </w:tc>
      </w:tr>
      <w:tr>
        <w:trPr>
          <w:trHeight w:val="170"/>
        </w:trPr>
        <w:tc>
          <w:tcPr>
            <w:tcW w:w="290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r>
      <w:tr>
        <w:trPr>
          <w:trHeight w:val="509"/>
        </w:trPr>
        <w:tc>
          <w:tcPr>
            <w:tcW w:w="2900" w:type="dxa"/>
            <w:vAlign w:val="bottom"/>
          </w:tcPr>
          <w:p>
            <w:pPr>
              <w:ind w:left="780"/>
              <w:spacing w:after="0"/>
              <w:rPr>
                <w:sz w:val="20"/>
                <w:szCs w:val="20"/>
                <w:color w:val="auto"/>
              </w:rPr>
            </w:pPr>
            <w:r>
              <w:rPr>
                <w:rFonts w:ascii="Courier New" w:cs="Courier New" w:eastAsia="Courier New" w:hAnsi="Courier New"/>
                <w:sz w:val="15"/>
                <w:szCs w:val="15"/>
                <w:color w:val="auto"/>
              </w:rPr>
              <w:t>Total real estate loans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3,209,971</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56.7</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3,019,950</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57.4</w:t>
            </w:r>
          </w:p>
        </w:tc>
        <w:tc>
          <w:tcPr>
            <w:tcW w:w="280" w:type="dxa"/>
            <w:vAlign w:val="bottom"/>
          </w:tcPr>
          <w:p>
            <w:pPr>
              <w:spacing w:after="0"/>
              <w:rPr>
                <w:sz w:val="24"/>
                <w:szCs w:val="24"/>
                <w:color w:val="auto"/>
              </w:rPr>
            </w:pPr>
          </w:p>
        </w:tc>
      </w:tr>
      <w:tr>
        <w:trPr>
          <w:trHeight w:val="170"/>
        </w:trPr>
        <w:tc>
          <w:tcPr>
            <w:tcW w:w="290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Consumer</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593,316</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10.5</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473,909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w:t>
            </w:r>
          </w:p>
        </w:tc>
        <w:tc>
          <w:tcPr>
            <w:tcW w:w="280" w:type="dxa"/>
            <w:vAlign w:val="bottom"/>
          </w:tcPr>
          <w:p>
            <w:pPr>
              <w:spacing w:after="0"/>
              <w:rPr>
                <w:sz w:val="24"/>
                <w:szCs w:val="2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Lease financing</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232,614</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241,721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c>
          <w:tcPr>
            <w:tcW w:w="28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247,017</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208,229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c>
          <w:tcPr>
            <w:tcW w:w="28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r>
      <w:tr>
        <w:trPr>
          <w:trHeight w:val="339"/>
        </w:trPr>
        <w:tc>
          <w:tcPr>
            <w:tcW w:w="2900" w:type="dxa"/>
            <w:vAlign w:val="bottom"/>
          </w:tcPr>
          <w:p>
            <w:pPr>
              <w:ind w:left="780"/>
              <w:spacing w:after="0"/>
              <w:rPr>
                <w:sz w:val="20"/>
                <w:szCs w:val="20"/>
                <w:color w:val="auto"/>
              </w:rPr>
            </w:pPr>
            <w:r>
              <w:rPr>
                <w:rFonts w:ascii="Courier New" w:cs="Courier New" w:eastAsia="Courier New" w:hAnsi="Courier New"/>
                <w:sz w:val="15"/>
                <w:szCs w:val="15"/>
                <w:color w:val="auto"/>
              </w:rPr>
              <w:t>Total loans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5,658,838</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100.0%</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5,259,545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290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Less allowance for loan losses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84,531</w:t>
            </w:r>
          </w:p>
        </w:tc>
        <w:tc>
          <w:tcPr>
            <w:tcW w:w="840" w:type="dxa"/>
            <w:vAlign w:val="bottom"/>
          </w:tcPr>
          <w:p>
            <w:pPr>
              <w:spacing w:after="0"/>
              <w:rPr>
                <w:sz w:val="24"/>
                <w:szCs w:val="24"/>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78,733</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0"/>
        </w:trPr>
        <w:tc>
          <w:tcPr>
            <w:tcW w:w="290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339"/>
        </w:trPr>
        <w:tc>
          <w:tcPr>
            <w:tcW w:w="2900" w:type="dxa"/>
            <w:vAlign w:val="bottom"/>
          </w:tcPr>
          <w:p>
            <w:pPr>
              <w:ind w:left="780"/>
              <w:spacing w:after="0"/>
              <w:rPr>
                <w:sz w:val="20"/>
                <w:szCs w:val="20"/>
                <w:color w:val="auto"/>
              </w:rPr>
            </w:pPr>
            <w:r>
              <w:rPr>
                <w:rFonts w:ascii="Courier New" w:cs="Courier New" w:eastAsia="Courier New" w:hAnsi="Courier New"/>
                <w:sz w:val="15"/>
                <w:szCs w:val="15"/>
                <w:color w:val="auto"/>
              </w:rPr>
              <w:t>Total net loans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$5,574,307</w:t>
            </w:r>
          </w:p>
        </w:tc>
        <w:tc>
          <w:tcPr>
            <w:tcW w:w="840" w:type="dxa"/>
            <w:vAlign w:val="bottom"/>
          </w:tcPr>
          <w:p>
            <w:pPr>
              <w:spacing w:after="0"/>
              <w:rPr>
                <w:sz w:val="24"/>
                <w:szCs w:val="24"/>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$5,180,812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0"/>
        </w:trPr>
        <w:tc>
          <w:tcPr>
            <w:tcW w:w="290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840" w:type="dxa"/>
            <w:vAlign w:val="bottom"/>
          </w:tcPr>
          <w:p>
            <w:pPr>
              <w:spacing w:after="0"/>
              <w:rPr>
                <w:sz w:val="14"/>
                <w:szCs w:val="14"/>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r>
    </w:tbl>
    <w:p>
      <w:pPr>
        <w:spacing w:after="0" w:line="344" w:lineRule="exact"/>
        <w:rPr>
          <w:sz w:val="20"/>
          <w:szCs w:val="20"/>
          <w:color w:val="auto"/>
        </w:rPr>
      </w:pPr>
    </w:p>
    <w:p>
      <w:pPr>
        <w:ind w:right="180"/>
        <w:spacing w:after="0" w:line="238" w:lineRule="auto"/>
        <w:rPr>
          <w:sz w:val="20"/>
          <w:szCs w:val="20"/>
          <w:color w:val="auto"/>
        </w:rPr>
      </w:pPr>
      <w:r>
        <w:rPr>
          <w:rFonts w:ascii="Courier New" w:cs="Courier New" w:eastAsia="Courier New" w:hAnsi="Courier New"/>
          <w:sz w:val="15"/>
          <w:szCs w:val="15"/>
          <w:color w:val="auto"/>
        </w:rPr>
        <w:t>The loan portfolio is the largest component of earning assets and accounts for the greatest portion of total interest income. At June 30, 1996, total loans were $5,658,838,000, an increase of 7.6% from December 31, 1995. This increase was due to the Pacific Northwest acquisition. Excluding the impact of the Pacific Northwest acquisition, total loans would have reflected a slight decrease as compared to June 30, 1995 and December 31, 1995.</w:t>
      </w:r>
    </w:p>
    <w:p>
      <w:pPr>
        <w:spacing w:after="0" w:line="176" w:lineRule="exact"/>
        <w:rPr>
          <w:sz w:val="20"/>
          <w:szCs w:val="20"/>
          <w:color w:val="auto"/>
        </w:rPr>
      </w:pPr>
    </w:p>
    <w:p>
      <w:pPr>
        <w:ind w:right="180"/>
        <w:spacing w:after="0" w:line="237" w:lineRule="auto"/>
        <w:rPr>
          <w:sz w:val="20"/>
          <w:szCs w:val="20"/>
          <w:color w:val="auto"/>
        </w:rPr>
      </w:pPr>
      <w:r>
        <w:rPr>
          <w:rFonts w:ascii="Courier New" w:cs="Courier New" w:eastAsia="Courier New" w:hAnsi="Courier New"/>
          <w:sz w:val="15"/>
          <w:szCs w:val="15"/>
          <w:color w:val="auto"/>
        </w:rPr>
        <w:t>Total loans at June 30, 1996, represented 70.3% of total assets, 78.4% of total earning assets and 96.4% of total deposits compared to 69.5% of total assets, 77.7% of total earning assets and 98.2% of total deposits at December 31, 1995 and 70.3% of total assets, 78.1% of total earning assets and 101.4% of total deposits at June 30, 1995.</w:t>
      </w:r>
    </w:p>
    <w:p>
      <w:pPr>
        <w:spacing w:after="0" w:line="178" w:lineRule="exact"/>
        <w:rPr>
          <w:sz w:val="20"/>
          <w:szCs w:val="20"/>
          <w:color w:val="auto"/>
        </w:rPr>
      </w:pPr>
    </w:p>
    <w:p>
      <w:pPr>
        <w:ind w:right="180"/>
        <w:spacing w:after="0" w:line="238" w:lineRule="auto"/>
        <w:rPr>
          <w:sz w:val="20"/>
          <w:szCs w:val="20"/>
          <w:color w:val="auto"/>
        </w:rPr>
      </w:pPr>
      <w:r>
        <w:rPr>
          <w:rFonts w:ascii="Courier New" w:cs="Courier New" w:eastAsia="Courier New" w:hAnsi="Courier New"/>
          <w:sz w:val="15"/>
          <w:szCs w:val="15"/>
          <w:color w:val="auto"/>
        </w:rPr>
        <w:t>Loan concentrations are considered to exist when there are amounts loaned to multiple borrowers engaged in similar activities which would cause them to be similarly impacted by economic or other conditions. At June 30, 1996, commercial real estate loans totalled $1,162,909,000, or 20.5%, of total loans. The Company has selectively participated as a lender on commercial properties on the mainland United States, principally on the west coast. Such loans totalled $59,817,000 at June 30, 1996, an increase of 2.4% from December 31, 1995. At June 30, 1996, the largest concentration of commercial real estate loans to a single borrower was $34,524,000.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June 30, 1995</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678"/>
        </w:trPr>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$1,439,730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27.4%</w:t>
            </w:r>
          </w:p>
        </w:tc>
      </w:tr>
      <w:tr>
        <w:trPr>
          <w:trHeight w:val="678"/>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952,797</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w:t>
            </w:r>
          </w:p>
        </w:tc>
      </w:tr>
      <w:tr>
        <w:trPr>
          <w:trHeight w:val="339"/>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283,310</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w:t>
            </w:r>
          </w:p>
        </w:tc>
      </w:tr>
      <w:tr>
        <w:trPr>
          <w:trHeight w:val="509"/>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1,286,529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w:t>
            </w:r>
          </w:p>
        </w:tc>
      </w:tr>
      <w:tr>
        <w:trPr>
          <w:trHeight w:val="339"/>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393,080</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w:t>
            </w:r>
          </w:p>
        </w:tc>
      </w:tr>
      <w:tr>
        <w:trPr>
          <w:trHeight w:val="170"/>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2,915,716</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55.5</w:t>
            </w:r>
          </w:p>
        </w:tc>
      </w:tr>
      <w:tr>
        <w:trPr>
          <w:trHeight w:val="170"/>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475,367</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w:t>
            </w:r>
          </w:p>
        </w:tc>
      </w:tr>
      <w:tr>
        <w:trPr>
          <w:trHeight w:val="170"/>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225,836</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w:t>
            </w:r>
          </w:p>
        </w:tc>
      </w:tr>
      <w:tr>
        <w:trPr>
          <w:trHeight w:val="170"/>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197,033</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r>
      <w:tr>
        <w:trPr>
          <w:trHeight w:val="170"/>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5,253,682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61,200</w:t>
            </w:r>
          </w:p>
        </w:tc>
        <w:tc>
          <w:tcPr>
            <w:tcW w:w="660" w:type="dxa"/>
            <w:vAlign w:val="bottom"/>
          </w:tcPr>
          <w:p>
            <w:pPr>
              <w:spacing w:after="0"/>
              <w:rPr>
                <w:sz w:val="24"/>
                <w:szCs w:val="24"/>
                <w:color w:val="auto"/>
              </w:rPr>
            </w:pPr>
          </w:p>
        </w:tc>
      </w:tr>
    </w:tbl>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$5,192,482</w:t>
      </w:r>
    </w:p>
    <w:p>
      <w:pPr>
        <w:spacing w:after="0"/>
        <w:rPr>
          <w:sz w:val="20"/>
          <w:szCs w:val="20"/>
          <w:color w:val="auto"/>
        </w:rPr>
      </w:pPr>
      <w:r>
        <w:rPr>
          <w:rFonts w:ascii="Courier New" w:cs="Courier New" w:eastAsia="Courier New" w:hAnsi="Courier New"/>
          <w:sz w:val="15"/>
          <w:szCs w:val="15"/>
          <w:color w:val="auto"/>
        </w:rPr>
        <w:t>==========</w:t>
      </w:r>
    </w:p>
    <w:p>
      <w:pPr>
        <w:spacing w:after="0" w:line="4263" w:lineRule="exact"/>
        <w:rPr>
          <w:sz w:val="20"/>
          <w:szCs w:val="20"/>
          <w:color w:val="auto"/>
        </w:rPr>
      </w:pPr>
    </w:p>
    <w:p>
      <w:pPr>
        <w:sectPr>
          <w:pgSz w:w="11900" w:h="16838" w:orient="portrait"/>
          <w:cols w:equalWidth="0" w:num="2">
            <w:col w:w="7140" w:space="340"/>
            <w:col w:w="273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rPr>
          <w:sz w:val="20"/>
          <w:szCs w:val="20"/>
          <w:color w:val="auto"/>
        </w:rPr>
      </w:pPr>
      <w:r>
        <w:rPr>
          <w:rFonts w:ascii="Courier New" w:cs="Courier New" w:eastAsia="Courier New" w:hAnsi="Courier New"/>
          <w:sz w:val="15"/>
          <w:szCs w:val="15"/>
          <w:color w:val="auto"/>
        </w:rPr>
        <w:t>NONPERFORMING ASSETS</w:t>
      </w:r>
    </w:p>
    <w:p>
      <w:pPr>
        <w:spacing w:after="0" w:line="17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 summary of nonperforming assets at June 30, 1996, December 31, 1995 and June 30, 1995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June 30,</w:t>
            </w:r>
          </w:p>
        </w:tc>
        <w:tc>
          <w:tcPr>
            <w:tcW w:w="1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14"/>
                <w:szCs w:val="14"/>
                <w:color w:val="auto"/>
              </w:rPr>
            </w:pPr>
          </w:p>
        </w:tc>
        <w:tc>
          <w:tcPr>
            <w:tcW w:w="1280" w:type="dxa"/>
            <w:vAlign w:val="bottom"/>
          </w:tcPr>
          <w:p>
            <w:pPr>
              <w:jc w:val="center"/>
              <w:ind w:right="567"/>
              <w:spacing w:after="0"/>
              <w:rPr>
                <w:sz w:val="20"/>
                <w:szCs w:val="20"/>
                <w:color w:val="auto"/>
              </w:rPr>
            </w:pPr>
            <w:r>
              <w:rPr>
                <w:rFonts w:ascii="Courier New" w:cs="Courier New" w:eastAsia="Courier New" w:hAnsi="Courier New"/>
                <w:sz w:val="15"/>
                <w:szCs w:val="15"/>
                <w:color w:val="auto"/>
                <w:w w:val="99"/>
              </w:rPr>
              <w:t>1995</w:t>
            </w:r>
          </w:p>
        </w:tc>
        <w:tc>
          <w:tcPr>
            <w:tcW w:w="1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7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c>
          <w:tcPr>
            <w:tcW w:w="19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(dollars in thousands)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Nonperforming loans: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Nonaccrual: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tcPr>
          <w:p>
            <w:pPr>
              <w:ind w:left="780"/>
              <w:spacing w:after="0"/>
              <w:rPr>
                <w:sz w:val="20"/>
                <w:szCs w:val="20"/>
                <w:color w:val="auto"/>
              </w:rPr>
            </w:pPr>
            <w:r>
              <w:rPr>
                <w:rFonts w:ascii="Courier New" w:cs="Courier New" w:eastAsia="Courier New" w:hAnsi="Courier New"/>
                <w:sz w:val="15"/>
                <w:szCs w:val="15"/>
                <w:color w:val="auto"/>
              </w:rPr>
              <w:t>Commercial, financial and agricultural</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19,573</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16,229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19,581</w:t>
            </w:r>
          </w:p>
        </w:tc>
      </w:tr>
      <w:tr>
        <w:trPr>
          <w:trHeight w:val="339"/>
        </w:trPr>
        <w:tc>
          <w:tcPr>
            <w:tcW w:w="4760" w:type="dxa"/>
            <w:vAlign w:val="bottom"/>
          </w:tcPr>
          <w:p>
            <w:pPr>
              <w:ind w:left="780"/>
              <w:spacing w:after="0"/>
              <w:rPr>
                <w:sz w:val="20"/>
                <w:szCs w:val="20"/>
                <w:color w:val="auto"/>
              </w:rPr>
            </w:pPr>
            <w:r>
              <w:rPr>
                <w:rFonts w:ascii="Courier New" w:cs="Courier New" w:eastAsia="Courier New" w:hAnsi="Courier New"/>
                <w:sz w:val="15"/>
                <w:szCs w:val="15"/>
                <w:color w:val="auto"/>
              </w:rPr>
              <w:t>Real estate: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60" w:type="dxa"/>
            <w:vAlign w:val="bottom"/>
          </w:tcPr>
          <w:p>
            <w:pPr>
              <w:ind w:left="1140"/>
              <w:spacing w:after="0"/>
              <w:rPr>
                <w:sz w:val="20"/>
                <w:szCs w:val="20"/>
                <w:color w:val="auto"/>
              </w:rPr>
            </w:pPr>
            <w:r>
              <w:rPr>
                <w:rFonts w:ascii="Courier New" w:cs="Courier New" w:eastAsia="Courier New" w:hAnsi="Courier New"/>
                <w:sz w:val="15"/>
                <w:szCs w:val="15"/>
                <w:color w:val="auto"/>
              </w:rPr>
              <w:t>Commercial</w:t>
            </w: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23,578</w:t>
            </w:r>
          </w:p>
        </w:tc>
        <w:tc>
          <w:tcPr>
            <w:tcW w:w="700" w:type="dxa"/>
            <w:vAlign w:val="bottom"/>
          </w:tcPr>
          <w:p>
            <w:pPr>
              <w:spacing w:after="0"/>
              <w:rPr>
                <w:sz w:val="14"/>
                <w:szCs w:val="1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40,664</w:t>
            </w:r>
          </w:p>
        </w:tc>
        <w:tc>
          <w:tcPr>
            <w:tcW w:w="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39,249</w:t>
            </w:r>
          </w:p>
        </w:tc>
      </w:tr>
      <w:tr>
        <w:trPr>
          <w:trHeight w:val="170"/>
        </w:trPr>
        <w:tc>
          <w:tcPr>
            <w:tcW w:w="4760" w:type="dxa"/>
            <w:vAlign w:val="bottom"/>
          </w:tcPr>
          <w:p>
            <w:pPr>
              <w:ind w:left="1140"/>
              <w:spacing w:after="0"/>
              <w:rPr>
                <w:sz w:val="20"/>
                <w:szCs w:val="20"/>
                <w:color w:val="auto"/>
              </w:rPr>
            </w:pPr>
            <w:r>
              <w:rPr>
                <w:rFonts w:ascii="Courier New" w:cs="Courier New" w:eastAsia="Courier New" w:hAnsi="Courier New"/>
                <w:sz w:val="15"/>
                <w:szCs w:val="15"/>
                <w:color w:val="auto"/>
              </w:rPr>
              <w:t>Construction</w:t>
            </w: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7,444</w:t>
            </w:r>
          </w:p>
        </w:tc>
        <w:tc>
          <w:tcPr>
            <w:tcW w:w="700" w:type="dxa"/>
            <w:vAlign w:val="bottom"/>
          </w:tcPr>
          <w:p>
            <w:pPr>
              <w:spacing w:after="0"/>
              <w:rPr>
                <w:sz w:val="14"/>
                <w:szCs w:val="1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9,697</w:t>
            </w:r>
          </w:p>
        </w:tc>
        <w:tc>
          <w:tcPr>
            <w:tcW w:w="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2,260</w:t>
            </w:r>
          </w:p>
        </w:tc>
      </w:tr>
      <w:tr>
        <w:trPr>
          <w:trHeight w:val="170"/>
        </w:trPr>
        <w:tc>
          <w:tcPr>
            <w:tcW w:w="4760" w:type="dxa"/>
            <w:vAlign w:val="bottom"/>
          </w:tcPr>
          <w:p>
            <w:pPr>
              <w:ind w:left="1140"/>
              <w:spacing w:after="0"/>
              <w:rPr>
                <w:sz w:val="20"/>
                <w:szCs w:val="20"/>
                <w:color w:val="auto"/>
              </w:rPr>
            </w:pPr>
            <w:r>
              <w:rPr>
                <w:rFonts w:ascii="Courier New" w:cs="Courier New" w:eastAsia="Courier New" w:hAnsi="Courier New"/>
                <w:sz w:val="15"/>
                <w:szCs w:val="15"/>
                <w:color w:val="auto"/>
              </w:rPr>
              <w:t>Residential: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tcPr>
          <w:p>
            <w:pPr>
              <w:ind w:left="1480"/>
              <w:spacing w:after="0"/>
              <w:rPr>
                <w:sz w:val="20"/>
                <w:szCs w:val="20"/>
                <w:color w:val="auto"/>
              </w:rPr>
            </w:pPr>
            <w:r>
              <w:rPr>
                <w:rFonts w:ascii="Courier New" w:cs="Courier New" w:eastAsia="Courier New" w:hAnsi="Courier New"/>
                <w:sz w:val="15"/>
                <w:szCs w:val="15"/>
                <w:color w:val="auto"/>
              </w:rPr>
              <w:t>Insured, guaranteed, or conventional</w:t>
            </w: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10,241</w:t>
            </w:r>
          </w:p>
        </w:tc>
        <w:tc>
          <w:tcPr>
            <w:tcW w:w="700" w:type="dxa"/>
            <w:vAlign w:val="bottom"/>
          </w:tcPr>
          <w:p>
            <w:pPr>
              <w:spacing w:after="0"/>
              <w:rPr>
                <w:sz w:val="14"/>
                <w:szCs w:val="1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12,238</w:t>
            </w:r>
          </w:p>
        </w:tc>
        <w:tc>
          <w:tcPr>
            <w:tcW w:w="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7,716</w:t>
            </w:r>
          </w:p>
        </w:tc>
      </w:tr>
      <w:tr>
        <w:trPr>
          <w:trHeight w:val="170"/>
        </w:trPr>
        <w:tc>
          <w:tcPr>
            <w:tcW w:w="4760" w:type="dxa"/>
            <w:vAlign w:val="bottom"/>
          </w:tcPr>
          <w:p>
            <w:pPr>
              <w:ind w:left="1480"/>
              <w:spacing w:after="0"/>
              <w:rPr>
                <w:sz w:val="20"/>
                <w:szCs w:val="20"/>
                <w:color w:val="auto"/>
              </w:rPr>
            </w:pPr>
            <w:r>
              <w:rPr>
                <w:rFonts w:ascii="Courier New" w:cs="Courier New" w:eastAsia="Courier New" w:hAnsi="Courier New"/>
                <w:sz w:val="15"/>
                <w:szCs w:val="15"/>
                <w:color w:val="auto"/>
              </w:rPr>
              <w:t>Home equity credit lines</w:t>
            </w: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173</w:t>
            </w:r>
          </w:p>
        </w:tc>
        <w:tc>
          <w:tcPr>
            <w:tcW w:w="700" w:type="dxa"/>
            <w:vAlign w:val="bottom"/>
          </w:tcPr>
          <w:p>
            <w:pPr>
              <w:spacing w:after="0"/>
              <w:rPr>
                <w:sz w:val="14"/>
                <w:szCs w:val="1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496</w:t>
            </w:r>
          </w:p>
        </w:tc>
        <w:tc>
          <w:tcPr>
            <w:tcW w:w="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470</w:t>
            </w:r>
          </w:p>
        </w:tc>
      </w:tr>
      <w:tr>
        <w:trPr>
          <w:trHeight w:val="170"/>
        </w:trPr>
        <w:tc>
          <w:tcPr>
            <w:tcW w:w="476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760" w:type="dxa"/>
            <w:vAlign w:val="bottom"/>
          </w:tcPr>
          <w:p>
            <w:pPr>
              <w:ind w:left="1480"/>
              <w:spacing w:after="0"/>
              <w:rPr>
                <w:sz w:val="20"/>
                <w:szCs w:val="20"/>
                <w:color w:val="auto"/>
              </w:rPr>
            </w:pPr>
            <w:r>
              <w:rPr>
                <w:rFonts w:ascii="Courier New" w:cs="Courier New" w:eastAsia="Courier New" w:hAnsi="Courier New"/>
                <w:sz w:val="15"/>
                <w:szCs w:val="15"/>
                <w:color w:val="auto"/>
              </w:rPr>
              <w:t>Total real estate loans</w:t>
            </w:r>
          </w:p>
        </w:tc>
        <w:tc>
          <w:tcPr>
            <w:tcW w:w="160" w:type="dxa"/>
            <w:vAlign w:val="bottom"/>
          </w:tcPr>
          <w:p>
            <w:pPr>
              <w:spacing w:after="0"/>
              <w:rPr>
                <w:sz w:val="24"/>
                <w:szCs w:val="2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41,436</w:t>
            </w:r>
          </w:p>
        </w:tc>
        <w:tc>
          <w:tcPr>
            <w:tcW w:w="700" w:type="dxa"/>
            <w:vAlign w:val="bottom"/>
          </w:tcPr>
          <w:p>
            <w:pPr>
              <w:spacing w:after="0"/>
              <w:rPr>
                <w:sz w:val="24"/>
                <w:szCs w:val="2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63,095</w:t>
            </w:r>
          </w:p>
        </w:tc>
        <w:tc>
          <w:tcPr>
            <w:tcW w:w="1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49,695</w:t>
            </w:r>
          </w:p>
        </w:tc>
      </w:tr>
      <w:tr>
        <w:trPr>
          <w:trHeight w:val="170"/>
        </w:trPr>
        <w:tc>
          <w:tcPr>
            <w:tcW w:w="476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760" w:type="dxa"/>
            <w:vAlign w:val="bottom"/>
          </w:tcPr>
          <w:p>
            <w:pPr>
              <w:ind w:left="780"/>
              <w:spacing w:after="0"/>
              <w:rPr>
                <w:sz w:val="20"/>
                <w:szCs w:val="20"/>
                <w:color w:val="auto"/>
              </w:rPr>
            </w:pPr>
            <w:r>
              <w:rPr>
                <w:rFonts w:ascii="Courier New" w:cs="Courier New" w:eastAsia="Courier New" w:hAnsi="Courier New"/>
                <w:sz w:val="15"/>
                <w:szCs w:val="15"/>
                <w:color w:val="auto"/>
              </w:rPr>
              <w:t>Consumer</w:t>
            </w:r>
          </w:p>
        </w:tc>
        <w:tc>
          <w:tcPr>
            <w:tcW w:w="160" w:type="dxa"/>
            <w:vAlign w:val="bottom"/>
          </w:tcPr>
          <w:p>
            <w:pPr>
              <w:spacing w:after="0"/>
              <w:rPr>
                <w:sz w:val="24"/>
                <w:szCs w:val="2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357</w:t>
            </w:r>
          </w:p>
        </w:tc>
        <w:tc>
          <w:tcPr>
            <w:tcW w:w="700" w:type="dxa"/>
            <w:vAlign w:val="bottom"/>
          </w:tcPr>
          <w:p>
            <w:pPr>
              <w:spacing w:after="0"/>
              <w:rPr>
                <w:sz w:val="24"/>
                <w:szCs w:val="2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390</w:t>
            </w:r>
          </w:p>
        </w:tc>
        <w:tc>
          <w:tcPr>
            <w:tcW w:w="1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893</w:t>
            </w:r>
          </w:p>
        </w:tc>
      </w:tr>
      <w:tr>
        <w:trPr>
          <w:trHeight w:val="170"/>
        </w:trPr>
        <w:tc>
          <w:tcPr>
            <w:tcW w:w="4760" w:type="dxa"/>
            <w:vAlign w:val="bottom"/>
          </w:tcPr>
          <w:p>
            <w:pPr>
              <w:ind w:left="780"/>
              <w:spacing w:after="0"/>
              <w:rPr>
                <w:sz w:val="20"/>
                <w:szCs w:val="20"/>
                <w:color w:val="auto"/>
              </w:rPr>
            </w:pPr>
            <w:r>
              <w:rPr>
                <w:rFonts w:ascii="Courier New" w:cs="Courier New" w:eastAsia="Courier New" w:hAnsi="Courier New"/>
                <w:sz w:val="15"/>
                <w:szCs w:val="15"/>
                <w:color w:val="auto"/>
              </w:rPr>
              <w:t>Lease financing</w:t>
            </w: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w:t>
            </w:r>
          </w:p>
        </w:tc>
        <w:tc>
          <w:tcPr>
            <w:tcW w:w="700" w:type="dxa"/>
            <w:vAlign w:val="bottom"/>
          </w:tcPr>
          <w:p>
            <w:pPr>
              <w:spacing w:after="0"/>
              <w:rPr>
                <w:sz w:val="14"/>
                <w:szCs w:val="1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w:t>
            </w:r>
          </w:p>
        </w:tc>
        <w:tc>
          <w:tcPr>
            <w:tcW w:w="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318</w:t>
            </w:r>
          </w:p>
        </w:tc>
      </w:tr>
      <w:tr>
        <w:trPr>
          <w:trHeight w:val="170"/>
        </w:trPr>
        <w:tc>
          <w:tcPr>
            <w:tcW w:w="476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760" w:type="dxa"/>
            <w:vAlign w:val="bottom"/>
          </w:tcPr>
          <w:p>
            <w:pPr>
              <w:ind w:left="1480"/>
              <w:spacing w:after="0"/>
              <w:rPr>
                <w:sz w:val="20"/>
                <w:szCs w:val="20"/>
                <w:color w:val="auto"/>
              </w:rPr>
            </w:pPr>
            <w:r>
              <w:rPr>
                <w:rFonts w:ascii="Courier New" w:cs="Courier New" w:eastAsia="Courier New" w:hAnsi="Courier New"/>
                <w:sz w:val="15"/>
                <w:szCs w:val="15"/>
                <w:color w:val="auto"/>
              </w:rPr>
              <w:t>Total nonaccrual loans</w:t>
            </w:r>
          </w:p>
        </w:tc>
        <w:tc>
          <w:tcPr>
            <w:tcW w:w="160" w:type="dxa"/>
            <w:vAlign w:val="bottom"/>
          </w:tcPr>
          <w:p>
            <w:pPr>
              <w:spacing w:after="0"/>
              <w:rPr>
                <w:sz w:val="24"/>
                <w:szCs w:val="2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61,387</w:t>
            </w:r>
          </w:p>
        </w:tc>
        <w:tc>
          <w:tcPr>
            <w:tcW w:w="700" w:type="dxa"/>
            <w:vAlign w:val="bottom"/>
          </w:tcPr>
          <w:p>
            <w:pPr>
              <w:spacing w:after="0"/>
              <w:rPr>
                <w:sz w:val="24"/>
                <w:szCs w:val="2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79,733</w:t>
            </w:r>
          </w:p>
        </w:tc>
        <w:tc>
          <w:tcPr>
            <w:tcW w:w="1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70,487</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Renegotiated: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tcPr>
          <w:p>
            <w:pPr>
              <w:ind w:left="780"/>
              <w:spacing w:after="0"/>
              <w:rPr>
                <w:sz w:val="20"/>
                <w:szCs w:val="20"/>
                <w:color w:val="auto"/>
              </w:rPr>
            </w:pPr>
            <w:r>
              <w:rPr>
                <w:rFonts w:ascii="Courier New" w:cs="Courier New" w:eastAsia="Courier New" w:hAnsi="Courier New"/>
                <w:sz w:val="15"/>
                <w:szCs w:val="15"/>
                <w:color w:val="auto"/>
              </w:rPr>
              <w:t>Commercial, financial and agricultural</w:t>
            </w: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617</w:t>
            </w:r>
          </w:p>
        </w:tc>
        <w:tc>
          <w:tcPr>
            <w:tcW w:w="700" w:type="dxa"/>
            <w:vAlign w:val="bottom"/>
          </w:tcPr>
          <w:p>
            <w:pPr>
              <w:spacing w:after="0"/>
              <w:rPr>
                <w:sz w:val="14"/>
                <w:szCs w:val="1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682</w:t>
            </w:r>
          </w:p>
        </w:tc>
        <w:tc>
          <w:tcPr>
            <w:tcW w:w="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ind w:left="780"/>
              <w:spacing w:after="0"/>
              <w:rPr>
                <w:sz w:val="20"/>
                <w:szCs w:val="20"/>
                <w:color w:val="auto"/>
              </w:rPr>
            </w:pPr>
            <w:r>
              <w:rPr>
                <w:rFonts w:ascii="Courier New" w:cs="Courier New" w:eastAsia="Courier New" w:hAnsi="Courier New"/>
                <w:sz w:val="15"/>
                <w:szCs w:val="15"/>
                <w:color w:val="auto"/>
              </w:rPr>
              <w:t>Real estate - commercial</w:t>
            </w: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2,500</w:t>
            </w:r>
          </w:p>
        </w:tc>
        <w:tc>
          <w:tcPr>
            <w:tcW w:w="700" w:type="dxa"/>
            <w:vAlign w:val="bottom"/>
          </w:tcPr>
          <w:p>
            <w:pPr>
              <w:spacing w:after="0"/>
              <w:rPr>
                <w:sz w:val="14"/>
                <w:szCs w:val="1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2,500</w:t>
            </w:r>
          </w:p>
        </w:tc>
        <w:tc>
          <w:tcPr>
            <w:tcW w:w="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476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760" w:type="dxa"/>
            <w:vAlign w:val="bottom"/>
          </w:tcPr>
          <w:p>
            <w:pPr>
              <w:ind w:left="1480"/>
              <w:spacing w:after="0"/>
              <w:rPr>
                <w:sz w:val="20"/>
                <w:szCs w:val="20"/>
                <w:color w:val="auto"/>
              </w:rPr>
            </w:pPr>
            <w:r>
              <w:rPr>
                <w:rFonts w:ascii="Courier New" w:cs="Courier New" w:eastAsia="Courier New" w:hAnsi="Courier New"/>
                <w:sz w:val="15"/>
                <w:szCs w:val="15"/>
                <w:color w:val="auto"/>
              </w:rPr>
              <w:t>Total nonperforming loans</w:t>
            </w:r>
          </w:p>
        </w:tc>
        <w:tc>
          <w:tcPr>
            <w:tcW w:w="160" w:type="dxa"/>
            <w:vAlign w:val="bottom"/>
          </w:tcPr>
          <w:p>
            <w:pPr>
              <w:spacing w:after="0"/>
              <w:rPr>
                <w:sz w:val="24"/>
                <w:szCs w:val="2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64,504</w:t>
            </w:r>
          </w:p>
        </w:tc>
        <w:tc>
          <w:tcPr>
            <w:tcW w:w="700" w:type="dxa"/>
            <w:vAlign w:val="bottom"/>
          </w:tcPr>
          <w:p>
            <w:pPr>
              <w:spacing w:after="0"/>
              <w:rPr>
                <w:sz w:val="24"/>
                <w:szCs w:val="2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82,915</w:t>
            </w:r>
          </w:p>
        </w:tc>
        <w:tc>
          <w:tcPr>
            <w:tcW w:w="1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72,987</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Other real estate owned</w:t>
            </w:r>
          </w:p>
        </w:tc>
        <w:tc>
          <w:tcPr>
            <w:tcW w:w="160" w:type="dxa"/>
            <w:vAlign w:val="bottom"/>
          </w:tcPr>
          <w:p>
            <w:pPr>
              <w:spacing w:after="0"/>
              <w:rPr>
                <w:sz w:val="24"/>
                <w:szCs w:val="2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14,720</w:t>
            </w:r>
          </w:p>
        </w:tc>
        <w:tc>
          <w:tcPr>
            <w:tcW w:w="700" w:type="dxa"/>
            <w:vAlign w:val="bottom"/>
          </w:tcPr>
          <w:p>
            <w:pPr>
              <w:spacing w:after="0"/>
              <w:rPr>
                <w:sz w:val="24"/>
                <w:szCs w:val="2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9,312</w:t>
            </w:r>
          </w:p>
        </w:tc>
        <w:tc>
          <w:tcPr>
            <w:tcW w:w="1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9,711</w:t>
            </w:r>
          </w:p>
        </w:tc>
      </w:tr>
      <w:tr>
        <w:trPr>
          <w:trHeight w:val="170"/>
        </w:trPr>
        <w:tc>
          <w:tcPr>
            <w:tcW w:w="476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760" w:type="dxa"/>
            <w:vAlign w:val="bottom"/>
          </w:tcPr>
          <w:p>
            <w:pPr>
              <w:ind w:left="1480"/>
              <w:spacing w:after="0"/>
              <w:rPr>
                <w:sz w:val="20"/>
                <w:szCs w:val="20"/>
                <w:color w:val="auto"/>
              </w:rPr>
            </w:pPr>
            <w:r>
              <w:rPr>
                <w:rFonts w:ascii="Courier New" w:cs="Courier New" w:eastAsia="Courier New" w:hAnsi="Courier New"/>
                <w:sz w:val="15"/>
                <w:szCs w:val="15"/>
                <w:color w:val="auto"/>
              </w:rPr>
              <w:t>Total nonperforming assets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79,224</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92,227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82,698</w:t>
            </w:r>
          </w:p>
        </w:tc>
      </w:tr>
      <w:tr>
        <w:trPr>
          <w:trHeight w:val="170"/>
        </w:trPr>
        <w:tc>
          <w:tcPr>
            <w:tcW w:w="476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Loans past due 90 days or more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and still accruing interest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24,875</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28,790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34,929</w:t>
            </w:r>
          </w:p>
        </w:tc>
      </w:tr>
      <w:tr>
        <w:trPr>
          <w:trHeight w:val="170"/>
        </w:trPr>
        <w:tc>
          <w:tcPr>
            <w:tcW w:w="476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Nonperforming assets to total loans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and other real estate owned (end of period):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Excluding 90 days past due accruing loans</w:t>
            </w: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1.40%</w:t>
            </w:r>
          </w:p>
        </w:tc>
        <w:tc>
          <w:tcPr>
            <w:tcW w:w="700" w:type="dxa"/>
            <w:vAlign w:val="bottom"/>
          </w:tcPr>
          <w:p>
            <w:pPr>
              <w:spacing w:after="0"/>
              <w:rPr>
                <w:sz w:val="14"/>
                <w:szCs w:val="1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1.75%</w:t>
            </w:r>
          </w:p>
        </w:tc>
        <w:tc>
          <w:tcPr>
            <w:tcW w:w="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Including 90 days past due accruing loans</w:t>
            </w: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1.83%</w:t>
            </w:r>
          </w:p>
        </w:tc>
        <w:tc>
          <w:tcPr>
            <w:tcW w:w="700" w:type="dxa"/>
            <w:vAlign w:val="bottom"/>
          </w:tcPr>
          <w:p>
            <w:pPr>
              <w:spacing w:after="0"/>
              <w:rPr>
                <w:sz w:val="14"/>
                <w:szCs w:val="1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2.30%</w:t>
            </w:r>
          </w:p>
        </w:tc>
        <w:tc>
          <w:tcPr>
            <w:tcW w:w="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Nonperforming assets to total assets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(end of period):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Excluding 90 days past due accruing loans</w:t>
            </w: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w:t>
            </w:r>
          </w:p>
        </w:tc>
        <w:tc>
          <w:tcPr>
            <w:tcW w:w="700" w:type="dxa"/>
            <w:vAlign w:val="bottom"/>
          </w:tcPr>
          <w:p>
            <w:pPr>
              <w:spacing w:after="0"/>
              <w:rPr>
                <w:sz w:val="14"/>
                <w:szCs w:val="1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1.22%</w:t>
            </w:r>
          </w:p>
        </w:tc>
        <w:tc>
          <w:tcPr>
            <w:tcW w:w="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w:t>
            </w:r>
          </w:p>
        </w:tc>
      </w:tr>
      <w:tr>
        <w:trPr>
          <w:trHeight w:val="170"/>
        </w:trPr>
        <w:tc>
          <w:tcPr>
            <w:tcW w:w="4760" w:type="dxa"/>
            <w:vAlign w:val="bottom"/>
          </w:tcPr>
          <w:p>
            <w:pPr>
              <w:ind w:left="340"/>
              <w:spacing w:after="0"/>
              <w:rPr>
                <w:sz w:val="20"/>
                <w:szCs w:val="20"/>
                <w:color w:val="auto"/>
              </w:rPr>
            </w:pPr>
            <w:r>
              <w:rPr>
                <w:rFonts w:ascii="Courier New" w:cs="Courier New" w:eastAsia="Courier New" w:hAnsi="Courier New"/>
                <w:sz w:val="15"/>
                <w:szCs w:val="15"/>
                <w:color w:val="auto"/>
              </w:rPr>
              <w:t>Including 90 days past due accruing loans</w:t>
            </w: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1.29%</w:t>
            </w:r>
          </w:p>
        </w:tc>
        <w:tc>
          <w:tcPr>
            <w:tcW w:w="700" w:type="dxa"/>
            <w:vAlign w:val="bottom"/>
          </w:tcPr>
          <w:p>
            <w:pPr>
              <w:spacing w:after="0"/>
              <w:rPr>
                <w:sz w:val="14"/>
                <w:szCs w:val="14"/>
                <w:color w:val="auto"/>
              </w:rPr>
            </w:pPr>
          </w:p>
        </w:tc>
        <w:tc>
          <w:tcPr>
            <w:tcW w:w="1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1.60%</w:t>
            </w:r>
          </w:p>
        </w:tc>
        <w:tc>
          <w:tcPr>
            <w:tcW w:w="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rPr>
          <w:sz w:val="20"/>
          <w:szCs w:val="20"/>
          <w:color w:val="auto"/>
        </w:rPr>
      </w:pPr>
      <w:r>
        <w:rPr>
          <w:rFonts w:ascii="Courier New" w:cs="Courier New" w:eastAsia="Courier New" w:hAnsi="Courier New"/>
          <w:sz w:val="15"/>
          <w:szCs w:val="15"/>
          <w:color w:val="auto"/>
        </w:rPr>
        <w:t>NONPERFORMING ASSETS, Continued</w:t>
      </w:r>
    </w:p>
    <w:p>
      <w:pPr>
        <w:spacing w:after="0" w:line="174"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Nonperforming assets decreased from $92,227,000 at December 31, 1995 to $79,224,000 at June 30, 1996.</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decrease in the nonaccrual real estate - commercial category and corresponding increase in the other real estate owned category were primarily due to the foreclosure of two real estate - commercial loans with carrying values totalling $7,295,000. The increase in other real estate owned was partially offset by the sale of a property with a carrying value of $4,167,000. In addition, paydowns on two nonaccrual real estate - commercial loans totalling $14,553,000 contributed to the decrease in nonperforming assets. These decreases were partially offset by the addition of a real estate - commercial loan totalling $6,050,000.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past due 90 days or more and still accruing interest totalled $24,875,000</w:t>
      </w:r>
    </w:p>
    <w:p>
      <w:pPr>
        <w:spacing w:after="0" w:line="5" w:lineRule="exact"/>
        <w:rPr>
          <w:sz w:val="20"/>
          <w:szCs w:val="20"/>
          <w:color w:val="auto"/>
        </w:rPr>
      </w:pPr>
    </w:p>
    <w:p>
      <w:pPr>
        <w:spacing w:after="0"/>
        <w:tabs>
          <w:tab w:leader="none" w:pos="5520" w:val="left"/>
        </w:tabs>
        <w:rPr>
          <w:sz w:val="20"/>
          <w:szCs w:val="20"/>
          <w:color w:val="auto"/>
        </w:rPr>
      </w:pPr>
      <w:r>
        <w:rPr>
          <w:rFonts w:ascii="Courier New" w:cs="Courier New" w:eastAsia="Courier New" w:hAnsi="Courier New"/>
          <w:sz w:val="15"/>
          <w:szCs w:val="15"/>
          <w:color w:val="auto"/>
        </w:rPr>
        <w:t>at June 30, 1996, a decrease of 13.6% from December 31, 1995.</w:t>
      </w:r>
      <w:r>
        <w:rPr>
          <w:sz w:val="20"/>
          <w:szCs w:val="20"/>
          <w:color w:val="auto"/>
        </w:rPr>
        <w:tab/>
      </w:r>
      <w:r>
        <w:rPr>
          <w:rFonts w:ascii="Courier New" w:cs="Courier New" w:eastAsia="Courier New" w:hAnsi="Courier New"/>
          <w:sz w:val="14"/>
          <w:szCs w:val="14"/>
          <w:color w:val="auto"/>
        </w:rPr>
        <w:t>The decrease was</w:t>
      </w:r>
    </w:p>
    <w:p>
      <w:pPr>
        <w:spacing w:after="0"/>
        <w:rPr>
          <w:sz w:val="20"/>
          <w:szCs w:val="20"/>
          <w:color w:val="auto"/>
        </w:rPr>
      </w:pPr>
      <w:r>
        <w:rPr>
          <w:rFonts w:ascii="Courier New" w:cs="Courier New" w:eastAsia="Courier New" w:hAnsi="Courier New"/>
          <w:sz w:val="15"/>
          <w:szCs w:val="15"/>
          <w:color w:val="auto"/>
        </w:rPr>
        <w:t>primarily due to various loans totalling $7,687,000 which were placed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nonaccrual status and two real estate - residential loans and one real estate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loan totalling $3,656,000 which were either paid current or in full</w:t>
      </w:r>
    </w:p>
    <w:p>
      <w:pPr>
        <w:spacing w:after="0" w:line="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at June 30, 1996.</w:t>
      </w:r>
      <w:r>
        <w:rPr>
          <w:sz w:val="20"/>
          <w:szCs w:val="20"/>
          <w:color w:val="auto"/>
        </w:rPr>
        <w:tab/>
      </w:r>
      <w:r>
        <w:rPr>
          <w:rFonts w:ascii="Courier New" w:cs="Courier New" w:eastAsia="Courier New" w:hAnsi="Courier New"/>
          <w:sz w:val="14"/>
          <w:szCs w:val="14"/>
          <w:color w:val="auto"/>
        </w:rPr>
        <w:t>These decreases were partially offset by the addition of</w:t>
      </w:r>
    </w:p>
    <w:p>
      <w:pPr>
        <w:spacing w:after="0"/>
        <w:rPr>
          <w:sz w:val="20"/>
          <w:szCs w:val="20"/>
          <w:color w:val="auto"/>
        </w:rPr>
      </w:pPr>
      <w:r>
        <w:rPr>
          <w:rFonts w:ascii="Courier New" w:cs="Courier New" w:eastAsia="Courier New" w:hAnsi="Courier New"/>
          <w:sz w:val="15"/>
          <w:szCs w:val="15"/>
          <w:color w:val="auto"/>
        </w:rPr>
        <w:t>various loans, principally real estate - commercial loans, totalling</w:t>
      </w:r>
    </w:p>
    <w:p>
      <w:pPr>
        <w:spacing w:after="0"/>
        <w:tabs>
          <w:tab w:leader="none" w:pos="1120" w:val="left"/>
        </w:tabs>
        <w:rPr>
          <w:sz w:val="20"/>
          <w:szCs w:val="20"/>
          <w:color w:val="auto"/>
        </w:rPr>
      </w:pPr>
      <w:r>
        <w:rPr>
          <w:rFonts w:ascii="Courier New" w:cs="Courier New" w:eastAsia="Courier New" w:hAnsi="Courier New"/>
          <w:sz w:val="15"/>
          <w:szCs w:val="15"/>
          <w:color w:val="auto"/>
        </w:rPr>
        <w:t>$9,424,000.</w:t>
      </w:r>
      <w:r>
        <w:rPr>
          <w:sz w:val="20"/>
          <w:szCs w:val="20"/>
          <w:color w:val="auto"/>
        </w:rPr>
        <w:tab/>
      </w:r>
      <w:r>
        <w:rPr>
          <w:rFonts w:ascii="Courier New" w:cs="Courier New" w:eastAsia="Courier New" w:hAnsi="Courier New"/>
          <w:sz w:val="14"/>
          <w:szCs w:val="14"/>
          <w:color w:val="auto"/>
        </w:rPr>
        <w:t>All of the loans which are past due 90 days or more and still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accruing interest are in management's judgment adequately collateralized and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process of collection.</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recent years, the level of the Company's nonperforming assets and charge-offs has been adversely affected by the prolonged economic downturn in Hawaii and related weakness in the local real estate market. Although the Company believes that the Hawaii economy continues to show signs of improvement, and certain local real estate sectors evidence signs of having stabilized, the recovery of the Hawaii economy has been slow and the effects of the economic downturn may continue to affect the level of nonperforming assets and related charge-offs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17" w:name="page18"/>
    <w:bookmarkEnd w:id="17"/>
    <w:p>
      <w:pPr>
        <w:jc w:val="center"/>
        <w:ind w:right="9519"/>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jc w:val="center"/>
        <w:ind w:right="9519"/>
        <w:spacing w:after="0"/>
        <w:rPr>
          <w:sz w:val="20"/>
          <w:szCs w:val="20"/>
          <w:color w:val="auto"/>
        </w:rPr>
      </w:pPr>
      <w:r>
        <w:rPr>
          <w:rFonts w:ascii="Courier New" w:cs="Courier New" w:eastAsia="Courier New" w:hAnsi="Courier New"/>
          <w:sz w:val="14"/>
          <w:szCs w:val="14"/>
          <w:color w:val="auto"/>
        </w:rPr>
        <w:t>DEPOSITS</w:t>
      </w:r>
    </w:p>
    <w:p>
      <w:pPr>
        <w:spacing w:after="0" w:line="180"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following table sets forth the average balances and the average rates paid on deposits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QUARTER ENDED JUNE 30,</w:t>
            </w:r>
          </w:p>
        </w:tc>
        <w:tc>
          <w:tcPr>
            <w:tcW w:w="980" w:type="dxa"/>
            <w:vAlign w:val="bottom"/>
          </w:tcPr>
          <w:p>
            <w:pPr>
              <w:spacing w:after="0"/>
              <w:rPr>
                <w:sz w:val="14"/>
                <w:szCs w:val="14"/>
                <w:color w:val="auto"/>
              </w:rPr>
            </w:pPr>
          </w:p>
        </w:tc>
      </w:tr>
      <w:tr>
        <w:trPr>
          <w:trHeight w:val="170"/>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20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34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AVERAGE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BALANCE</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RATE (1)</w:t>
            </w:r>
          </w:p>
        </w:tc>
        <w:tc>
          <w:tcPr>
            <w:tcW w:w="34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BALANCE</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w w:val="94"/>
              </w:rPr>
              <w:t>RATE (1)</w:t>
            </w:r>
          </w:p>
        </w:tc>
      </w:tr>
      <w:tr>
        <w:trPr>
          <w:trHeight w:val="170"/>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(dollars in thousands)</w:t>
            </w:r>
          </w:p>
        </w:tc>
        <w:tc>
          <w:tcPr>
            <w:tcW w:w="980" w:type="dxa"/>
            <w:vAlign w:val="bottom"/>
          </w:tcPr>
          <w:p>
            <w:pPr>
              <w:spacing w:after="0"/>
              <w:rPr>
                <w:sz w:val="14"/>
                <w:szCs w:val="14"/>
                <w:color w:val="auto"/>
              </w:rPr>
            </w:pPr>
          </w:p>
        </w:tc>
      </w:tr>
      <w:tr>
        <w:trPr>
          <w:trHeight w:val="339"/>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Interest-bearing demand</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1,172,203</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1,143,182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w:t>
            </w:r>
          </w:p>
        </w:tc>
      </w:tr>
      <w:tr>
        <w:trPr>
          <w:trHeight w:val="339"/>
        </w:trPr>
        <w:tc>
          <w:tcPr>
            <w:tcW w:w="3540" w:type="dxa"/>
            <w:vAlign w:val="bottom"/>
          </w:tcPr>
          <w:p>
            <w:pPr>
              <w:spacing w:after="0"/>
              <w:rPr>
                <w:sz w:val="20"/>
                <w:szCs w:val="20"/>
                <w:color w:val="auto"/>
              </w:rPr>
            </w:pPr>
            <w:r>
              <w:rPr>
                <w:rFonts w:ascii="Courier New" w:cs="Courier New" w:eastAsia="Courier New" w:hAnsi="Courier New"/>
                <w:sz w:val="15"/>
                <w:szCs w:val="15"/>
                <w:color w:val="auto"/>
              </w:rPr>
              <w:t>Savings</w:t>
            </w:r>
          </w:p>
        </w:tc>
        <w:tc>
          <w:tcPr>
            <w:tcW w:w="34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1,149,066</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2.08</w:t>
            </w:r>
          </w:p>
        </w:tc>
        <w:tc>
          <w:tcPr>
            <w:tcW w:w="34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1,220,087</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3.11</w:t>
            </w:r>
          </w:p>
        </w:tc>
      </w:t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Time</w:t>
            </w:r>
          </w:p>
        </w:tc>
        <w:tc>
          <w:tcPr>
            <w:tcW w:w="3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2,228,043</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5.25</w:t>
            </w:r>
          </w:p>
        </w:tc>
        <w:tc>
          <w:tcPr>
            <w:tcW w:w="3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2,053,786</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5.63</w:t>
            </w:r>
          </w:p>
        </w:tc>
      </w:tr>
      <w:tr>
        <w:trPr>
          <w:trHeight w:val="170"/>
        </w:trPr>
        <w:tc>
          <w:tcPr>
            <w:tcW w:w="354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339"/>
        </w:trPr>
        <w:tc>
          <w:tcPr>
            <w:tcW w:w="3540" w:type="dxa"/>
            <w:vAlign w:val="bottom"/>
          </w:tcPr>
          <w:p>
            <w:pPr>
              <w:ind w:left="540"/>
              <w:spacing w:after="0"/>
              <w:rPr>
                <w:sz w:val="20"/>
                <w:szCs w:val="20"/>
                <w:color w:val="auto"/>
              </w:rPr>
            </w:pPr>
            <w:r>
              <w:rPr>
                <w:rFonts w:ascii="Courier New" w:cs="Courier New" w:eastAsia="Courier New" w:hAnsi="Courier New"/>
                <w:sz w:val="15"/>
                <w:szCs w:val="15"/>
                <w:color w:val="auto"/>
              </w:rPr>
              <w:t>Total interest-bearing deposits</w:t>
            </w:r>
          </w:p>
        </w:tc>
        <w:tc>
          <w:tcPr>
            <w:tcW w:w="34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4,549,312</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3.80</w:t>
            </w:r>
          </w:p>
        </w:tc>
        <w:tc>
          <w:tcPr>
            <w:tcW w:w="34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4,417,055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4.18</w:t>
            </w:r>
          </w:p>
        </w:tc>
      </w:tr>
      <w:tr>
        <w:trPr>
          <w:trHeight w:val="509"/>
        </w:trPr>
        <w:tc>
          <w:tcPr>
            <w:tcW w:w="3540" w:type="dxa"/>
            <w:vAlign w:val="bottom"/>
          </w:tcPr>
          <w:p>
            <w:pPr>
              <w:spacing w:after="0"/>
              <w:rPr>
                <w:sz w:val="20"/>
                <w:szCs w:val="20"/>
                <w:color w:val="auto"/>
              </w:rPr>
            </w:pPr>
            <w:r>
              <w:rPr>
                <w:rFonts w:ascii="Courier New" w:cs="Courier New" w:eastAsia="Courier New" w:hAnsi="Courier New"/>
                <w:sz w:val="15"/>
                <w:szCs w:val="15"/>
                <w:color w:val="auto"/>
              </w:rPr>
              <w:t>Noninterest-bearing demand</w:t>
            </w:r>
          </w:p>
        </w:tc>
        <w:tc>
          <w:tcPr>
            <w:tcW w:w="34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872,528</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826,791</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54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339"/>
        </w:trPr>
        <w:tc>
          <w:tcPr>
            <w:tcW w:w="3540" w:type="dxa"/>
            <w:vAlign w:val="bottom"/>
          </w:tcPr>
          <w:p>
            <w:pPr>
              <w:ind w:left="540"/>
              <w:spacing w:after="0"/>
              <w:rPr>
                <w:sz w:val="20"/>
                <w:szCs w:val="20"/>
                <w:color w:val="auto"/>
              </w:rPr>
            </w:pPr>
            <w:r>
              <w:rPr>
                <w:rFonts w:ascii="Courier New" w:cs="Courier New" w:eastAsia="Courier New" w:hAnsi="Courier New"/>
                <w:sz w:val="15"/>
                <w:szCs w:val="15"/>
                <w:color w:val="auto"/>
              </w:rPr>
              <w:t>Total deposits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5,421,840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3.19%</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5,243,846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3.52%</w:t>
            </w:r>
          </w:p>
        </w:tc>
      </w:tr>
      <w:tr>
        <w:trPr>
          <w:trHeight w:val="170"/>
        </w:trPr>
        <w:tc>
          <w:tcPr>
            <w:tcW w:w="354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848"/>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SIX MONTHS ENDED JUNE 30,</w:t>
            </w:r>
          </w:p>
        </w:tc>
        <w:tc>
          <w:tcPr>
            <w:tcW w:w="980" w:type="dxa"/>
            <w:vAlign w:val="bottom"/>
          </w:tcPr>
          <w:p>
            <w:pPr>
              <w:spacing w:after="0"/>
              <w:rPr>
                <w:sz w:val="24"/>
                <w:szCs w:val="24"/>
                <w:color w:val="auto"/>
              </w:rPr>
            </w:pPr>
          </w:p>
        </w:tc>
      </w:tr>
      <w:tr>
        <w:trPr>
          <w:trHeight w:val="170"/>
        </w:trPr>
        <w:tc>
          <w:tcPr>
            <w:tcW w:w="3540" w:type="dxa"/>
            <w:vAlign w:val="bottom"/>
          </w:tcPr>
          <w:p>
            <w:pPr>
              <w:spacing w:after="0"/>
              <w:rPr>
                <w:sz w:val="14"/>
                <w:szCs w:val="14"/>
                <w:color w:val="auto"/>
              </w:rPr>
            </w:pPr>
          </w:p>
        </w:tc>
        <w:tc>
          <w:tcPr>
            <w:tcW w:w="502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w:t>
            </w:r>
          </w:p>
        </w:tc>
      </w:tr>
      <w:tr>
        <w:trPr>
          <w:trHeight w:val="170"/>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spacing w:after="0"/>
              <w:rPr>
                <w:sz w:val="14"/>
                <w:szCs w:val="14"/>
                <w:color w:val="auto"/>
              </w:rPr>
            </w:pPr>
          </w:p>
        </w:tc>
      </w:tr>
      <w:tr>
        <w:trPr>
          <w:trHeight w:val="170"/>
        </w:trPr>
        <w:tc>
          <w:tcPr>
            <w:tcW w:w="354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0"/>
              </w:rPr>
              <w:t>----------------------</w:t>
            </w:r>
          </w:p>
        </w:tc>
        <w:tc>
          <w:tcPr>
            <w:tcW w:w="1240" w:type="dxa"/>
            <w:vAlign w:val="bottom"/>
          </w:tcPr>
          <w:p>
            <w:pPr>
              <w:spacing w:after="0"/>
              <w:rPr>
                <w:sz w:val="14"/>
                <w:szCs w:val="14"/>
                <w:color w:val="auto"/>
              </w:rPr>
            </w:pPr>
          </w:p>
        </w:tc>
        <w:tc>
          <w:tcPr>
            <w:tcW w:w="23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r>
      <w:tr>
        <w:trPr>
          <w:trHeight w:val="170"/>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AVERAGE</w:t>
            </w:r>
          </w:p>
        </w:tc>
        <w:tc>
          <w:tcPr>
            <w:tcW w:w="3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RATE (1)</w:t>
            </w:r>
          </w:p>
        </w:tc>
        <w:tc>
          <w:tcPr>
            <w:tcW w:w="3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RATE (1)</w:t>
            </w:r>
          </w:p>
        </w:tc>
      </w:tr>
      <w:tr>
        <w:trPr>
          <w:trHeight w:val="170"/>
        </w:trPr>
        <w:tc>
          <w:tcPr>
            <w:tcW w:w="354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w w:val="96"/>
              </w:rPr>
              <w:t>(dollars in thousands)</w:t>
            </w:r>
          </w:p>
        </w:tc>
        <w:tc>
          <w:tcPr>
            <w:tcW w:w="980" w:type="dxa"/>
            <w:vAlign w:val="bottom"/>
          </w:tcPr>
          <w:p>
            <w:pPr>
              <w:spacing w:after="0"/>
              <w:rPr>
                <w:sz w:val="14"/>
                <w:szCs w:val="14"/>
                <w:color w:val="auto"/>
              </w:rPr>
            </w:pPr>
          </w:p>
        </w:tc>
      </w:tr>
      <w:tr>
        <w:trPr>
          <w:trHeight w:val="339"/>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Interest-bearing demand</w:t>
            </w: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$ 1,148,673</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2.66%</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$ 1,163,996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w:t>
            </w:r>
          </w:p>
        </w:tc>
      </w:tr>
      <w:tr>
        <w:trPr>
          <w:trHeight w:val="339"/>
        </w:trPr>
        <w:tc>
          <w:tcPr>
            <w:tcW w:w="3540" w:type="dxa"/>
            <w:vAlign w:val="bottom"/>
          </w:tcPr>
          <w:p>
            <w:pPr>
              <w:spacing w:after="0"/>
              <w:rPr>
                <w:sz w:val="20"/>
                <w:szCs w:val="20"/>
                <w:color w:val="auto"/>
              </w:rPr>
            </w:pPr>
            <w:r>
              <w:rPr>
                <w:rFonts w:ascii="Courier New" w:cs="Courier New" w:eastAsia="Courier New" w:hAnsi="Courier New"/>
                <w:sz w:val="15"/>
                <w:szCs w:val="15"/>
                <w:color w:val="auto"/>
              </w:rPr>
              <w:t>Savings</w:t>
            </w:r>
          </w:p>
        </w:tc>
        <w:tc>
          <w:tcPr>
            <w:tcW w:w="34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1,156,531</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2.11</w:t>
            </w:r>
          </w:p>
        </w:tc>
        <w:tc>
          <w:tcPr>
            <w:tcW w:w="340" w:type="dxa"/>
            <w:vAlign w:val="bottom"/>
          </w:tcPr>
          <w:p>
            <w:pPr>
              <w:spacing w:after="0"/>
              <w:rPr>
                <w:sz w:val="24"/>
                <w:szCs w:val="2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1,247,378</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w:t>
            </w:r>
          </w:p>
        </w:tc>
      </w:t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Time</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2,165,649</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5.36</w:t>
            </w:r>
          </w:p>
        </w:tc>
        <w:tc>
          <w:tcPr>
            <w:tcW w:w="34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1,959,737</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5.45</w:t>
            </w:r>
          </w:p>
        </w:tc>
      </w:tr>
      <w:tr>
        <w:trPr>
          <w:trHeight w:val="170"/>
        </w:trPr>
        <w:tc>
          <w:tcPr>
            <w:tcW w:w="354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339"/>
        </w:trPr>
        <w:tc>
          <w:tcPr>
            <w:tcW w:w="3540" w:type="dxa"/>
            <w:vAlign w:val="bottom"/>
          </w:tcPr>
          <w:p>
            <w:pPr>
              <w:ind w:left="540"/>
              <w:spacing w:after="0"/>
              <w:rPr>
                <w:sz w:val="20"/>
                <w:szCs w:val="20"/>
                <w:color w:val="auto"/>
              </w:rPr>
            </w:pPr>
            <w:r>
              <w:rPr>
                <w:rFonts w:ascii="Courier New" w:cs="Courier New" w:eastAsia="Courier New" w:hAnsi="Courier New"/>
                <w:sz w:val="15"/>
                <w:szCs w:val="15"/>
                <w:color w:val="auto"/>
              </w:rPr>
              <w:t>Total interest-bearing deposits</w:t>
            </w:r>
          </w:p>
        </w:tc>
        <w:tc>
          <w:tcPr>
            <w:tcW w:w="34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4,470,853</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3.82</w:t>
            </w:r>
          </w:p>
        </w:tc>
        <w:tc>
          <w:tcPr>
            <w:tcW w:w="340" w:type="dxa"/>
            <w:vAlign w:val="bottom"/>
          </w:tcPr>
          <w:p>
            <w:pPr>
              <w:spacing w:after="0"/>
              <w:rPr>
                <w:sz w:val="24"/>
                <w:szCs w:val="2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4,371,111</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w:t>
            </w:r>
          </w:p>
        </w:tc>
      </w:tr>
      <w:tr>
        <w:trPr>
          <w:trHeight w:val="509"/>
        </w:trPr>
        <w:tc>
          <w:tcPr>
            <w:tcW w:w="3540" w:type="dxa"/>
            <w:vAlign w:val="bottom"/>
          </w:tcPr>
          <w:p>
            <w:pPr>
              <w:spacing w:after="0"/>
              <w:rPr>
                <w:sz w:val="20"/>
                <w:szCs w:val="20"/>
                <w:color w:val="auto"/>
              </w:rPr>
            </w:pPr>
            <w:r>
              <w:rPr>
                <w:rFonts w:ascii="Courier New" w:cs="Courier New" w:eastAsia="Courier New" w:hAnsi="Courier New"/>
                <w:sz w:val="15"/>
                <w:szCs w:val="15"/>
                <w:color w:val="auto"/>
              </w:rPr>
              <w:t>Noninterest-bearing demand</w:t>
            </w:r>
          </w:p>
        </w:tc>
        <w:tc>
          <w:tcPr>
            <w:tcW w:w="34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851,740</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828,221</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54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339"/>
        </w:trPr>
        <w:tc>
          <w:tcPr>
            <w:tcW w:w="3540" w:type="dxa"/>
            <w:vAlign w:val="bottom"/>
          </w:tcPr>
          <w:p>
            <w:pPr>
              <w:ind w:left="540"/>
              <w:spacing w:after="0"/>
              <w:rPr>
                <w:sz w:val="20"/>
                <w:szCs w:val="20"/>
                <w:color w:val="auto"/>
              </w:rPr>
            </w:pPr>
            <w:r>
              <w:rPr>
                <w:rFonts w:ascii="Courier New" w:cs="Courier New" w:eastAsia="Courier New" w:hAnsi="Courier New"/>
                <w:sz w:val="15"/>
                <w:szCs w:val="15"/>
                <w:color w:val="auto"/>
              </w:rPr>
              <w:t>Total deposits</w:t>
            </w: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$ 5,322,593</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3.21%</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$ 5,199,332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3.42%</w:t>
            </w:r>
          </w:p>
        </w:tc>
      </w:tr>
      <w:tr>
        <w:trPr>
          <w:trHeight w:val="170"/>
        </w:trPr>
        <w:tc>
          <w:tcPr>
            <w:tcW w:w="354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interest-bearing deposits increased $99,742,000, or 2.3%, and</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$132,257,000, or 3.0%, over the first six months and second quarter of 1995. The increase in average interest-bearing deposits was due to the Pacific Northwest acquisition, the purchase of deposits from a depository financial services loan company in the fourth quarter of 1995 and various deposit product programs initiated by the Company in the latter part of 1995 and 1996. With the acquisitions and assumption of deposits and depositors seeking higher yields through the aforementioned deposit product programs, the mix of average interest-bearing deposits changed, with higher yielding average time certificate of deposits representing 48.4% and 49.0% of average interest-bearing deposits in the first six months and second quarter of 1996, respectively, as compared to 44.8% and 46.5% in the same periods in 1995.</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(1) Annualized.</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rPr>
          <w:sz w:val="20"/>
          <w:szCs w:val="20"/>
          <w:color w:val="auto"/>
        </w:rPr>
      </w:pPr>
      <w:r>
        <w:rPr>
          <w:rFonts w:ascii="Courier New" w:cs="Courier New" w:eastAsia="Courier New" w:hAnsi="Courier New"/>
          <w:sz w:val="15"/>
          <w:szCs w:val="15"/>
          <w:color w:val="auto"/>
        </w:rPr>
        <w:t>PROVISION AND ALLOWANCE FOR LOAN LOSSES</w:t>
      </w:r>
    </w:p>
    <w:p>
      <w:pPr>
        <w:spacing w:after="0" w:line="174"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following table sets forth the activity in the allowance for loan losses for the periods indicated: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3"/>
          </w:tcPr>
          <w:p>
            <w:pPr>
              <w:jc w:val="right"/>
              <w:ind w:right="867"/>
              <w:spacing w:after="0"/>
              <w:rPr>
                <w:sz w:val="20"/>
                <w:szCs w:val="20"/>
                <w:color w:val="auto"/>
              </w:rPr>
            </w:pPr>
            <w:r>
              <w:rPr>
                <w:rFonts w:ascii="Courier New" w:cs="Courier New" w:eastAsia="Courier New" w:hAnsi="Courier New"/>
                <w:sz w:val="15"/>
                <w:szCs w:val="15"/>
                <w:color w:val="auto"/>
              </w:rPr>
              <w:t>QUARTER ENDED</w:t>
            </w:r>
          </w:p>
        </w:tc>
        <w:tc>
          <w:tcPr>
            <w:tcW w:w="300" w:type="dxa"/>
            <w:vAlign w:val="bottom"/>
          </w:tcPr>
          <w:p>
            <w:pPr>
              <w:spacing w:after="0"/>
              <w:rPr>
                <w:sz w:val="14"/>
                <w:szCs w:val="14"/>
                <w:color w:val="auto"/>
              </w:rPr>
            </w:pPr>
          </w:p>
        </w:tc>
        <w:tc>
          <w:tcPr>
            <w:tcW w:w="264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JUNE 30,</w:t>
            </w:r>
          </w:p>
        </w:tc>
        <w:tc>
          <w:tcPr>
            <w:tcW w:w="10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88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w w:val="97"/>
              </w:rPr>
              <w:t>----------------------------</w:t>
            </w:r>
          </w:p>
        </w:tc>
        <w:tc>
          <w:tcPr>
            <w:tcW w:w="294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88"/>
              </w:rPr>
              <w:t>1995</w:t>
            </w:r>
          </w:p>
        </w:tc>
        <w:tc>
          <w:tcPr>
            <w:tcW w:w="300" w:type="dxa"/>
            <w:vAlign w:val="bottom"/>
          </w:tcPr>
          <w:p>
            <w:pPr>
              <w:spacing w:after="0"/>
              <w:rPr>
                <w:sz w:val="14"/>
                <w:szCs w:val="14"/>
                <w:color w:val="auto"/>
              </w:rPr>
            </w:pP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(dollars in thousands)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Loans outstanding (end of period)</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5,658,838</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$ 5,253,682</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5,658,838</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$ 5,253,682</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Average loans outstanding</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5,352,206</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$ 5,727,519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5,292,443</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$ 5,677,280</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Allowance for loan losses summary:</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79,585</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61,236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78,733</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61,250</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26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Courier New" w:cs="Courier New" w:eastAsia="Courier New" w:hAnsi="Courier New"/>
                <w:sz w:val="15"/>
                <w:szCs w:val="15"/>
                <w:color w:val="auto"/>
                <w:w w:val="97"/>
              </w:rPr>
              <w:t>Allowance due to Pacific Northwest acquisition</w:t>
            </w:r>
          </w:p>
        </w:tc>
        <w:tc>
          <w:tcPr>
            <w:tcW w:w="18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6,200</w:t>
            </w:r>
          </w:p>
        </w:tc>
        <w:tc>
          <w:tcPr>
            <w:tcW w:w="36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6,200</w:t>
            </w:r>
          </w:p>
        </w:tc>
        <w:tc>
          <w:tcPr>
            <w:tcW w:w="30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26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Loans charged off:</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Commercial, financial and agricultural</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1,978</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922</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2,396</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1,755</w:t>
            </w:r>
          </w:p>
        </w:tc>
      </w:tr>
      <w:tr>
        <w:trPr>
          <w:trHeight w:val="170"/>
        </w:trPr>
        <w:tc>
          <w:tcPr>
            <w:tcW w:w="26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Real estate: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Commercial</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1,240</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460</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1,286</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1,056</w:t>
            </w:r>
          </w:p>
        </w:tc>
      </w:tr>
      <w:tr>
        <w:trPr>
          <w:trHeight w:val="170"/>
        </w:trPr>
        <w:tc>
          <w:tcPr>
            <w:tcW w:w="260" w:type="dxa"/>
            <w:vAlign w:val="bottom"/>
          </w:tcPr>
          <w:p>
            <w:pPr>
              <w:spacing w:after="0"/>
              <w:rPr>
                <w:sz w:val="14"/>
                <w:szCs w:val="14"/>
                <w:color w:val="auto"/>
              </w:rPr>
            </w:pPr>
          </w:p>
        </w:tc>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Construction</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828</w:t>
            </w:r>
          </w:p>
        </w:tc>
      </w:tr>
      <w:tr>
        <w:trPr>
          <w:trHeight w:val="170"/>
        </w:trPr>
        <w:tc>
          <w:tcPr>
            <w:tcW w:w="260" w:type="dxa"/>
            <w:vAlign w:val="bottom"/>
          </w:tcPr>
          <w:p>
            <w:pPr>
              <w:spacing w:after="0"/>
              <w:rPr>
                <w:sz w:val="14"/>
                <w:szCs w:val="14"/>
                <w:color w:val="auto"/>
              </w:rPr>
            </w:pPr>
          </w:p>
        </w:tc>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Residential</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980</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398</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1,190</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515</w:t>
            </w:r>
          </w:p>
        </w:tc>
      </w:tr>
      <w:tr>
        <w:trPr>
          <w:trHeight w:val="170"/>
        </w:trPr>
        <w:tc>
          <w:tcPr>
            <w:tcW w:w="26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Consumer</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3,149</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2,048</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5,611</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3,530</w:t>
            </w:r>
          </w:p>
        </w:tc>
      </w:tr>
      <w:tr>
        <w:trPr>
          <w:trHeight w:val="170"/>
        </w:trPr>
        <w:tc>
          <w:tcPr>
            <w:tcW w:w="26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Total loans charged off</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7,362</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3,829</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10,560</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7,684</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26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Recoveries on loans charged off:</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Commercial, financial and agricultural</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503</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583</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w:t>
            </w:r>
          </w:p>
        </w:tc>
      </w:tr>
      <w:tr>
        <w:trPr>
          <w:trHeight w:val="170"/>
        </w:trPr>
        <w:tc>
          <w:tcPr>
            <w:tcW w:w="26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Real estate: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Commercial</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170"/>
        </w:trPr>
        <w:tc>
          <w:tcPr>
            <w:tcW w:w="260" w:type="dxa"/>
            <w:vAlign w:val="bottom"/>
          </w:tcPr>
          <w:p>
            <w:pPr>
              <w:spacing w:after="0"/>
              <w:rPr>
                <w:sz w:val="14"/>
                <w:szCs w:val="14"/>
                <w:color w:val="auto"/>
              </w:rPr>
            </w:pPr>
          </w:p>
        </w:tc>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Construction</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r>
      <w:tr>
        <w:trPr>
          <w:trHeight w:val="170"/>
        </w:trPr>
        <w:tc>
          <w:tcPr>
            <w:tcW w:w="260" w:type="dxa"/>
            <w:vAlign w:val="bottom"/>
          </w:tcPr>
          <w:p>
            <w:pPr>
              <w:spacing w:after="0"/>
              <w:rPr>
                <w:sz w:val="14"/>
                <w:szCs w:val="14"/>
                <w:color w:val="auto"/>
              </w:rPr>
            </w:pPr>
          </w:p>
        </w:tc>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Residential</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137</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w:t>
            </w:r>
          </w:p>
        </w:tc>
      </w:tr>
      <w:tr>
        <w:trPr>
          <w:trHeight w:val="170"/>
        </w:trPr>
        <w:tc>
          <w:tcPr>
            <w:tcW w:w="26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Consumer</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319</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405</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903</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855</w:t>
            </w:r>
          </w:p>
        </w:tc>
      </w:tr>
      <w:tr>
        <w:trPr>
          <w:trHeight w:val="170"/>
        </w:trPr>
        <w:tc>
          <w:tcPr>
            <w:tcW w:w="26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Lease financing</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r>
      <w:tr>
        <w:trPr>
          <w:trHeight w:val="170"/>
        </w:trPr>
        <w:tc>
          <w:tcPr>
            <w:tcW w:w="26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Total recoveries on loans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ind w:left="780"/>
              <w:spacing w:after="0"/>
              <w:rPr>
                <w:sz w:val="20"/>
                <w:szCs w:val="20"/>
                <w:color w:val="auto"/>
              </w:rPr>
            </w:pPr>
            <w:r>
              <w:rPr>
                <w:rFonts w:ascii="Courier New" w:cs="Courier New" w:eastAsia="Courier New" w:hAnsi="Courier New"/>
                <w:sz w:val="15"/>
                <w:szCs w:val="15"/>
                <w:color w:val="auto"/>
              </w:rPr>
              <w:t>charged off</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917</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452</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1,645</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953</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Net charge-offs</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(6,445)</w:t>
            </w:r>
          </w:p>
        </w:tc>
        <w:tc>
          <w:tcPr>
            <w:tcW w:w="36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(3,377)</w:t>
            </w:r>
          </w:p>
        </w:tc>
        <w:tc>
          <w:tcPr>
            <w:tcW w:w="30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(8,915)</w:t>
            </w:r>
          </w:p>
        </w:tc>
        <w:tc>
          <w:tcPr>
            <w:tcW w:w="30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(6,731)</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Provision charged to expense</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5,191</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3,341</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8,513</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6,681</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84,531</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61,200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84,531</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61,200</w:t>
            </w: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509"/>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Net loans charged off to average loans</w:t>
            </w:r>
          </w:p>
        </w:tc>
        <w:tc>
          <w:tcPr>
            <w:tcW w:w="180" w:type="dxa"/>
            <w:vAlign w:val="bottom"/>
          </w:tcPr>
          <w:p>
            <w:pPr>
              <w:spacing w:after="0"/>
              <w:rPr>
                <w:sz w:val="24"/>
                <w:szCs w:val="2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.48%(1)</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.24%(1)</w:t>
            </w:r>
          </w:p>
        </w:tc>
        <w:tc>
          <w:tcPr>
            <w:tcW w:w="300" w:type="dxa"/>
            <w:vAlign w:val="bottom"/>
          </w:tcPr>
          <w:p>
            <w:pPr>
              <w:spacing w:after="0"/>
              <w:rPr>
                <w:sz w:val="24"/>
                <w:szCs w:val="2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.34%(1)</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Net loans charged off to allowance for</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loan losses</w:t>
            </w:r>
          </w:p>
        </w:tc>
        <w:tc>
          <w:tcPr>
            <w:tcW w:w="18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30.67%(1)</w:t>
            </w:r>
          </w:p>
        </w:tc>
        <w:tc>
          <w:tcPr>
            <w:tcW w:w="3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22.13%(1)</w:t>
            </w:r>
          </w:p>
        </w:tc>
        <w:tc>
          <w:tcPr>
            <w:tcW w:w="30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21.21%(1)</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22.18%(1)</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Allowance for loan losses to total</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loans (end of period)</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1.49%</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1.49%</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Allowance for loan losses to nonperforming</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loans (end of period):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Excluding 90 days past due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accruing loans</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1.31x</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.84x</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1.31X</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.84x</w:t>
            </w:r>
          </w:p>
        </w:tc>
      </w:tr>
      <w:tr>
        <w:trPr>
          <w:trHeight w:val="170"/>
        </w:trPr>
        <w:tc>
          <w:tcPr>
            <w:tcW w:w="260" w:type="dxa"/>
            <w:vAlign w:val="bottom"/>
          </w:tcPr>
          <w:p>
            <w:pPr>
              <w:spacing w:after="0"/>
              <w:rPr>
                <w:sz w:val="14"/>
                <w:szCs w:val="14"/>
                <w:color w:val="auto"/>
              </w:rPr>
            </w:pPr>
          </w:p>
        </w:tc>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Including 90 days past due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accruing loans</w:t>
            </w:r>
          </w:p>
        </w:tc>
        <w:tc>
          <w:tcPr>
            <w:tcW w:w="1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.95X</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.57x</w:t>
            </w:r>
          </w:p>
        </w:tc>
        <w:tc>
          <w:tcPr>
            <w:tcW w:w="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.95X</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.57x</w:t>
            </w:r>
          </w:p>
        </w:tc>
      </w:tr>
      <w:tr>
        <w:trPr>
          <w:trHeight w:val="509"/>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(1)</w:t>
            </w:r>
          </w:p>
        </w:tc>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Annualized.</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48"/>
        </w:trPr>
        <w:tc>
          <w:tcPr>
            <w:tcW w:w="260" w:type="dxa"/>
            <w:vAlign w:val="bottom"/>
          </w:tcPr>
          <w:p>
            <w:pPr>
              <w:spacing w:after="0"/>
              <w:rPr>
                <w:sz w:val="24"/>
                <w:szCs w:val="24"/>
                <w:color w:val="auto"/>
              </w:rPr>
            </w:pPr>
          </w:p>
        </w:tc>
        <w:tc>
          <w:tcPr>
            <w:tcW w:w="4040" w:type="dxa"/>
            <w:vAlign w:val="bottom"/>
          </w:tcPr>
          <w:p>
            <w:pPr>
              <w:ind w:left="3160"/>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rPr>
          <w:sz w:val="20"/>
          <w:szCs w:val="20"/>
          <w:color w:val="auto"/>
        </w:rPr>
      </w:pPr>
      <w:r>
        <w:rPr>
          <w:rFonts w:ascii="Courier New" w:cs="Courier New" w:eastAsia="Courier New" w:hAnsi="Courier New"/>
          <w:sz w:val="15"/>
          <w:szCs w:val="15"/>
          <w:color w:val="auto"/>
        </w:rPr>
        <w:t>PROVISION AND ALLOWANCE FOR LOAN LOSSES, CONTINUED</w:t>
      </w:r>
    </w:p>
    <w:p>
      <w:pPr>
        <w:spacing w:after="0" w:line="174"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For the first six months of 1996, the provision for loan losses was $8,513,000, an increase of $1,832,000, or 27.4%, over the same period in 1995. The provision for loan losses was $5,191,000 for the second quarter of 1996, an increase of $1,850,000, or 55.4%, over the same period in 1995. The increase in the provision for loan losses for the first six months and second quarter of 1996 is consistent with the increase in net charge-offs for the same periods.</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Net charge-offs for the first six months of 1996 were $8,915,000, an increase of $2,184,000, or 32.4%, over the same period in 1995. Net charge-offs for the second quarter of 1996 were $6,445,000 compared to $3,377,000 for the same period a year ago. The increases were primarily due to increased charge-offs in all categories of consumer loans which include direct loans, indirect dealer loans, and credit cards.</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allowance for loan losses increased to 131% of nonperforming loans at June 30, 1996 (excluding 90 days past due accruing loans) from 95% at December 31, 1995, reflecting the decrease in nonperforming loans and increase in the allowance for loan losses in the first six months of 1996.</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management's judgment, the allowance for loan losses is adequate to absorb potential losses currently inherent in the portfolio, however, changes in prevailing economic conditions in the Company's markets could result in changes in the level of nonperforming assets and charge-offs in the future and, accordingly, changes in the allowance for loan losses.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NONINTEREST INCOME</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Noninterest income of Pacific One Bank is included in the Company's results of operations since May 31, 1996.</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Exclusive of securities transactions, noninterest income totalled $51,351,000 and $27,403,000 for the first six months and second quarter of 1996, respectively, an increase of 14.9% and 26.3%, respectively, over the same periods in 1995.</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Trust and Investment Division income increased $348,000, or 2.9%, and $205,000, or 3.6%, for the first six months and second quarter of 1996, respectively, over the same periods in 1995.</w:t>
      </w:r>
    </w:p>
    <w:p>
      <w:pPr>
        <w:spacing w:after="0" w:line="175"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Service charges on deposit accounts for the first six months of 1996 increased slightly over the same period in the prior year, and increased $337,000, or 5.7%, in the second quarter of 1996 over the same period a year ago.</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Other service charges and fees increased $3,134,000, or 18.7%, and $1,571,000, or 18.5%, for the first six months and second quarter of 1996, respectively, over the same periods in 1995. These increases were primarily the result of higher merchant discount and mortgage brokerage fees and income earned from annuity and mutual fund sales.</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Other noninterest income increased $3,170,000, or 84.3%, and $3,590,000, or 212.2%, for the first six months and second quarter of 1996, respectively, over the same periods in 1995. These increases were attributable to a gain on sale of other real estate owned of $3,029,000 in the second quarter of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rPr>
          <w:sz w:val="20"/>
          <w:szCs w:val="20"/>
          <w:color w:val="auto"/>
        </w:rPr>
      </w:pPr>
      <w:r>
        <w:rPr>
          <w:rFonts w:ascii="Courier New" w:cs="Courier New" w:eastAsia="Courier New" w:hAnsi="Courier New"/>
          <w:sz w:val="15"/>
          <w:szCs w:val="15"/>
          <w:color w:val="auto"/>
        </w:rPr>
        <w:t>NONINTEREST EXPENSES</w:t>
      </w:r>
    </w:p>
    <w:p>
      <w:pPr>
        <w:spacing w:after="0" w:line="17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Noninterest expenses of Pacific One Bank are included in the Company's results of operations since May 31, 1996.</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Noninterest expenses totalled $135,352,000 for the first six months of 1996, an increase of 9.4% over the first six months of 1995. Noninterest expenses totalled $67,946,000 for the second quarter of 1996, an increase of $7,611,000, or 12.6%, over the same period a year ago.</w:t>
      </w:r>
    </w:p>
    <w:p>
      <w:pPr>
        <w:spacing w:after="0" w:line="176"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Total personnel expenses (salaries and wages and employee benefits) increased $8,167,000 and $5,256,000, or 13.9% and 18.5%, for the first six months and second quarter of 1996, respectively, over the same periods in 1995. The increase was primarily due to an increase in costs associated with the curtailment of a noncontributory pension plan in the fourth quarter of 1995, which was replaced with a 401(k) match and money purchase plan effective January 1, 1996. Also, higher salaries and wages reflecting normal merit increases in 1996 and lower expenses related to various employee benefit and incentive accounts in 1995 contributed to the increases.</w:t>
      </w:r>
    </w:p>
    <w:p>
      <w:pPr>
        <w:spacing w:after="0" w:line="16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Occupancy expense for the first six months and second quarter of 1996 decreased $108,000, or .8%, and $127,000, or 2.0%, respectively, compared to the same periods in 1995.</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Equipment expense decreased $1,087,000, or 8.9%, for the first six months of 1996 compared to the same period in 1995, as a result of lower depreciation on furniture and equipment and service contract expenses in 1996. For the second quarter, equipment expense decreased $182,000, or 3.1%, compared to the same period in 1995.</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Exclusive of a pre-tax loss of $1,925,000 (after-tax gain of $399,000 due to a net tax benefit of $2,344,000 resulting from the reversal of the related tax liabilities) recognized on the sale of a certain leveraged lease in the first quarter of 1996, other noninterest expenses for the first six months and second quarter increased $2,775,000, or 7.0%, and $2,664,000, or 13.6%, respectively over the same periods in 1995. These increases were primarily due to higher interchange settlement fees, outside services, legal fees (primarily related to foreclosed property) and nonrecurring losses in connection with a certain credit card fraud. These increases were partially offset by: (1) a decrease in the Federal Deposit Insurance Corporation deposit insurance assessment rate from 23 cents to zero per $100 of insured deposits; and (2) the write-off of the residual values of $620,000 related to the early termination of certain leveraged leases in June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21" w:name="page22"/>
    <w:bookmarkEnd w:id="21"/>
    <w:p>
      <w:pPr>
        <w:ind w:left="270"/>
        <w:spacing w:after="0"/>
        <w:rPr>
          <w:sz w:val="20"/>
          <w:szCs w:val="20"/>
          <w:color w:val="auto"/>
        </w:rPr>
      </w:pPr>
      <w:r>
        <w:rPr>
          <w:rFonts w:ascii="Courier New" w:cs="Courier New" w:eastAsia="Courier New" w:hAnsi="Courier New"/>
          <w:sz w:val="15"/>
          <w:szCs w:val="15"/>
          <w:color w:val="auto"/>
        </w:rPr>
        <w:t>20</w:t>
      </w:r>
    </w:p>
    <w:p>
      <w:pPr>
        <w:ind w:left="10"/>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Company's effective income tax rate (exclusive of the tax equivalent adjustment) for the first six months and second quarter of 1996 was 33.5% and 35.8%, respectively, as compared to 35.7% and 35.9%, respectively, for the same periods in 1995. The decrease in the effective income tax rate for the six month period ended June 30, 1996, was primarily due to the reversal of deferred tax liabilities (reflecting a change in the State tax laws) related to the aforementioned leveraged lease sale.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LIQUIDITY AND CAPITAL</w:t>
      </w:r>
    </w:p>
    <w:p>
      <w:pPr>
        <w:spacing w:after="0" w:line="175" w:lineRule="exact"/>
        <w:rPr>
          <w:sz w:val="20"/>
          <w:szCs w:val="20"/>
          <w:color w:val="auto"/>
        </w:rPr>
      </w:pPr>
    </w:p>
    <w:p>
      <w:pPr>
        <w:ind w:left="10" w:right="3539"/>
        <w:spacing w:after="0" w:line="256" w:lineRule="auto"/>
        <w:rPr>
          <w:sz w:val="20"/>
          <w:szCs w:val="20"/>
          <w:color w:val="auto"/>
        </w:rPr>
      </w:pPr>
      <w:r>
        <w:rPr>
          <w:rFonts w:ascii="Courier New" w:cs="Courier New" w:eastAsia="Courier New" w:hAnsi="Courier New"/>
          <w:sz w:val="14"/>
          <w:szCs w:val="14"/>
          <w:color w:val="auto"/>
        </w:rPr>
        <w:t>Stockholders' equity was $666,629,000 at June 30, 1996, a 2.6% increase from $649,537,000 at December 31, 1995. Average stockholders' equity represented</w:t>
      </w:r>
    </w:p>
    <w:p>
      <w:pPr>
        <w:spacing w:after="0" w:line="1"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8.8% of average total assets for the second quarter of 1996 compared to 8.4% in the same quarter last year. There was no significant change in the Company's liquidity position during the second quarter of 1996.</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120" w:type="dxa"/>
            <w:vAlign w:val="bottom"/>
            <w:gridSpan w:val="4"/>
          </w:tcPr>
          <w:p>
            <w:pPr>
              <w:spacing w:after="0"/>
              <w:rPr>
                <w:sz w:val="20"/>
                <w:szCs w:val="20"/>
                <w:color w:val="auto"/>
              </w:rPr>
            </w:pPr>
            <w:r>
              <w:rPr>
                <w:rFonts w:ascii="Courier New" w:cs="Courier New" w:eastAsia="Courier New" w:hAnsi="Courier New"/>
                <w:sz w:val="15"/>
                <w:szCs w:val="15"/>
                <w:color w:val="auto"/>
              </w:rPr>
              <w:t>The following tables present the Company's regulatory capital position at June</w:t>
            </w:r>
          </w:p>
        </w:tc>
        <w:tc>
          <w:tcPr>
            <w:tcW w:w="980" w:type="dxa"/>
            <w:vAlign w:val="bottom"/>
          </w:tcPr>
          <w:p>
            <w:pPr>
              <w:spacing w:after="0"/>
              <w:rPr>
                <w:sz w:val="14"/>
                <w:szCs w:val="14"/>
                <w:color w:val="auto"/>
              </w:rPr>
            </w:pP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50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300" w:type="dxa"/>
            <w:vAlign w:val="bottom"/>
          </w:tcPr>
          <w:p>
            <w:pPr>
              <w:spacing w:after="0"/>
              <w:rPr>
                <w:sz w:val="24"/>
                <w:szCs w:val="24"/>
                <w:color w:val="auto"/>
              </w:rPr>
            </w:pPr>
          </w:p>
        </w:tc>
        <w:tc>
          <w:tcPr>
            <w:tcW w:w="5060" w:type="dxa"/>
            <w:vAlign w:val="bottom"/>
          </w:tcPr>
          <w:p>
            <w:pPr>
              <w:ind w:left="2080"/>
              <w:spacing w:after="0"/>
              <w:rPr>
                <w:sz w:val="20"/>
                <w:szCs w:val="20"/>
                <w:color w:val="auto"/>
              </w:rPr>
            </w:pPr>
            <w:r>
              <w:rPr>
                <w:rFonts w:ascii="Courier New" w:cs="Courier New" w:eastAsia="Courier New" w:hAnsi="Courier New"/>
                <w:sz w:val="15"/>
                <w:szCs w:val="15"/>
                <w:color w:val="auto"/>
              </w:rPr>
              <w:t>RISK-BASED CAPITAL RATIOS</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78"/>
        </w:trPr>
        <w:tc>
          <w:tcPr>
            <w:tcW w:w="3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AMOUNT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RATIO</w:t>
            </w:r>
          </w:p>
        </w:tc>
      </w:tr>
      <w:tr>
        <w:trPr>
          <w:trHeight w:val="170"/>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(dollars in thousands)</w:t>
            </w:r>
          </w:p>
        </w:tc>
      </w:tr>
      <w:tr>
        <w:trPr>
          <w:trHeight w:val="509"/>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Tier 1 Capital</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555,083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8.34%</w:t>
            </w: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Tier 1 Capital minimum requirement (1)</w:t>
            </w:r>
          </w:p>
        </w:tc>
        <w:tc>
          <w:tcPr>
            <w:tcW w:w="360" w:type="dxa"/>
            <w:vAlign w:val="bottom"/>
          </w:tcPr>
          <w:p>
            <w:pPr>
              <w:spacing w:after="0"/>
              <w:rPr>
                <w:sz w:val="14"/>
                <w:szCs w:val="14"/>
                <w:color w:val="auto"/>
              </w:rPr>
            </w:pP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266,285</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w:t>
            </w:r>
          </w:p>
        </w:tc>
      </w:tr>
      <w:tr>
        <w:trPr>
          <w:trHeight w:val="170"/>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00" w:type="dxa"/>
            <w:vAlign w:val="bottom"/>
          </w:tcPr>
          <w:p>
            <w:pPr>
              <w:spacing w:after="0"/>
              <w:rPr>
                <w:sz w:val="24"/>
                <w:szCs w:val="24"/>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5"/>
                <w:szCs w:val="15"/>
                <w:color w:val="auto"/>
              </w:rPr>
              <w:t>Excess</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288,798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r>
      <w:tr>
        <w:trPr>
          <w:trHeight w:val="170"/>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Total Capital</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788,313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11.84%</w:t>
            </w: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Total Capital minimum requirement (1)</w:t>
            </w:r>
          </w:p>
        </w:tc>
        <w:tc>
          <w:tcPr>
            <w:tcW w:w="360" w:type="dxa"/>
            <w:vAlign w:val="bottom"/>
          </w:tcPr>
          <w:p>
            <w:pPr>
              <w:spacing w:after="0"/>
              <w:rPr>
                <w:sz w:val="14"/>
                <w:szCs w:val="14"/>
                <w:color w:val="auto"/>
              </w:rPr>
            </w:pP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532,570</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00" w:type="dxa"/>
            <w:vAlign w:val="bottom"/>
          </w:tcPr>
          <w:p>
            <w:pPr>
              <w:spacing w:after="0"/>
              <w:rPr>
                <w:sz w:val="24"/>
                <w:szCs w:val="24"/>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5"/>
                <w:szCs w:val="15"/>
                <w:color w:val="auto"/>
              </w:rPr>
              <w:t>Excess</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255,743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3.84%</w:t>
            </w:r>
          </w:p>
        </w:tc>
      </w:tr>
      <w:tr>
        <w:trPr>
          <w:trHeight w:val="170"/>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Risk-weighted assets</w:t>
            </w:r>
          </w:p>
        </w:tc>
        <w:tc>
          <w:tcPr>
            <w:tcW w:w="1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$ 6,657,127</w:t>
            </w:r>
          </w:p>
        </w:tc>
        <w:tc>
          <w:tcPr>
            <w:tcW w:w="980" w:type="dxa"/>
            <w:vAlign w:val="bottom"/>
          </w:tcPr>
          <w:p>
            <w:pPr>
              <w:spacing w:after="0"/>
              <w:rPr>
                <w:sz w:val="24"/>
                <w:szCs w:val="24"/>
                <w:color w:val="auto"/>
              </w:rPr>
            </w:pPr>
          </w:p>
        </w:tc>
      </w:tr>
      <w:tr>
        <w:trPr>
          <w:trHeight w:val="170"/>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678"/>
        </w:trPr>
        <w:tc>
          <w:tcPr>
            <w:tcW w:w="300" w:type="dxa"/>
            <w:vAlign w:val="bottom"/>
          </w:tcPr>
          <w:p>
            <w:pPr>
              <w:spacing w:after="0"/>
              <w:rPr>
                <w:sz w:val="24"/>
                <w:szCs w:val="24"/>
                <w:color w:val="auto"/>
              </w:rPr>
            </w:pPr>
          </w:p>
        </w:tc>
        <w:tc>
          <w:tcPr>
            <w:tcW w:w="5060" w:type="dxa"/>
            <w:vAlign w:val="bottom"/>
          </w:tcPr>
          <w:p>
            <w:pPr>
              <w:ind w:left="2600"/>
              <w:spacing w:after="0"/>
              <w:rPr>
                <w:sz w:val="20"/>
                <w:szCs w:val="20"/>
                <w:color w:val="auto"/>
              </w:rPr>
            </w:pPr>
            <w:r>
              <w:rPr>
                <w:rFonts w:ascii="Courier New" w:cs="Courier New" w:eastAsia="Courier New" w:hAnsi="Courier New"/>
                <w:sz w:val="15"/>
                <w:szCs w:val="15"/>
                <w:color w:val="auto"/>
              </w:rPr>
              <w:t>LEVERAGE RATIO</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78"/>
        </w:trPr>
        <w:tc>
          <w:tcPr>
            <w:tcW w:w="3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AMOUNT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RATIO</w:t>
            </w:r>
          </w:p>
        </w:tc>
      </w:tr>
      <w:tr>
        <w:trPr>
          <w:trHeight w:val="170"/>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(dollars in thousands)</w:t>
            </w:r>
          </w:p>
        </w:tc>
      </w:tr>
      <w:tr>
        <w:trPr>
          <w:trHeight w:val="509"/>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Tier 1 Capital to average quarterly total assets</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00" w:type="dxa"/>
            <w:vAlign w:val="bottom"/>
          </w:tcPr>
          <w:p>
            <w:pPr>
              <w:spacing w:after="0"/>
              <w:rPr>
                <w:sz w:val="14"/>
                <w:szCs w:val="14"/>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5"/>
                <w:szCs w:val="15"/>
                <w:color w:val="auto"/>
              </w:rPr>
              <w:t>(net of certain intangibles)</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5"/>
                <w:szCs w:val="15"/>
                <w:color w:val="auto"/>
              </w:rPr>
              <w:t>Tier 1 Leverage Ratio</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555,083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7.46%</w:t>
            </w: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Minimum leverage requirement (2)</w:t>
            </w:r>
          </w:p>
        </w:tc>
        <w:tc>
          <w:tcPr>
            <w:tcW w:w="360" w:type="dxa"/>
            <w:vAlign w:val="bottom"/>
          </w:tcPr>
          <w:p>
            <w:pPr>
              <w:spacing w:after="0"/>
              <w:rPr>
                <w:sz w:val="14"/>
                <w:szCs w:val="14"/>
                <w:color w:val="auto"/>
              </w:rPr>
            </w:pP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223,345</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00" w:type="dxa"/>
            <w:vAlign w:val="bottom"/>
          </w:tcPr>
          <w:p>
            <w:pPr>
              <w:spacing w:after="0"/>
              <w:rPr>
                <w:sz w:val="24"/>
                <w:szCs w:val="24"/>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5"/>
                <w:szCs w:val="15"/>
                <w:color w:val="auto"/>
              </w:rPr>
              <w:t>Excess</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331,738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170"/>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Average quarterly total assets (net of certain intangibles)</w:t>
            </w:r>
          </w:p>
        </w:tc>
        <w:tc>
          <w:tcPr>
            <w:tcW w:w="1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$ 7,444,817</w:t>
            </w:r>
          </w:p>
        </w:tc>
        <w:tc>
          <w:tcPr>
            <w:tcW w:w="980" w:type="dxa"/>
            <w:vAlign w:val="bottom"/>
          </w:tcPr>
          <w:p>
            <w:pPr>
              <w:spacing w:after="0"/>
              <w:rPr>
                <w:sz w:val="24"/>
                <w:szCs w:val="24"/>
                <w:color w:val="auto"/>
              </w:rPr>
            </w:pPr>
          </w:p>
        </w:tc>
      </w:tr>
      <w:tr>
        <w:trPr>
          <w:trHeight w:val="170"/>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bl>
    <w:p>
      <w:pPr>
        <w:spacing w:after="0" w:line="344" w:lineRule="exact"/>
        <w:rPr>
          <w:sz w:val="20"/>
          <w:szCs w:val="20"/>
          <w:color w:val="auto"/>
        </w:rPr>
      </w:pPr>
    </w:p>
    <w:p>
      <w:pPr>
        <w:ind w:left="790" w:right="3539" w:hanging="790"/>
        <w:spacing w:after="0" w:line="237" w:lineRule="auto"/>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Risk-based capital guidelines as established by the Federal Reserve Board for bank holding companies require minimum Tier 1 and Total capital ratios of 4% and 8%, respectively.</w:t>
      </w:r>
    </w:p>
    <w:p>
      <w:pPr>
        <w:spacing w:after="0" w:line="174" w:lineRule="exact"/>
        <w:rPr>
          <w:rFonts w:ascii="Courier New" w:cs="Courier New" w:eastAsia="Courier New" w:hAnsi="Courier New"/>
          <w:sz w:val="15"/>
          <w:szCs w:val="15"/>
          <w:color w:val="auto"/>
        </w:rPr>
      </w:pPr>
    </w:p>
    <w:p>
      <w:pPr>
        <w:ind w:left="790" w:right="3259" w:hanging="790"/>
        <w:spacing w:after="0" w:line="237" w:lineRule="auto"/>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Federal Reserve Board has stated that the Leverage Ratio of 3% is the minimum requirement for the most highly rated banking organizations which are not experiencing or anticipating significant growth. Other banking organizations are expected to maintain leverage ratios of at least one to two percent higher.</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283"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33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5" w:lineRule="exact"/>
        <w:rPr>
          <w:sz w:val="20"/>
          <w:szCs w:val="20"/>
          <w:color w:val="auto"/>
        </w:rPr>
      </w:pPr>
    </w:p>
    <w:p>
      <w:pPr>
        <w:ind w:left="880" w:right="3619"/>
        <w:spacing w:after="0" w:line="235" w:lineRule="auto"/>
        <w:rPr>
          <w:sz w:val="20"/>
          <w:szCs w:val="20"/>
          <w:color w:val="auto"/>
        </w:rPr>
      </w:pPr>
      <w:r>
        <w:rPr>
          <w:rFonts w:ascii="Courier New" w:cs="Courier New" w:eastAsia="Courier New" w:hAnsi="Courier New"/>
          <w:sz w:val="15"/>
          <w:szCs w:val="15"/>
          <w:color w:val="auto"/>
        </w:rPr>
        <w:t>At the annual meeting of stockholders held on April 18, 1996, the stockholders voted on the following matters:</w:t>
      </w:r>
    </w:p>
    <w:p>
      <w:pPr>
        <w:spacing w:after="0" w:line="176" w:lineRule="exact"/>
        <w:rPr>
          <w:sz w:val="20"/>
          <w:szCs w:val="20"/>
          <w:color w:val="auto"/>
        </w:rPr>
      </w:pPr>
    </w:p>
    <w:p>
      <w:pPr>
        <w:ind w:left="1480" w:right="3799" w:hanging="608"/>
        <w:spacing w:after="0" w:line="237" w:lineRule="auto"/>
        <w:tabs>
          <w:tab w:leader="none" w:pos="14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 the total number of Directors at fifteen: for - 29,067,239 (99.1%), against - 114,013 (.4%), abstained - 157,738 (.5%) and unvoted - 10,007 (-%).</w:t>
      </w:r>
    </w:p>
    <w:p>
      <w:pPr>
        <w:spacing w:after="0" w:line="174" w:lineRule="exact"/>
        <w:rPr>
          <w:rFonts w:ascii="Courier New" w:cs="Courier New" w:eastAsia="Courier New" w:hAnsi="Courier New"/>
          <w:sz w:val="15"/>
          <w:szCs w:val="15"/>
          <w:color w:val="auto"/>
        </w:rPr>
      </w:pPr>
    </w:p>
    <w:p>
      <w:pPr>
        <w:jc w:val="both"/>
        <w:ind w:left="1480" w:right="3359" w:hanging="608"/>
        <w:spacing w:after="0" w:line="265" w:lineRule="auto"/>
        <w:tabs>
          <w:tab w:leader="none" w:pos="14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five directors for a term of three years expiring in 1999, or until their successors are elected and qualified:</w:t>
      </w:r>
    </w:p>
    <w:p>
      <w:pPr>
        <w:spacing w:after="0" w:line="200" w:lineRule="exact"/>
        <w:rPr>
          <w:sz w:val="20"/>
          <w:szCs w:val="20"/>
          <w:color w:val="auto"/>
        </w:rPr>
      </w:pPr>
    </w:p>
    <w:p>
      <w:pPr>
        <w:spacing w:after="0" w:line="292"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Votes</w:t>
            </w:r>
          </w:p>
        </w:tc>
        <w:tc>
          <w:tcPr>
            <w:tcW w:w="66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5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60" w:type="dxa"/>
            <w:vAlign w:val="bottom"/>
          </w:tcPr>
          <w:p>
            <w:pPr>
              <w:ind w:left="280"/>
              <w:spacing w:after="0"/>
              <w:rPr>
                <w:sz w:val="20"/>
                <w:szCs w:val="20"/>
                <w:color w:val="auto"/>
              </w:rPr>
            </w:pPr>
            <w:r>
              <w:rPr>
                <w:rFonts w:ascii="Courier New" w:cs="Courier New" w:eastAsia="Courier New" w:hAnsi="Courier New"/>
                <w:sz w:val="15"/>
                <w:szCs w:val="15"/>
                <w:color w:val="auto"/>
              </w:rPr>
              <w:t>Name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c>
          <w:tcPr>
            <w:tcW w:w="800" w:type="dxa"/>
            <w:vAlign w:val="bottom"/>
          </w:tcPr>
          <w:p>
            <w:pPr>
              <w:spacing w:after="0"/>
              <w:rPr>
                <w:sz w:val="14"/>
                <w:szCs w:val="14"/>
                <w:color w:val="auto"/>
              </w:rPr>
            </w:pPr>
          </w:p>
        </w:tc>
        <w:tc>
          <w:tcPr>
            <w:tcW w:w="27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Withheld</w:t>
            </w:r>
          </w:p>
        </w:tc>
      </w:tr>
      <w:tr>
        <w:trPr>
          <w:trHeight w:val="170"/>
        </w:trPr>
        <w:tc>
          <w:tcPr>
            <w:tcW w:w="2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27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2160" w:type="dxa"/>
            <w:vAlign w:val="bottom"/>
          </w:tcPr>
          <w:p>
            <w:pPr>
              <w:spacing w:after="0"/>
              <w:rPr>
                <w:sz w:val="20"/>
                <w:szCs w:val="20"/>
                <w:color w:val="auto"/>
              </w:rPr>
            </w:pPr>
            <w:r>
              <w:rPr>
                <w:rFonts w:ascii="Courier New" w:cs="Courier New" w:eastAsia="Courier New" w:hAnsi="Courier New"/>
                <w:sz w:val="15"/>
                <w:szCs w:val="15"/>
                <w:color w:val="auto"/>
              </w:rPr>
              <w:t>Walter A. Dods, Jr.</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29,229,039</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(99.6%)</w:t>
            </w:r>
          </w:p>
        </w:tc>
        <w:tc>
          <w:tcPr>
            <w:tcW w:w="2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119,954</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Paul Mullin Ganley</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29,224,790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(99.6%)</w:t>
            </w:r>
          </w:p>
        </w:tc>
        <w:tc>
          <w:tcPr>
            <w:tcW w:w="2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124,203</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Dr. Richard T. Mamiya</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29,229,918</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(99.6%)</w:t>
            </w:r>
          </w:p>
        </w:tc>
        <w:tc>
          <w:tcPr>
            <w:tcW w:w="2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119,073</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Dr. Fujio Matsuda</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29,227,731</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(99.6%)</w:t>
            </w:r>
          </w:p>
        </w:tc>
        <w:tc>
          <w:tcPr>
            <w:tcW w:w="2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121,261</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George P. Shea, Jr.</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29,229,524</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(99.6%)</w:t>
            </w:r>
          </w:p>
        </w:tc>
        <w:tc>
          <w:tcPr>
            <w:tcW w:w="2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119,469</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bl>
    <w:p>
      <w:pPr>
        <w:spacing w:after="0" w:line="33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There were no abstentions or unvoted shares.</w:t>
      </w:r>
    </w:p>
    <w:p>
      <w:pPr>
        <w:spacing w:after="0" w:line="175" w:lineRule="exact"/>
        <w:rPr>
          <w:sz w:val="20"/>
          <w:szCs w:val="20"/>
          <w:color w:val="auto"/>
        </w:rPr>
      </w:pPr>
    </w:p>
    <w:p>
      <w:pPr>
        <w:ind w:left="1480" w:right="3259" w:hanging="608"/>
        <w:spacing w:after="0" w:line="237" w:lineRule="auto"/>
        <w:tabs>
          <w:tab w:leader="none" w:pos="14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the Corporation's Certificate of Incorporation to increase the number of shares of authorized stock by authorizing 50,000,000 shares of a new class of preferred stock, par value $5.00 per share: for - 24,850,183 (84.7%), against - 4,498,814 (15.3%).</w:t>
      </w:r>
    </w:p>
    <w:p>
      <w:pPr>
        <w:spacing w:after="0" w:line="178" w:lineRule="exact"/>
        <w:rPr>
          <w:rFonts w:ascii="Courier New" w:cs="Courier New" w:eastAsia="Courier New" w:hAnsi="Courier New"/>
          <w:sz w:val="15"/>
          <w:szCs w:val="15"/>
          <w:color w:val="auto"/>
        </w:rPr>
      </w:pPr>
    </w:p>
    <w:p>
      <w:pPr>
        <w:jc w:val="both"/>
        <w:ind w:left="1480" w:right="3259" w:hanging="608"/>
        <w:spacing w:after="0" w:line="256" w:lineRule="auto"/>
        <w:tabs>
          <w:tab w:leader="none" w:pos="14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Coopers &amp; Lybrand as the Auditor of the Company to serve for the ensuing year: for - 29,155,971 (99.3%), against - 49,272 (.2%), abstained - 143,744 (.5%) and unvoted - 10</w:t>
      </w:r>
    </w:p>
    <w:p>
      <w:pPr>
        <w:ind w:left="1480"/>
        <w:spacing w:after="0" w:line="233" w:lineRule="auto"/>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1480" w:hanging="608"/>
        <w:spacing w:after="0"/>
        <w:tabs>
          <w:tab w:leader="none" w:pos="14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rFonts w:ascii="Courier New" w:cs="Courier New" w:eastAsia="Courier New" w:hAnsi="Courier New"/>
          <w:sz w:val="15"/>
          <w:szCs w:val="15"/>
          <w:color w:val="auto"/>
        </w:rPr>
      </w:pPr>
    </w:p>
    <w:p>
      <w:pPr>
        <w:ind w:left="1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12</w:t>
      </w:r>
      <w:r>
        <w:rPr>
          <w:rFonts w:ascii="Courier New" w:cs="Courier New" w:eastAsia="Courier New" w:hAnsi="Courier New"/>
          <w:sz w:val="14"/>
          <w:szCs w:val="14"/>
          <w:color w:val="auto"/>
        </w:rPr>
        <w:t>Statement regarding computation of ratios.</w:t>
      </w:r>
    </w:p>
    <w:p>
      <w:pPr>
        <w:spacing w:after="0" w:line="169" w:lineRule="exact"/>
        <w:rPr>
          <w:rFonts w:ascii="Courier New" w:cs="Courier New" w:eastAsia="Courier New" w:hAnsi="Courier New"/>
          <w:sz w:val="15"/>
          <w:szCs w:val="15"/>
          <w:color w:val="auto"/>
        </w:rPr>
      </w:pPr>
    </w:p>
    <w:p>
      <w:pPr>
        <w:ind w:left="1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27</w:t>
      </w:r>
      <w:r>
        <w:rPr>
          <w:rFonts w:ascii="Courier New" w:cs="Courier New" w:eastAsia="Courier New" w:hAnsi="Courier New"/>
          <w:sz w:val="14"/>
          <w:szCs w:val="14"/>
          <w:color w:val="auto"/>
        </w:rPr>
        <w:t>Financial data schedule</w:t>
      </w:r>
    </w:p>
    <w:p>
      <w:pPr>
        <w:spacing w:after="0" w:line="174" w:lineRule="exact"/>
        <w:rPr>
          <w:rFonts w:ascii="Courier New" w:cs="Courier New" w:eastAsia="Courier New" w:hAnsi="Courier New"/>
          <w:sz w:val="15"/>
          <w:szCs w:val="15"/>
          <w:color w:val="auto"/>
        </w:rPr>
      </w:pPr>
    </w:p>
    <w:p>
      <w:pPr>
        <w:ind w:left="1480" w:right="3259" w:hanging="608"/>
        <w:spacing w:after="0" w:line="235" w:lineRule="auto"/>
        <w:tabs>
          <w:tab w:leader="none" w:pos="14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 No reports on Form 8-K were filed during the quarter ended June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FIRST HAWAIIAN, INC.</w:t>
      </w:r>
    </w:p>
    <w:p>
      <w:pPr>
        <w:ind w:left="360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firstLine="264"/>
        <w:spacing w:after="0" w:line="235" w:lineRule="auto"/>
        <w:rPr>
          <w:sz w:val="20"/>
          <w:szCs w:val="20"/>
          <w:color w:val="auto"/>
        </w:rPr>
      </w:pPr>
      <w:r>
        <w:rPr>
          <w:rFonts w:ascii="Courier New" w:cs="Courier New" w:eastAsia="Courier New" w:hAnsi="Courier New"/>
          <w:sz w:val="15"/>
          <w:szCs w:val="15"/>
          <w:color w:val="auto"/>
        </w:rPr>
        <w:t>August 12, 1996 ----------------------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 HOWARD H. KARR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HOWARD H. KARR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 TREASURER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4">
            <w:col w:w="340" w:space="260"/>
            <w:col w:w="1940" w:space="620"/>
            <w:col w:w="180" w:space="180"/>
            <w:col w:w="6699"/>
          </w:cols>
          <w:pgMar w:left="24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type w:val="continuous"/>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23</w:t>
      </w:r>
    </w:p>
    <w:tbl>
      <w:tblPr>
        <w:tblLayout w:type="fixed"/>
        <w:tblInd w:w="26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4140" w:type="dxa"/>
            <w:vAlign w:val="bottom"/>
          </w:tcPr>
          <w:p>
            <w:pPr>
              <w:ind w:left="1620"/>
              <w:spacing w:after="0"/>
              <w:rPr>
                <w:sz w:val="20"/>
                <w:szCs w:val="20"/>
                <w:color w:val="auto"/>
              </w:rPr>
            </w:pPr>
            <w:r>
              <w:rPr>
                <w:rFonts w:ascii="Courier New" w:cs="Courier New" w:eastAsia="Courier New" w:hAnsi="Courier New"/>
                <w:sz w:val="15"/>
                <w:szCs w:val="15"/>
                <w:color w:val="auto"/>
              </w:rPr>
              <w:t>EXHIBIT INDEX</w:t>
            </w:r>
          </w:p>
        </w:tc>
        <w:tc>
          <w:tcPr>
            <w:tcW w:w="740" w:type="dxa"/>
            <w:vAlign w:val="bottom"/>
          </w:tcPr>
          <w:p>
            <w:pPr>
              <w:spacing w:after="0"/>
              <w:rPr>
                <w:sz w:val="14"/>
                <w:szCs w:val="14"/>
                <w:color w:val="auto"/>
              </w:rPr>
            </w:pPr>
          </w:p>
        </w:tc>
      </w:tr>
      <w:tr>
        <w:trPr>
          <w:trHeight w:val="848"/>
        </w:trPr>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EXHIBIT</w:t>
            </w:r>
          </w:p>
        </w:tc>
        <w:tc>
          <w:tcPr>
            <w:tcW w:w="41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w:t>
            </w:r>
          </w:p>
        </w:tc>
        <w:tc>
          <w:tcPr>
            <w:tcW w:w="4140" w:type="dxa"/>
            <w:vAlign w:val="bottom"/>
          </w:tcPr>
          <w:p>
            <w:pPr>
              <w:ind w:left="1540"/>
              <w:spacing w:after="0"/>
              <w:rPr>
                <w:sz w:val="20"/>
                <w:szCs w:val="20"/>
                <w:color w:val="auto"/>
              </w:rPr>
            </w:pPr>
            <w:r>
              <w:rPr>
                <w:rFonts w:ascii="Courier New" w:cs="Courier New" w:eastAsia="Courier New" w:hAnsi="Courier New"/>
                <w:sz w:val="15"/>
                <w:szCs w:val="15"/>
                <w:color w:val="auto"/>
              </w:rPr>
              <w:t>DESCRIPTION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r>
      <w:tr>
        <w:trPr>
          <w:trHeight w:val="170"/>
        </w:trPr>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w:t>
            </w:r>
          </w:p>
        </w:tc>
        <w:tc>
          <w:tcPr>
            <w:tcW w:w="41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12</w:t>
            </w:r>
          </w:p>
        </w:tc>
        <w:tc>
          <w:tcPr>
            <w:tcW w:w="4140" w:type="dxa"/>
            <w:vAlign w:val="bottom"/>
          </w:tcPr>
          <w:p>
            <w:pPr>
              <w:ind w:left="220"/>
              <w:spacing w:after="0"/>
              <w:rPr>
                <w:sz w:val="20"/>
                <w:szCs w:val="20"/>
                <w:color w:val="auto"/>
              </w:rPr>
            </w:pPr>
            <w:r>
              <w:rPr>
                <w:rFonts w:ascii="Courier New" w:cs="Courier New" w:eastAsia="Courier New" w:hAnsi="Courier New"/>
                <w:sz w:val="15"/>
                <w:szCs w:val="15"/>
                <w:color w:val="auto"/>
              </w:rPr>
              <w:t>Statement regarding computation of ratios.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339"/>
        </w:trPr>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27</w:t>
            </w:r>
          </w:p>
        </w:tc>
        <w:tc>
          <w:tcPr>
            <w:tcW w:w="4140" w:type="dxa"/>
            <w:vAlign w:val="bottom"/>
          </w:tcPr>
          <w:p>
            <w:pPr>
              <w:ind w:left="220"/>
              <w:spacing w:after="0"/>
              <w:rPr>
                <w:sz w:val="20"/>
                <w:szCs w:val="20"/>
                <w:color w:val="auto"/>
              </w:rPr>
            </w:pPr>
            <w:r>
              <w:rPr>
                <w:rFonts w:ascii="Courier New" w:cs="Courier New" w:eastAsia="Courier New" w:hAnsi="Courier New"/>
                <w:sz w:val="15"/>
                <w:szCs w:val="15"/>
                <w:color w:val="auto"/>
              </w:rPr>
              <w:t>Financial data schedule</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r>
    </w:tbl>
    <w:p>
      <w:pPr>
        <w:sectPr>
          <w:pgSz w:w="11900" w:h="16838" w:orient="portrait"/>
          <w:cols w:equalWidth="0" w:num="1">
            <w:col w:w="9959"/>
          </w:cols>
          <w:pgMar w:left="500" w:top="283" w:right="1440" w:bottom="144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EXHIBIT 12.</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STATEMENT RE:</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COMPUTATION OF RATIOS</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8"/>
        </w:trPr>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2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7"/>
              </w:rPr>
              <w:t>First Hawaiian, Inc. and Subsidiaries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3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Computation of Consolidated Ratios of Earnings to Fixed Charges</w:t>
            </w:r>
          </w:p>
        </w:tc>
      </w:tr>
      <w:tr>
        <w:trPr>
          <w:trHeight w:val="509"/>
        </w:trPr>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QUARTER ENDED</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58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spacing w:after="0"/>
              <w:rPr>
                <w:sz w:val="14"/>
                <w:szCs w:val="14"/>
                <w:color w:val="auto"/>
              </w:rPr>
            </w:pP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4"/>
              </w:rPr>
              <w:t>1995</w:t>
            </w:r>
          </w:p>
        </w:tc>
        <w:tc>
          <w:tcPr>
            <w:tcW w:w="540" w:type="dxa"/>
            <w:vAlign w:val="bottom"/>
          </w:tcPr>
          <w:p>
            <w:pPr>
              <w:spacing w:after="0"/>
              <w:rPr>
                <w:sz w:val="14"/>
                <w:szCs w:val="14"/>
                <w:color w:val="auto"/>
              </w:rPr>
            </w:pPr>
          </w:p>
        </w:tc>
        <w:tc>
          <w:tcPr>
            <w:tcW w:w="13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1995</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2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(dollars in thousands)</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32,331</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29,441</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61,591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58,492</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50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charges:(1)</w:t>
            </w: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2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60,548</w:t>
            </w:r>
          </w:p>
        </w:tc>
        <w:tc>
          <w:tcPr>
            <w:tcW w:w="80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70,228</w:t>
            </w:r>
          </w:p>
        </w:tc>
        <w:tc>
          <w:tcPr>
            <w:tcW w:w="5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120,307</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136,069</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Rental expense</w:t>
            </w:r>
          </w:p>
        </w:tc>
        <w:tc>
          <w:tcPr>
            <w:tcW w:w="2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1,174</w:t>
            </w:r>
          </w:p>
        </w:tc>
        <w:tc>
          <w:tcPr>
            <w:tcW w:w="80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1,295</w:t>
            </w:r>
          </w:p>
        </w:tc>
        <w:tc>
          <w:tcPr>
            <w:tcW w:w="5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2,376</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2,506</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61,722</w:t>
            </w:r>
          </w:p>
        </w:tc>
        <w:tc>
          <w:tcPr>
            <w:tcW w:w="80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71,523</w:t>
            </w:r>
          </w:p>
        </w:tc>
        <w:tc>
          <w:tcPr>
            <w:tcW w:w="5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122,683</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138,575</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Less interest on deposits</w:t>
            </w:r>
          </w:p>
        </w:tc>
        <w:tc>
          <w:tcPr>
            <w:tcW w:w="2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42,955</w:t>
            </w:r>
          </w:p>
        </w:tc>
        <w:tc>
          <w:tcPr>
            <w:tcW w:w="80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45,956</w:t>
            </w:r>
          </w:p>
        </w:tc>
        <w:tc>
          <w:tcPr>
            <w:tcW w:w="5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85,004</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88,105</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fixed charges</w:t>
            </w:r>
          </w:p>
        </w:tc>
        <w:tc>
          <w:tcPr>
            <w:tcW w:w="20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18,767</w:t>
            </w:r>
          </w:p>
        </w:tc>
        <w:tc>
          <w:tcPr>
            <w:tcW w:w="80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25,567</w:t>
            </w:r>
          </w:p>
        </w:tc>
        <w:tc>
          <w:tcPr>
            <w:tcW w:w="540" w:type="dxa"/>
            <w:vAlign w:val="bottom"/>
          </w:tcPr>
          <w:p>
            <w:pPr>
              <w:spacing w:after="0"/>
              <w:rPr>
                <w:sz w:val="24"/>
                <w:szCs w:val="2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37,679</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50,470</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Earnings, excluding</w:t>
            </w: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25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interest on deposits</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51,098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55,008</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99,270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108,962</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Earnings, including</w:t>
            </w: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25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interest on deposits</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94,053</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100,964</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184,274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197,067</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bl>
    <w:p>
      <w:pPr>
        <w:spacing w:after="0" w:line="175" w:lineRule="exact"/>
        <w:rPr>
          <w:sz w:val="20"/>
          <w:szCs w:val="20"/>
          <w:color w:val="auto"/>
        </w:rPr>
      </w:pPr>
    </w:p>
    <w:p>
      <w:pPr>
        <w:jc w:val="center"/>
        <w:ind w:right="8450"/>
        <w:spacing w:after="0"/>
        <w:rPr>
          <w:sz w:val="20"/>
          <w:szCs w:val="20"/>
          <w:color w:val="auto"/>
        </w:rPr>
      </w:pPr>
      <w:r>
        <w:rPr>
          <w:rFonts w:ascii="Courier New" w:cs="Courier New" w:eastAsia="Courier New" w:hAnsi="Courier New"/>
          <w:sz w:val="14"/>
          <w:szCs w:val="14"/>
          <w:color w:val="auto"/>
        </w:rPr>
        <w:t>Ratio of earnings to</w:t>
      </w:r>
    </w:p>
    <w:p>
      <w:pPr>
        <w:spacing w:after="0" w:line="5" w:lineRule="exact"/>
        <w:rPr>
          <w:sz w:val="20"/>
          <w:szCs w:val="20"/>
          <w:color w:val="auto"/>
        </w:rPr>
      </w:pPr>
    </w:p>
    <w:p>
      <w:pPr>
        <w:jc w:val="center"/>
        <w:ind w:right="8450"/>
        <w:spacing w:after="0"/>
        <w:rPr>
          <w:sz w:val="20"/>
          <w:szCs w:val="20"/>
          <w:color w:val="auto"/>
        </w:rPr>
      </w:pPr>
      <w:r>
        <w:rPr>
          <w:rFonts w:ascii="Courier New" w:cs="Courier New" w:eastAsia="Courier New" w:hAnsi="Courier New"/>
          <w:sz w:val="15"/>
          <w:szCs w:val="15"/>
          <w:color w:val="auto"/>
        </w:rPr>
        <w:t>fixed charges:</w:t>
      </w:r>
    </w:p>
    <w:p>
      <w:pPr>
        <w:spacing w:after="0" w:line="169"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Excluding</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interest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deposits</w:t>
            </w:r>
          </w:p>
        </w:tc>
        <w:tc>
          <w:tcPr>
            <w:tcW w:w="1980" w:type="dxa"/>
            <w:vAlign w:val="bottom"/>
          </w:tcPr>
          <w:p>
            <w:pPr>
              <w:ind w:left="1060"/>
              <w:spacing w:after="0"/>
              <w:rPr>
                <w:sz w:val="20"/>
                <w:szCs w:val="20"/>
                <w:color w:val="auto"/>
              </w:rPr>
            </w:pPr>
            <w:r>
              <w:rPr>
                <w:rFonts w:ascii="Courier New" w:cs="Courier New" w:eastAsia="Courier New" w:hAnsi="Courier New"/>
                <w:sz w:val="15"/>
                <w:szCs w:val="15"/>
                <w:color w:val="auto"/>
              </w:rPr>
              <w:t>2.72X</w:t>
            </w:r>
          </w:p>
        </w:tc>
        <w:tc>
          <w:tcPr>
            <w:tcW w:w="1500" w:type="dxa"/>
            <w:vAlign w:val="bottom"/>
          </w:tcPr>
          <w:p>
            <w:pPr>
              <w:ind w:left="480"/>
              <w:spacing w:after="0"/>
              <w:rPr>
                <w:sz w:val="20"/>
                <w:szCs w:val="20"/>
                <w:color w:val="auto"/>
              </w:rPr>
            </w:pPr>
            <w:r>
              <w:rPr>
                <w:rFonts w:ascii="Courier New" w:cs="Courier New" w:eastAsia="Courier New" w:hAnsi="Courier New"/>
                <w:sz w:val="15"/>
                <w:szCs w:val="15"/>
                <w:color w:val="auto"/>
              </w:rPr>
              <w:t>2.15x</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2.63X</w:t>
            </w:r>
          </w:p>
        </w:tc>
        <w:tc>
          <w:tcPr>
            <w:tcW w:w="980" w:type="dxa"/>
            <w:vAlign w:val="bottom"/>
          </w:tcPr>
          <w:p>
            <w:pPr>
              <w:ind w:left="520"/>
              <w:spacing w:after="0"/>
              <w:rPr>
                <w:sz w:val="20"/>
                <w:szCs w:val="20"/>
                <w:color w:val="auto"/>
              </w:rPr>
            </w:pPr>
            <w:r>
              <w:rPr>
                <w:rFonts w:ascii="Courier New" w:cs="Courier New" w:eastAsia="Courier New" w:hAnsi="Courier New"/>
                <w:sz w:val="15"/>
                <w:szCs w:val="15"/>
                <w:color w:val="auto"/>
                <w:w w:val="97"/>
              </w:rPr>
              <w:t>2.16x</w:t>
            </w:r>
          </w:p>
        </w:tc>
      </w:tr>
      <w:tr>
        <w:trPr>
          <w:trHeight w:val="339"/>
        </w:trPr>
        <w:tc>
          <w:tcPr>
            <w:tcW w:w="840" w:type="dxa"/>
            <w:vAlign w:val="bottom"/>
          </w:tcPr>
          <w:p>
            <w:pPr>
              <w:spacing w:after="0"/>
              <w:rPr>
                <w:sz w:val="20"/>
                <w:szCs w:val="20"/>
                <w:color w:val="auto"/>
              </w:rPr>
            </w:pPr>
            <w:r>
              <w:rPr>
                <w:rFonts w:ascii="Courier New" w:cs="Courier New" w:eastAsia="Courier New" w:hAnsi="Courier New"/>
                <w:sz w:val="15"/>
                <w:szCs w:val="15"/>
                <w:color w:val="auto"/>
              </w:rPr>
              <w:t>Including</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interest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deposits</w:t>
            </w:r>
          </w:p>
        </w:tc>
        <w:tc>
          <w:tcPr>
            <w:tcW w:w="1980" w:type="dxa"/>
            <w:vAlign w:val="bottom"/>
          </w:tcPr>
          <w:p>
            <w:pPr>
              <w:ind w:left="1060"/>
              <w:spacing w:after="0"/>
              <w:rPr>
                <w:sz w:val="20"/>
                <w:szCs w:val="20"/>
                <w:color w:val="auto"/>
              </w:rPr>
            </w:pPr>
            <w:r>
              <w:rPr>
                <w:rFonts w:ascii="Courier New" w:cs="Courier New" w:eastAsia="Courier New" w:hAnsi="Courier New"/>
                <w:sz w:val="15"/>
                <w:szCs w:val="15"/>
                <w:color w:val="auto"/>
              </w:rPr>
              <w:t>1.52X</w:t>
            </w:r>
          </w:p>
        </w:tc>
        <w:tc>
          <w:tcPr>
            <w:tcW w:w="1500" w:type="dxa"/>
            <w:vAlign w:val="bottom"/>
          </w:tcPr>
          <w:p>
            <w:pPr>
              <w:ind w:left="480"/>
              <w:spacing w:after="0"/>
              <w:rPr>
                <w:sz w:val="20"/>
                <w:szCs w:val="20"/>
                <w:color w:val="auto"/>
              </w:rPr>
            </w:pPr>
            <w:r>
              <w:rPr>
                <w:rFonts w:ascii="Courier New" w:cs="Courier New" w:eastAsia="Courier New" w:hAnsi="Courier New"/>
                <w:sz w:val="15"/>
                <w:szCs w:val="15"/>
                <w:color w:val="auto"/>
              </w:rPr>
              <w:t>1.41x</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1.50X</w:t>
            </w:r>
          </w:p>
        </w:tc>
        <w:tc>
          <w:tcPr>
            <w:tcW w:w="980" w:type="dxa"/>
            <w:vAlign w:val="bottom"/>
          </w:tcPr>
          <w:p>
            <w:pPr>
              <w:ind w:left="520"/>
              <w:spacing w:after="0"/>
              <w:rPr>
                <w:sz w:val="20"/>
                <w:szCs w:val="20"/>
                <w:color w:val="auto"/>
              </w:rPr>
            </w:pPr>
            <w:r>
              <w:rPr>
                <w:rFonts w:ascii="Courier New" w:cs="Courier New" w:eastAsia="Courier New" w:hAnsi="Courier New"/>
                <w:sz w:val="15"/>
                <w:szCs w:val="15"/>
                <w:color w:val="auto"/>
                <w:w w:val="97"/>
              </w:rPr>
              <w:t>1.42x</w:t>
            </w:r>
          </w:p>
        </w:tc>
      </w:tr>
    </w:tbl>
    <w:p>
      <w:pPr>
        <w:spacing w:after="0" w:line="200" w:lineRule="exact"/>
        <w:rPr>
          <w:sz w:val="20"/>
          <w:szCs w:val="20"/>
          <w:color w:val="auto"/>
        </w:rPr>
      </w:pPr>
    </w:p>
    <w:p>
      <w:pPr>
        <w:spacing w:after="0" w:line="314" w:lineRule="exact"/>
        <w:rPr>
          <w:sz w:val="20"/>
          <w:szCs w:val="20"/>
          <w:color w:val="auto"/>
        </w:rPr>
      </w:pPr>
    </w:p>
    <w:p>
      <w:pPr>
        <w:ind w:left="610" w:right="3259" w:hanging="610"/>
        <w:spacing w:after="0" w:line="238" w:lineRule="auto"/>
        <w:tabs>
          <w:tab w:leader="none" w:pos="61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computing the above ratios, earnings represent income before income taxes plus fixed charges. Fixed charges, excluding interest on deposits, include interest (other than on deposits), whether expensed or capitalized, and that portion of rental expense (generally one third) deemed representative of the interest factor. Fixed charges, including interest on deposits, include all interest, whether expensed or capitalized, and that portion of rental expense (generally one third) deemed representative of the interest factor.</w:t>
      </w:r>
    </w:p>
    <w:p>
      <w:pPr>
        <w:sectPr>
          <w:pgSz w:w="11900" w:h="16838" w:orient="portrait"/>
          <w:cols w:equalWidth="0" w:num="1">
            <w:col w:w="10229"/>
          </w:cols>
          <w:pgMar w:left="230" w:top="136"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9</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6-MOS</w:t>
      </w:r>
    </w:p>
    <w:p>
      <w:pPr>
        <w:ind w:left="2200"/>
        <w:spacing w:after="0"/>
        <w:rPr>
          <w:sz w:val="20"/>
          <w:szCs w:val="20"/>
          <w:color w:val="auto"/>
        </w:rPr>
      </w:pPr>
      <w:r>
        <w:rPr>
          <w:rFonts w:ascii="Courier New" w:cs="Courier New" w:eastAsia="Courier New" w:hAnsi="Courier New"/>
          <w:sz w:val="15"/>
          <w:szCs w:val="15"/>
          <w:color w:val="auto"/>
        </w:rPr>
        <w:t>DEC-31-1996</w:t>
      </w:r>
    </w:p>
    <w:p>
      <w:pPr>
        <w:ind w:left="2460"/>
        <w:spacing w:after="0"/>
        <w:rPr>
          <w:sz w:val="20"/>
          <w:szCs w:val="20"/>
          <w:color w:val="auto"/>
        </w:rPr>
      </w:pPr>
      <w:r>
        <w:rPr>
          <w:rFonts w:ascii="Courier New" w:cs="Courier New" w:eastAsia="Courier New" w:hAnsi="Courier New"/>
          <w:sz w:val="15"/>
          <w:szCs w:val="15"/>
          <w:color w:val="auto"/>
        </w:rPr>
        <w:t>JAN-01-1996</w:t>
      </w:r>
    </w:p>
    <w:p>
      <w:pPr>
        <w:ind w:left="2640"/>
        <w:spacing w:after="0" w:line="238" w:lineRule="auto"/>
        <w:rPr>
          <w:sz w:val="20"/>
          <w:szCs w:val="20"/>
          <w:color w:val="auto"/>
        </w:rPr>
      </w:pPr>
      <w:r>
        <w:rPr>
          <w:rFonts w:ascii="Courier New" w:cs="Courier New" w:eastAsia="Courier New" w:hAnsi="Courier New"/>
          <w:sz w:val="15"/>
          <w:szCs w:val="15"/>
          <w:color w:val="auto"/>
        </w:rPr>
        <w:t>JUN-30-1996</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261,353</w:t>
      </w:r>
    </w:p>
    <w:p>
      <w:pPr>
        <w:spacing w:after="0" w:line="5" w:lineRule="exact"/>
        <w:rPr>
          <w:sz w:val="20"/>
          <w:szCs w:val="20"/>
          <w:color w:val="auto"/>
        </w:rPr>
      </w:pPr>
    </w:p>
    <w:p>
      <w:pPr>
        <w:jc w:val="right"/>
        <w:ind w:right="7399"/>
        <w:spacing w:after="0"/>
        <w:rPr>
          <w:sz w:val="20"/>
          <w:szCs w:val="20"/>
          <w:color w:val="auto"/>
        </w:rPr>
      </w:pPr>
      <w:r>
        <w:rPr>
          <w:rFonts w:ascii="Courier New" w:cs="Courier New" w:eastAsia="Courier New" w:hAnsi="Courier New"/>
          <w:sz w:val="15"/>
          <w:szCs w:val="15"/>
          <w:color w:val="auto"/>
        </w:rPr>
        <w:t>174,130</w:t>
      </w:r>
    </w:p>
    <w:p>
      <w:pPr>
        <w:jc w:val="right"/>
        <w:ind w:right="6879"/>
        <w:spacing w:after="0"/>
        <w:rPr>
          <w:sz w:val="20"/>
          <w:szCs w:val="20"/>
          <w:color w:val="auto"/>
        </w:rPr>
      </w:pPr>
      <w:r>
        <w:rPr>
          <w:rFonts w:ascii="Courier New" w:cs="Courier New" w:eastAsia="Courier New" w:hAnsi="Courier New"/>
          <w:sz w:val="15"/>
          <w:szCs w:val="15"/>
          <w:color w:val="auto"/>
        </w:rPr>
        <w:t>201,840</w:t>
      </w:r>
    </w:p>
    <w:p>
      <w:pPr>
        <w:jc w:val="right"/>
        <w:ind w:right="6879"/>
        <w:spacing w:after="0"/>
        <w:rPr>
          <w:sz w:val="20"/>
          <w:szCs w:val="20"/>
          <w:color w:val="auto"/>
        </w:rPr>
      </w:pPr>
      <w:r>
        <w:rPr>
          <w:rFonts w:ascii="Courier New" w:cs="Courier New" w:eastAsia="Courier New" w:hAnsi="Courier New"/>
          <w:sz w:val="15"/>
          <w:szCs w:val="15"/>
          <w:color w:val="auto"/>
        </w:rPr>
        <w:t>0</w:t>
      </w:r>
    </w:p>
    <w:p>
      <w:pPr>
        <w:ind w:left="1500"/>
        <w:spacing w:after="0" w:line="238" w:lineRule="auto"/>
        <w:rPr>
          <w:sz w:val="20"/>
          <w:szCs w:val="20"/>
          <w:color w:val="auto"/>
        </w:rPr>
      </w:pPr>
      <w:r>
        <w:rPr>
          <w:rFonts w:ascii="Courier New" w:cs="Courier New" w:eastAsia="Courier New" w:hAnsi="Courier New"/>
          <w:sz w:val="15"/>
          <w:szCs w:val="15"/>
          <w:color w:val="auto"/>
        </w:rPr>
        <w:t>1,269,854</w:t>
      </w:r>
    </w:p>
    <w:p>
      <w:pPr>
        <w:ind w:left="2640"/>
        <w:spacing w:after="0"/>
        <w:rPr>
          <w:sz w:val="20"/>
          <w:szCs w:val="20"/>
          <w:color w:val="auto"/>
        </w:rPr>
      </w:pPr>
      <w:r>
        <w:rPr>
          <w:rFonts w:ascii="Courier New" w:cs="Courier New" w:eastAsia="Courier New" w:hAnsi="Courier New"/>
          <w:sz w:val="15"/>
          <w:szCs w:val="15"/>
          <w:color w:val="auto"/>
        </w:rPr>
        <w:t>0</w:t>
      </w:r>
    </w:p>
    <w:p>
      <w:pPr>
        <w:ind w:left="2820"/>
        <w:spacing w:after="0"/>
        <w:rPr>
          <w:sz w:val="20"/>
          <w:szCs w:val="20"/>
          <w:color w:val="auto"/>
        </w:rPr>
      </w:pPr>
      <w:r>
        <w:rPr>
          <w:rFonts w:ascii="Courier New" w:cs="Courier New" w:eastAsia="Courier New" w:hAnsi="Courier New"/>
          <w:sz w:val="15"/>
          <w:szCs w:val="15"/>
          <w:color w:val="auto"/>
        </w:rPr>
        <w:t>0</w:t>
      </w:r>
    </w:p>
    <w:p>
      <w:pPr>
        <w:ind w:left="3260"/>
        <w:spacing w:after="0" w:line="238" w:lineRule="auto"/>
        <w:rPr>
          <w:sz w:val="20"/>
          <w:szCs w:val="20"/>
          <w:color w:val="auto"/>
        </w:rPr>
      </w:pPr>
      <w:r>
        <w:rPr>
          <w:rFonts w:ascii="Courier New" w:cs="Courier New" w:eastAsia="Courier New" w:hAnsi="Courier New"/>
          <w:sz w:val="15"/>
          <w:szCs w:val="15"/>
          <w:color w:val="auto"/>
        </w:rPr>
        <w:t>5,658,838</w:t>
      </w:r>
    </w:p>
    <w:p>
      <w:pPr>
        <w:ind w:left="3180"/>
        <w:spacing w:after="0"/>
        <w:rPr>
          <w:sz w:val="20"/>
          <w:szCs w:val="20"/>
          <w:color w:val="auto"/>
        </w:rPr>
      </w:pPr>
      <w:r>
        <w:rPr>
          <w:rFonts w:ascii="Courier New" w:cs="Courier New" w:eastAsia="Courier New" w:hAnsi="Courier New"/>
          <w:sz w:val="15"/>
          <w:szCs w:val="15"/>
          <w:color w:val="auto"/>
        </w:rPr>
        <w:t>84,531</w:t>
      </w:r>
    </w:p>
    <w:p>
      <w:pPr>
        <w:ind w:left="2640"/>
        <w:spacing w:after="0"/>
        <w:rPr>
          <w:sz w:val="20"/>
          <w:szCs w:val="20"/>
          <w:color w:val="auto"/>
        </w:rPr>
      </w:pPr>
      <w:r>
        <w:rPr>
          <w:rFonts w:ascii="Courier New" w:cs="Courier New" w:eastAsia="Courier New" w:hAnsi="Courier New"/>
          <w:sz w:val="15"/>
          <w:szCs w:val="15"/>
          <w:color w:val="auto"/>
        </w:rPr>
        <w:t>8,047,862</w:t>
      </w:r>
    </w:p>
    <w:p>
      <w:pPr>
        <w:ind w:left="3000"/>
        <w:spacing w:after="0"/>
        <w:rPr>
          <w:sz w:val="20"/>
          <w:szCs w:val="20"/>
          <w:color w:val="auto"/>
        </w:rPr>
      </w:pPr>
      <w:r>
        <w:rPr>
          <w:rFonts w:ascii="Courier New" w:cs="Courier New" w:eastAsia="Courier New" w:hAnsi="Courier New"/>
          <w:sz w:val="15"/>
          <w:szCs w:val="15"/>
          <w:color w:val="auto"/>
        </w:rPr>
        <w:t>5,873,039</w:t>
      </w:r>
    </w:p>
    <w:p>
      <w:pPr>
        <w:ind w:left="3000"/>
        <w:spacing w:after="0" w:line="238" w:lineRule="auto"/>
        <w:rPr>
          <w:sz w:val="20"/>
          <w:szCs w:val="20"/>
          <w:color w:val="auto"/>
        </w:rPr>
      </w:pPr>
      <w:r>
        <w:rPr>
          <w:rFonts w:ascii="Courier New" w:cs="Courier New" w:eastAsia="Courier New" w:hAnsi="Courier New"/>
          <w:sz w:val="15"/>
          <w:szCs w:val="15"/>
          <w:color w:val="auto"/>
        </w:rPr>
        <w:t>992,573</w:t>
      </w:r>
    </w:p>
    <w:p>
      <w:pPr>
        <w:ind w:left="2380"/>
        <w:spacing w:after="0"/>
        <w:rPr>
          <w:sz w:val="20"/>
          <w:szCs w:val="20"/>
          <w:color w:val="auto"/>
        </w:rPr>
      </w:pPr>
      <w:r>
        <w:rPr>
          <w:rFonts w:ascii="Courier New" w:cs="Courier New" w:eastAsia="Courier New" w:hAnsi="Courier New"/>
          <w:sz w:val="15"/>
          <w:szCs w:val="15"/>
          <w:color w:val="auto"/>
        </w:rPr>
        <w:t>239,159</w:t>
      </w:r>
    </w:p>
    <w:p>
      <w:pPr>
        <w:ind w:left="3080"/>
        <w:spacing w:after="0"/>
        <w:rPr>
          <w:sz w:val="20"/>
          <w:szCs w:val="20"/>
          <w:color w:val="auto"/>
        </w:rPr>
      </w:pPr>
      <w:r>
        <w:rPr>
          <w:rFonts w:ascii="Courier New" w:cs="Courier New" w:eastAsia="Courier New" w:hAnsi="Courier New"/>
          <w:sz w:val="15"/>
          <w:szCs w:val="15"/>
          <w:color w:val="auto"/>
        </w:rPr>
        <w:t>275,750</w:t>
      </w:r>
    </w:p>
    <w:p>
      <w:pPr>
        <w:ind w:left="2740"/>
        <w:spacing w:after="0" w:line="238" w:lineRule="auto"/>
        <w:rPr>
          <w:sz w:val="20"/>
          <w:szCs w:val="20"/>
          <w:color w:val="auto"/>
        </w:rPr>
      </w:pPr>
      <w:r>
        <w:rPr>
          <w:rFonts w:ascii="Courier New" w:cs="Courier New" w:eastAsia="Courier New" w:hAnsi="Courier New"/>
          <w:sz w:val="15"/>
          <w:szCs w:val="15"/>
          <w:color w:val="auto"/>
        </w:rPr>
        <w:t>0</w:t>
      </w:r>
    </w:p>
    <w:p>
      <w:pPr>
        <w:ind w:left="3620"/>
        <w:spacing w:after="0"/>
        <w:rPr>
          <w:sz w:val="20"/>
          <w:szCs w:val="20"/>
          <w:color w:val="auto"/>
        </w:rPr>
      </w:pPr>
      <w:r>
        <w:rPr>
          <w:rFonts w:ascii="Courier New" w:cs="Courier New" w:eastAsia="Courier New" w:hAnsi="Courier New"/>
          <w:sz w:val="15"/>
          <w:szCs w:val="15"/>
          <w:color w:val="auto"/>
        </w:rPr>
        <w:t>0</w:t>
      </w:r>
    </w:p>
    <w:p>
      <w:pPr>
        <w:ind w:left="3340"/>
        <w:spacing w:after="0"/>
        <w:rPr>
          <w:sz w:val="20"/>
          <w:szCs w:val="20"/>
          <w:color w:val="auto"/>
        </w:rPr>
      </w:pPr>
      <w:r>
        <w:rPr>
          <w:rFonts w:ascii="Courier New" w:cs="Courier New" w:eastAsia="Courier New" w:hAnsi="Courier New"/>
          <w:sz w:val="15"/>
          <w:szCs w:val="15"/>
          <w:color w:val="auto"/>
        </w:rPr>
        <w:t>162,713</w:t>
      </w:r>
    </w:p>
    <w:p>
      <w:pPr>
        <w:ind w:left="3180"/>
        <w:spacing w:after="0"/>
        <w:rPr>
          <w:sz w:val="20"/>
          <w:szCs w:val="20"/>
          <w:color w:val="auto"/>
        </w:rPr>
      </w:pPr>
      <w:r>
        <w:rPr>
          <w:rFonts w:ascii="Courier New" w:cs="Courier New" w:eastAsia="Courier New" w:hAnsi="Courier New"/>
          <w:sz w:val="15"/>
          <w:szCs w:val="15"/>
          <w:color w:val="auto"/>
        </w:rPr>
        <w:t>503,916</w:t>
      </w:r>
    </w:p>
    <w:p>
      <w:pPr>
        <w:ind w:left="1240"/>
        <w:spacing w:after="0" w:line="238" w:lineRule="auto"/>
        <w:rPr>
          <w:sz w:val="20"/>
          <w:szCs w:val="20"/>
          <w:color w:val="auto"/>
        </w:rPr>
      </w:pPr>
      <w:r>
        <w:rPr>
          <w:rFonts w:ascii="Courier New" w:cs="Courier New" w:eastAsia="Courier New" w:hAnsi="Courier New"/>
          <w:sz w:val="15"/>
          <w:szCs w:val="15"/>
          <w:color w:val="auto"/>
        </w:rPr>
        <w:t>8,047,862</w:t>
      </w:r>
    </w:p>
    <w:p>
      <w:pPr>
        <w:ind w:left="2740"/>
        <w:spacing w:after="0"/>
        <w:rPr>
          <w:sz w:val="20"/>
          <w:szCs w:val="20"/>
          <w:color w:val="auto"/>
        </w:rPr>
      </w:pPr>
      <w:r>
        <w:rPr>
          <w:rFonts w:ascii="Courier New" w:cs="Courier New" w:eastAsia="Courier New" w:hAnsi="Courier New"/>
          <w:sz w:val="15"/>
          <w:szCs w:val="15"/>
          <w:color w:val="auto"/>
        </w:rPr>
        <w:t>228,323</w:t>
      </w:r>
    </w:p>
    <w:p>
      <w:pPr>
        <w:ind w:left="2640"/>
        <w:spacing w:after="0"/>
        <w:rPr>
          <w:sz w:val="20"/>
          <w:szCs w:val="20"/>
          <w:color w:val="auto"/>
        </w:rPr>
      </w:pPr>
      <w:r>
        <w:rPr>
          <w:rFonts w:ascii="Courier New" w:cs="Courier New" w:eastAsia="Courier New" w:hAnsi="Courier New"/>
          <w:sz w:val="15"/>
          <w:szCs w:val="15"/>
          <w:color w:val="auto"/>
        </w:rPr>
        <w:t>35,890</w:t>
      </w:r>
    </w:p>
    <w:p>
      <w:pPr>
        <w:ind w:left="2740"/>
        <w:spacing w:after="0" w:line="238" w:lineRule="auto"/>
        <w:rPr>
          <w:sz w:val="20"/>
          <w:szCs w:val="20"/>
          <w:color w:val="auto"/>
        </w:rPr>
      </w:pPr>
      <w:r>
        <w:rPr>
          <w:rFonts w:ascii="Courier New" w:cs="Courier New" w:eastAsia="Courier New" w:hAnsi="Courier New"/>
          <w:sz w:val="15"/>
          <w:szCs w:val="15"/>
          <w:color w:val="auto"/>
        </w:rPr>
        <w:t>10,172</w:t>
      </w:r>
    </w:p>
    <w:p>
      <w:pPr>
        <w:ind w:left="2640"/>
        <w:spacing w:after="0"/>
        <w:rPr>
          <w:sz w:val="20"/>
          <w:szCs w:val="20"/>
          <w:color w:val="auto"/>
        </w:rPr>
      </w:pPr>
      <w:r>
        <w:rPr>
          <w:rFonts w:ascii="Courier New" w:cs="Courier New" w:eastAsia="Courier New" w:hAnsi="Courier New"/>
          <w:sz w:val="15"/>
          <w:szCs w:val="15"/>
          <w:color w:val="auto"/>
        </w:rPr>
        <w:t>274,385</w:t>
      </w:r>
    </w:p>
    <w:p>
      <w:pPr>
        <w:ind w:left="2560"/>
        <w:spacing w:after="0"/>
        <w:rPr>
          <w:sz w:val="20"/>
          <w:szCs w:val="20"/>
          <w:color w:val="auto"/>
        </w:rPr>
      </w:pPr>
      <w:r>
        <w:rPr>
          <w:rFonts w:ascii="Courier New" w:cs="Courier New" w:eastAsia="Courier New" w:hAnsi="Courier New"/>
          <w:sz w:val="15"/>
          <w:szCs w:val="15"/>
          <w:color w:val="auto"/>
        </w:rPr>
        <w:t>85,004</w:t>
      </w:r>
    </w:p>
    <w:p>
      <w:pPr>
        <w:ind w:left="2460"/>
        <w:spacing w:after="0"/>
        <w:rPr>
          <w:sz w:val="20"/>
          <w:szCs w:val="20"/>
          <w:color w:val="auto"/>
        </w:rPr>
      </w:pPr>
      <w:r>
        <w:rPr>
          <w:rFonts w:ascii="Courier New" w:cs="Courier New" w:eastAsia="Courier New" w:hAnsi="Courier New"/>
          <w:sz w:val="15"/>
          <w:szCs w:val="15"/>
          <w:color w:val="auto"/>
        </w:rPr>
        <w:t>120,307</w:t>
      </w:r>
    </w:p>
    <w:p>
      <w:pPr>
        <w:ind w:left="2200"/>
        <w:spacing w:after="0" w:line="238" w:lineRule="auto"/>
        <w:rPr>
          <w:sz w:val="20"/>
          <w:szCs w:val="20"/>
          <w:color w:val="auto"/>
        </w:rPr>
      </w:pPr>
      <w:r>
        <w:rPr>
          <w:rFonts w:ascii="Courier New" w:cs="Courier New" w:eastAsia="Courier New" w:hAnsi="Courier New"/>
          <w:sz w:val="15"/>
          <w:szCs w:val="15"/>
          <w:color w:val="auto"/>
        </w:rPr>
        <w:t>154,078</w:t>
      </w:r>
    </w:p>
    <w:p>
      <w:pPr>
        <w:ind w:left="3080"/>
        <w:spacing w:after="0"/>
        <w:rPr>
          <w:sz w:val="20"/>
          <w:szCs w:val="20"/>
          <w:color w:val="auto"/>
        </w:rPr>
      </w:pPr>
      <w:r>
        <w:rPr>
          <w:rFonts w:ascii="Courier New" w:cs="Courier New" w:eastAsia="Courier New" w:hAnsi="Courier New"/>
          <w:sz w:val="15"/>
          <w:szCs w:val="15"/>
          <w:color w:val="auto"/>
        </w:rPr>
        <w:t>8,513</w:t>
      </w:r>
    </w:p>
    <w:p>
      <w:pPr>
        <w:ind w:left="2900"/>
        <w:spacing w:after="0"/>
        <w:rPr>
          <w:sz w:val="20"/>
          <w:szCs w:val="20"/>
          <w:color w:val="auto"/>
        </w:rPr>
      </w:pPr>
      <w:r>
        <w:rPr>
          <w:rFonts w:ascii="Courier New" w:cs="Courier New" w:eastAsia="Courier New" w:hAnsi="Courier New"/>
          <w:sz w:val="15"/>
          <w:szCs w:val="15"/>
          <w:color w:val="auto"/>
        </w:rPr>
        <w:t>27</w:t>
      </w:r>
    </w:p>
    <w:p>
      <w:pPr>
        <w:ind w:left="2740"/>
        <w:spacing w:after="0" w:line="238" w:lineRule="auto"/>
        <w:rPr>
          <w:sz w:val="20"/>
          <w:szCs w:val="20"/>
          <w:color w:val="auto"/>
        </w:rPr>
      </w:pPr>
      <w:r>
        <w:rPr>
          <w:rFonts w:ascii="Courier New" w:cs="Courier New" w:eastAsia="Courier New" w:hAnsi="Courier New"/>
          <w:sz w:val="15"/>
          <w:szCs w:val="15"/>
          <w:color w:val="auto"/>
        </w:rPr>
        <w:t>135,352</w:t>
      </w:r>
    </w:p>
    <w:p>
      <w:pPr>
        <w:ind w:left="2820"/>
        <w:spacing w:after="0"/>
        <w:rPr>
          <w:sz w:val="20"/>
          <w:szCs w:val="20"/>
          <w:color w:val="auto"/>
        </w:rPr>
      </w:pPr>
      <w:r>
        <w:rPr>
          <w:rFonts w:ascii="Courier New" w:cs="Courier New" w:eastAsia="Courier New" w:hAnsi="Courier New"/>
          <w:sz w:val="15"/>
          <w:szCs w:val="15"/>
          <w:color w:val="auto"/>
        </w:rPr>
        <w:t>61,591</w:t>
      </w:r>
    </w:p>
    <w:p>
      <w:pPr>
        <w:ind w:left="1840"/>
        <w:spacing w:after="0"/>
        <w:rPr>
          <w:sz w:val="20"/>
          <w:szCs w:val="20"/>
          <w:color w:val="auto"/>
        </w:rPr>
      </w:pPr>
      <w:r>
        <w:rPr>
          <w:rFonts w:ascii="Courier New" w:cs="Courier New" w:eastAsia="Courier New" w:hAnsi="Courier New"/>
          <w:sz w:val="15"/>
          <w:szCs w:val="15"/>
          <w:color w:val="auto"/>
        </w:rPr>
        <w:t>40,947</w:t>
      </w:r>
    </w:p>
    <w:p>
      <w:pPr>
        <w:ind w:left="3260"/>
        <w:spacing w:after="0" w:line="238" w:lineRule="auto"/>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ind w:left="3080"/>
        <w:spacing w:after="0"/>
        <w:rPr>
          <w:sz w:val="20"/>
          <w:szCs w:val="20"/>
          <w:color w:val="auto"/>
        </w:rPr>
      </w:pPr>
      <w:r>
        <w:rPr>
          <w:rFonts w:ascii="Courier New" w:cs="Courier New" w:eastAsia="Courier New" w:hAnsi="Courier New"/>
          <w:sz w:val="15"/>
          <w:szCs w:val="15"/>
          <w:color w:val="auto"/>
        </w:rPr>
        <w:t>40,947</w:t>
      </w:r>
    </w:p>
    <w:p>
      <w:pPr>
        <w:ind w:left="3180"/>
        <w:spacing w:after="0"/>
        <w:rPr>
          <w:sz w:val="20"/>
          <w:szCs w:val="20"/>
          <w:color w:val="auto"/>
        </w:rPr>
      </w:pPr>
      <w:r>
        <w:rPr>
          <w:rFonts w:ascii="Courier New" w:cs="Courier New" w:eastAsia="Courier New" w:hAnsi="Courier New"/>
          <w:sz w:val="15"/>
          <w:szCs w:val="15"/>
          <w:color w:val="auto"/>
        </w:rPr>
        <w:t>1.32</w:t>
      </w:r>
    </w:p>
    <w:p>
      <w:pPr>
        <w:ind w:left="3180"/>
        <w:spacing w:after="0" w:line="238" w:lineRule="auto"/>
        <w:rPr>
          <w:sz w:val="20"/>
          <w:szCs w:val="20"/>
          <w:color w:val="auto"/>
        </w:rPr>
      </w:pPr>
      <w:r>
        <w:rPr>
          <w:rFonts w:ascii="Courier New" w:cs="Courier New" w:eastAsia="Courier New" w:hAnsi="Courier New"/>
          <w:sz w:val="15"/>
          <w:szCs w:val="15"/>
          <w:color w:val="auto"/>
        </w:rPr>
        <w:t>1.32</w:t>
      </w:r>
    </w:p>
    <w:p>
      <w:pPr>
        <w:ind w:left="3080"/>
        <w:spacing w:after="0"/>
        <w:rPr>
          <w:sz w:val="20"/>
          <w:szCs w:val="20"/>
          <w:color w:val="auto"/>
        </w:rPr>
      </w:pPr>
      <w:r>
        <w:rPr>
          <w:rFonts w:ascii="Courier New" w:cs="Courier New" w:eastAsia="Courier New" w:hAnsi="Courier New"/>
          <w:sz w:val="15"/>
          <w:szCs w:val="15"/>
          <w:color w:val="auto"/>
        </w:rPr>
        <w:t>8.14</w:t>
      </w:r>
    </w:p>
    <w:p>
      <w:pPr>
        <w:ind w:left="3180"/>
        <w:spacing w:after="0"/>
        <w:rPr>
          <w:sz w:val="20"/>
          <w:szCs w:val="20"/>
          <w:color w:val="auto"/>
        </w:rPr>
      </w:pPr>
      <w:r>
        <w:rPr>
          <w:rFonts w:ascii="Courier New" w:cs="Courier New" w:eastAsia="Courier New" w:hAnsi="Courier New"/>
          <w:sz w:val="15"/>
          <w:szCs w:val="15"/>
          <w:color w:val="auto"/>
        </w:rPr>
        <w:t>61,387</w:t>
      </w:r>
    </w:p>
    <w:p>
      <w:pPr>
        <w:ind w:left="3080"/>
        <w:spacing w:after="0" w:line="238" w:lineRule="auto"/>
        <w:rPr>
          <w:sz w:val="20"/>
          <w:szCs w:val="20"/>
          <w:color w:val="auto"/>
        </w:rPr>
      </w:pPr>
      <w:r>
        <w:rPr>
          <w:rFonts w:ascii="Courier New" w:cs="Courier New" w:eastAsia="Courier New" w:hAnsi="Courier New"/>
          <w:sz w:val="15"/>
          <w:szCs w:val="15"/>
          <w:color w:val="auto"/>
        </w:rPr>
        <w:t>24,875</w:t>
      </w:r>
    </w:p>
    <w:p>
      <w:pPr>
        <w:ind w:left="2820"/>
        <w:spacing w:after="0"/>
        <w:rPr>
          <w:sz w:val="20"/>
          <w:szCs w:val="20"/>
          <w:color w:val="auto"/>
        </w:rPr>
      </w:pPr>
      <w:r>
        <w:rPr>
          <w:rFonts w:ascii="Courier New" w:cs="Courier New" w:eastAsia="Courier New" w:hAnsi="Courier New"/>
          <w:sz w:val="15"/>
          <w:szCs w:val="15"/>
          <w:color w:val="auto"/>
        </w:rPr>
        <w:t>3,117</w:t>
      </w:r>
    </w:p>
    <w:p>
      <w:pPr>
        <w:ind w:left="3260"/>
        <w:spacing w:after="0"/>
        <w:rPr>
          <w:sz w:val="20"/>
          <w:szCs w:val="20"/>
          <w:color w:val="auto"/>
        </w:rPr>
      </w:pPr>
      <w:r>
        <w:rPr>
          <w:rFonts w:ascii="Courier New" w:cs="Courier New" w:eastAsia="Courier New" w:hAnsi="Courier New"/>
          <w:sz w:val="15"/>
          <w:szCs w:val="15"/>
          <w:color w:val="auto"/>
        </w:rPr>
        <w:t>0</w:t>
      </w:r>
    </w:p>
    <w:p>
      <w:pPr>
        <w:ind w:left="2740"/>
        <w:spacing w:after="0"/>
        <w:rPr>
          <w:sz w:val="20"/>
          <w:szCs w:val="20"/>
          <w:color w:val="auto"/>
        </w:rPr>
      </w:pPr>
      <w:r>
        <w:rPr>
          <w:rFonts w:ascii="Courier New" w:cs="Courier New" w:eastAsia="Courier New" w:hAnsi="Courier New"/>
          <w:sz w:val="15"/>
          <w:szCs w:val="15"/>
          <w:color w:val="auto"/>
        </w:rPr>
        <w:t>78,733</w:t>
      </w:r>
    </w:p>
    <w:p>
      <w:pPr>
        <w:ind w:left="3000"/>
        <w:spacing w:after="0" w:line="238" w:lineRule="auto"/>
        <w:rPr>
          <w:sz w:val="20"/>
          <w:szCs w:val="20"/>
          <w:color w:val="auto"/>
        </w:rPr>
      </w:pPr>
      <w:r>
        <w:rPr>
          <w:rFonts w:ascii="Courier New" w:cs="Courier New" w:eastAsia="Courier New" w:hAnsi="Courier New"/>
          <w:sz w:val="15"/>
          <w:szCs w:val="15"/>
          <w:color w:val="auto"/>
        </w:rPr>
        <w:t>10,560</w:t>
      </w:r>
    </w:p>
    <w:p>
      <w:pPr>
        <w:ind w:left="3180"/>
        <w:spacing w:after="0"/>
        <w:rPr>
          <w:sz w:val="20"/>
          <w:szCs w:val="20"/>
          <w:color w:val="auto"/>
        </w:rPr>
      </w:pPr>
      <w:r>
        <w:rPr>
          <w:rFonts w:ascii="Courier New" w:cs="Courier New" w:eastAsia="Courier New" w:hAnsi="Courier New"/>
          <w:sz w:val="15"/>
          <w:szCs w:val="15"/>
          <w:color w:val="auto"/>
        </w:rPr>
        <w:t>1,645</w:t>
      </w:r>
    </w:p>
    <w:p>
      <w:pPr>
        <w:ind w:left="2640"/>
        <w:spacing w:after="0"/>
        <w:rPr>
          <w:sz w:val="20"/>
          <w:szCs w:val="20"/>
          <w:color w:val="auto"/>
        </w:rPr>
      </w:pPr>
      <w:r>
        <w:rPr>
          <w:rFonts w:ascii="Courier New" w:cs="Courier New" w:eastAsia="Courier New" w:hAnsi="Courier New"/>
          <w:sz w:val="15"/>
          <w:szCs w:val="15"/>
          <w:color w:val="auto"/>
        </w:rPr>
        <w:t>84,531</w:t>
      </w:r>
    </w:p>
    <w:p>
      <w:pPr>
        <w:ind w:left="2380"/>
        <w:spacing w:after="0" w:line="238" w:lineRule="auto"/>
        <w:rPr>
          <w:sz w:val="20"/>
          <w:szCs w:val="20"/>
          <w:color w:val="auto"/>
        </w:rPr>
      </w:pPr>
      <w:r>
        <w:rPr>
          <w:rFonts w:ascii="Courier New" w:cs="Courier New" w:eastAsia="Courier New" w:hAnsi="Courier New"/>
          <w:sz w:val="15"/>
          <w:szCs w:val="15"/>
          <w:color w:val="auto"/>
        </w:rPr>
        <w:t>35,205</w:t>
      </w:r>
    </w:p>
    <w:p>
      <w:pPr>
        <w:ind w:left="2560"/>
        <w:spacing w:after="0"/>
        <w:rPr>
          <w:sz w:val="20"/>
          <w:szCs w:val="20"/>
          <w:color w:val="auto"/>
        </w:rPr>
      </w:pPr>
      <w:r>
        <w:rPr>
          <w:rFonts w:ascii="Courier New" w:cs="Courier New" w:eastAsia="Courier New" w:hAnsi="Courier New"/>
          <w:sz w:val="15"/>
          <w:szCs w:val="15"/>
          <w:color w:val="auto"/>
        </w:rPr>
        <w:t>1,175</w:t>
      </w:r>
    </w:p>
    <w:p>
      <w:pPr>
        <w:ind w:left="2120"/>
        <w:spacing w:after="0"/>
        <w:rPr>
          <w:sz w:val="20"/>
          <w:szCs w:val="20"/>
          <w:color w:val="auto"/>
        </w:rPr>
      </w:pPr>
      <w:r>
        <w:rPr>
          <w:rFonts w:ascii="Courier New" w:cs="Courier New" w:eastAsia="Courier New" w:hAnsi="Courier New"/>
          <w:sz w:val="15"/>
          <w:szCs w:val="15"/>
          <w:color w:val="auto"/>
        </w:rPr>
        <w:t>48,151</w:t>
      </w:r>
    </w:p>
    <w:sectPr>
      <w:pgSz w:w="11900" w:h="16838" w:orient="portrait"/>
      <w:cols w:equalWidth="0" w:num="1">
        <w:col w:w="10139"/>
      </w:cols>
      <w:pgMar w:left="3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2019-12-13T01:23:55Z</dcterms:created>
  <dcterms:modified xsi:type="dcterms:W3CDTF">2019-12-13T01:23:55Z</dcterms:modified>
</cp:coreProperties>
</file>