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0283d10_425.htm"/>
      <w:bookmarkStart w:id="1" w:name="kstm2620283d10_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First Hawaiian,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TriCo Bancshares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000-10661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filing relates to the proposed transaction between First Hawaiian, Inc. (“FHI”) and TriCo Bancshares (“TriCo”) pursuant to the Agreement and Plan of Reorganization and Merger, dated as of July 12, 2026, by and among FHI, TriCo and 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email was sent by Robert Harrison, Chairman, President &amp; Chief Executive Officer of First Hawaiian Bank, to employees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Aloha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announced our partnership with Tri Counties Bank last month, we committed to keeping you informed throughout the integration process and providing updates on the transaction as information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you submitted questions during our employee Town Hall and through the Acquisition SharePoint site. The level of engagement has been great and I appreciate you taking the time to share what's on your mind. Your questions help us understand what’s most important to you and guide the information we share as we move forward. We’ve consolidated the questions and answers into two resources that are now available on SharePoint: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Town Hall Questions and Answers</w:t>
        <w:br/>
        <w:t>[LINK]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Questions and Answers</w:t>
        <w:br/>
        <w:t>[LINK]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weeks since our announcement, we’ve also begun laying the groundwork for the integration. Jamie and Gina have established our Integration Management Office (IMO), and teams are beginning the planning necessary to prepare for Legal Day One. You'll hear more directly from the IMO about the integration process, how the work will be organized and what to expect as planning progresses.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great deal of work ahead. As we take it on, let’s continue supporting one another, staying close to our customers and bringing the same passion and commitment to this work that has made First Hawaiian Bank successful for generations.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engagement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Mahalo,</w:t>
        <w:br/>
        <w:t>Bob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Q&amp;As were made available to employees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1476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1476375"/>
                    </a:xfrm>
                    <a:prstGeom prst="rect">
                      <a:avLst/>
                    </a:prstGeom>
                  </pic:spPr>
                </pic:pic>
              </a:graphicData>
            </a:graphic>
          </wp:inline>
        </w:drawing>
      </w: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b/>
              </w:rPr>
            </w:pPr>
            <w:r>
              <w:rPr>
                <w:b/>
              </w:rPr>
              <w:t>1.</w:t>
            </w:r>
          </w:p>
        </w:tc>
        <w:tc>
          <w:tcPr>
            <w:tcW w:w="9977" w:type="dxa"/>
            <w:tcBorders/>
            <w:vAlign w:val="center"/>
          </w:tcPr>
          <w:p>
            <w:pPr>
              <w:pStyle w:val="TableContents"/>
              <w:bidi w:val="0"/>
              <w:spacing w:before="0" w:after="283"/>
              <w:jc w:val="left"/>
              <w:rPr>
                <w:b/>
              </w:rPr>
            </w:pPr>
            <w:r>
              <w:rPr>
                <w:b/>
              </w:rPr>
              <w:t>What is the overall integration timeline, key milestones and major phases over the next several months and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planning is just beginning and will occur over an extended period. Our immediate focus is obtaining regulatory approval while establishing an Integration Management Office, introducing teams and evaluating how our organizations will come together. As major milestones are reached and decisions are finalized, we will communicate them through our normal employee communications channels. Employees should expect regular updates throughout the process.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rPr>
            </w:pPr>
            <w:r>
              <w:rPr>
                <w:b/>
              </w:rPr>
              <w:t>2.</w:t>
            </w:r>
          </w:p>
        </w:tc>
        <w:tc>
          <w:tcPr>
            <w:tcW w:w="9969" w:type="dxa"/>
            <w:tcBorders/>
            <w:vAlign w:val="center"/>
          </w:tcPr>
          <w:p>
            <w:pPr>
              <w:pStyle w:val="TableContents"/>
              <w:bidi w:val="0"/>
              <w:spacing w:before="0" w:after="283"/>
              <w:jc w:val="left"/>
              <w:rPr>
                <w:b/>
              </w:rPr>
            </w:pPr>
            <w:r>
              <w:rPr>
                <w:b/>
              </w:rPr>
              <w:t>What should First Hawaiian Bank employees expect over the next 6 months, 1 year and 3–5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near term, employees should expect business as usual while we work toward regulatory approval and completing the transaction. Until the transaction closes, First Hawaiian Bank and Tri Counties Bank will continue operating as separate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closing, we will begin operating as a single legal entity while taking a thoughtful, phased approach to integration. Over time, we will bring our organizations together where it makes sense while continuing to operate under two independent brands: First Hawaiian Bank in Hawaii, Guam and Saipan, and Tri Counties Bank in California. Employees will receive regular updates as integration planning progresses and key decisions are made.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b/>
              </w:rPr>
            </w:pPr>
            <w:r>
              <w:rPr>
                <w:b/>
              </w:rPr>
              <w:t>3.</w:t>
            </w:r>
          </w:p>
        </w:tc>
        <w:tc>
          <w:tcPr>
            <w:tcW w:w="9991" w:type="dxa"/>
            <w:tcBorders/>
            <w:vAlign w:val="center"/>
          </w:tcPr>
          <w:p>
            <w:pPr>
              <w:pStyle w:val="TableContents"/>
              <w:bidi w:val="0"/>
              <w:spacing w:before="0" w:after="283"/>
              <w:jc w:val="left"/>
              <w:rPr>
                <w:b/>
              </w:rPr>
            </w:pPr>
            <w:r>
              <w:rPr>
                <w:b/>
              </w:rPr>
              <w:t>Which business areas will be engaged first, how will priorities be communicated, and how can employees best prepare to support integration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priorities will be established by the Integration Management Offices at each bank in partnership with executive leadership. Different business areas will become engaged at different points based on the needs of the integration. Employees can best prepare by remaining focused on serving customers, executing current priorities and being open to future opportunities to participate in integration efforts. Leaders will communicate expectations as work progresses.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left"/>
              <w:rPr>
                <w:b/>
              </w:rPr>
            </w:pPr>
            <w:r>
              <w:rPr>
                <w:b/>
              </w:rPr>
              <w:t>How will First Hawaiian Bank and Tri Counties employees with similar responsibilities begin working together?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integration planning advances, employees in similar functional areas will begin connecting to better understand each organization’s processes, capabilities and best practices. We encourage employees to approach these conversations with curiosity, professionalism and a willingness to learn from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5.</w:t>
            </w:r>
          </w:p>
        </w:tc>
        <w:tc>
          <w:tcPr>
            <w:tcW w:w="9983" w:type="dxa"/>
            <w:tcBorders/>
            <w:vAlign w:val="center"/>
          </w:tcPr>
          <w:p>
            <w:pPr>
              <w:pStyle w:val="TableContents"/>
              <w:bidi w:val="0"/>
              <w:spacing w:before="0" w:after="283"/>
              <w:jc w:val="left"/>
              <w:rPr>
                <w:b/>
              </w:rPr>
            </w:pPr>
            <w:r>
              <w:rPr>
                <w:b/>
              </w:rPr>
              <w:t>How will the bank ensure adequate staffing and resources to support integration work without overburdening existing teams?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Leadership recognizes that integration work is being completed alongside employees' day-to-day responsibilities. We will continue evaluating priorities, sequencing work appropriately and assigning resources where they are needed most. Our goal is to balance integration planning with maintaining excellent service for our customers and continuing to execute our strategic priorities.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b/>
              </w:rPr>
            </w:pPr>
            <w:r>
              <w:rPr>
                <w:b/>
              </w:rPr>
              <w:t>6.</w:t>
            </w:r>
          </w:p>
        </w:tc>
        <w:tc>
          <w:tcPr>
            <w:tcW w:w="9985" w:type="dxa"/>
            <w:tcBorders/>
            <w:vAlign w:val="center"/>
          </w:tcPr>
          <w:p>
            <w:pPr>
              <w:pStyle w:val="TableContents"/>
              <w:bidi w:val="0"/>
              <w:spacing w:before="0" w:after="283"/>
              <w:jc w:val="left"/>
              <w:rPr>
                <w:b/>
              </w:rPr>
            </w:pPr>
            <w:r>
              <w:rPr>
                <w:b/>
              </w:rPr>
              <w:t>Will employees from Tri Counties join First Hawaiian Bank departments, or will existing departments absorb their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decisions have not yet been made. Integration teams will evaluate how work is performed across both organizations and recommend structures that best support the combined organization. Any organizational changes will be communicated well before they are implemented.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b/>
              </w:rPr>
            </w:pPr>
            <w:r>
              <w:rPr>
                <w:b/>
              </w:rPr>
              <w:t>7.</w:t>
            </w:r>
          </w:p>
        </w:tc>
        <w:tc>
          <w:tcPr>
            <w:tcW w:w="9988" w:type="dxa"/>
            <w:tcBorders/>
            <w:vAlign w:val="center"/>
          </w:tcPr>
          <w:p>
            <w:pPr>
              <w:pStyle w:val="TableContents"/>
              <w:bidi w:val="0"/>
              <w:spacing w:before="0" w:after="283"/>
              <w:jc w:val="left"/>
              <w:rPr>
                <w:b/>
              </w:rPr>
            </w:pPr>
            <w:r>
              <w:rPr>
                <w:b/>
              </w:rPr>
              <w:t>For employees whose current projects are ending, will there be opportunities to contribute to integration efforts and remain with the bank?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integration work expands, there will be opportunities for employees across many functions to contribute their expertise. While participation will vary depending on business needs and individual roles, we anticipate integration efforts will require broad collaboration across the organization. Employees interested in supporting integration activities should discuss opportunities with their manager.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b/>
              </w:rPr>
            </w:pPr>
            <w:r>
              <w:rPr>
                <w:b/>
              </w:rPr>
              <w:t>8.</w:t>
            </w:r>
          </w:p>
        </w:tc>
        <w:tc>
          <w:tcPr>
            <w:tcW w:w="9926" w:type="dxa"/>
            <w:tcBorders/>
            <w:vAlign w:val="center"/>
          </w:tcPr>
          <w:p>
            <w:pPr>
              <w:pStyle w:val="TableContents"/>
              <w:bidi w:val="0"/>
              <w:spacing w:before="0" w:after="283"/>
              <w:jc w:val="left"/>
              <w:rPr>
                <w:b/>
              </w:rPr>
            </w:pPr>
            <w:r>
              <w:rPr>
                <w:b/>
              </w:rPr>
              <w:t>How will technology and operating systems be integrated, and what is the timeline?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 Counties Bank currently uses Fiserv as its core banking system. As integration planning progresses, teams will evaluate our respective technology platforms, operating systems, customer accounts, data, products and other enterprise systems to determine the best long-term operating model for the combined organization. Because these decisions involve significant operational, regulatory and customer considerations, any changes will occur only after thorough evaluation, testing and appropriate approvals. At this stage, no implementation timeline has been established.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2"/>
        <w:gridCol w:w="9894"/>
      </w:tblGrid>
      <w:tr>
        <w:trPr/>
        <w:tc>
          <w:tcPr>
            <w:tcW w:w="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b/>
              </w:rPr>
            </w:pPr>
            <w:r>
              <w:rPr>
                <w:b/>
              </w:rPr>
              <w:t>9.</w:t>
            </w:r>
          </w:p>
        </w:tc>
        <w:tc>
          <w:tcPr>
            <w:tcW w:w="9894" w:type="dxa"/>
            <w:tcBorders/>
            <w:vAlign w:val="center"/>
          </w:tcPr>
          <w:p>
            <w:pPr>
              <w:pStyle w:val="TableContents"/>
              <w:bidi w:val="0"/>
              <w:spacing w:before="0" w:after="283"/>
              <w:jc w:val="left"/>
              <w:rPr>
                <w:b/>
              </w:rPr>
            </w:pPr>
            <w:r>
              <w:rPr>
                <w:b/>
              </w:rPr>
              <w:t>How will customer-facing operations and support functions be integrated?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teams will evaluate customer-facing operations, including call centers, residential lending and other support functions, to determine the best approach for the combined organization. Throughout the process, maintaining an exceptional customer experience and supporting our employees will remain top priorities. Operational considerations, including staffing, service models and support across multiple time zones, will be evaluated as part of the integration process, and any future changes will be communicated well in advance.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b/>
              </w:rPr>
            </w:pPr>
            <w:r>
              <w:rPr>
                <w:b/>
              </w:rPr>
              <w:t>10.</w:t>
            </w:r>
          </w:p>
        </w:tc>
        <w:tc>
          <w:tcPr>
            <w:tcW w:w="9875" w:type="dxa"/>
            <w:tcBorders/>
            <w:vAlign w:val="center"/>
          </w:tcPr>
          <w:p>
            <w:pPr>
              <w:pStyle w:val="TableContents"/>
              <w:bidi w:val="0"/>
              <w:spacing w:before="0" w:after="283"/>
              <w:jc w:val="left"/>
              <w:rPr>
                <w:b/>
              </w:rPr>
            </w:pPr>
            <w:r>
              <w:rPr>
                <w:b/>
              </w:rPr>
              <w:t>How does Tri Counties' Wealth Advisory business compare to ours, and are there opportunities for First Hawaiian Bank advisors to expand services in California?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organizations utilize Raymond James as their wealth management platform, providing a strong foundation for collaboration. First Hawaiian Bank has a more established Wealth Management business with a broader range of products and services. As integration planning progresses, we will evaluate opportunities to build on those capabilities, leverage the strengths of both organizations and support future growth across our expanded footprint.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b/>
              </w:rPr>
            </w:pPr>
            <w:r>
              <w:rPr>
                <w:b/>
              </w:rPr>
              <w:t>11.</w:t>
            </w:r>
          </w:p>
        </w:tc>
        <w:tc>
          <w:tcPr>
            <w:tcW w:w="9871" w:type="dxa"/>
            <w:tcBorders/>
            <w:vAlign w:val="center"/>
          </w:tcPr>
          <w:p>
            <w:pPr>
              <w:pStyle w:val="TableContents"/>
              <w:bidi w:val="0"/>
              <w:spacing w:before="0" w:after="283"/>
              <w:jc w:val="left"/>
              <w:rPr>
                <w:b/>
              </w:rPr>
            </w:pPr>
            <w:r>
              <w:rPr>
                <w:b/>
              </w:rPr>
              <w:t>How should employees respond to public questions or misconceptions about the acquisition, particularly concerns about investing outside Hawaii?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can confidently share that this acquisition strengthens First Hawaiian Bank and reinforces our long-term commitment to Hawaii. This growth strategy creates opportunities to invest in our products, services and customer experience, helping us better serve our customers and continue supporting our island communities. Employees should avoid speculating beyond our public communications, and media inquiries should be referred to Corporate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b/>
              </w:rPr>
            </w:pPr>
            <w:r>
              <w:rPr>
                <w:b/>
              </w:rPr>
              <w:t>12.</w:t>
            </w:r>
          </w:p>
        </w:tc>
        <w:tc>
          <w:tcPr>
            <w:tcW w:w="9840" w:type="dxa"/>
            <w:tcBorders/>
            <w:vAlign w:val="center"/>
          </w:tcPr>
          <w:p>
            <w:pPr>
              <w:pStyle w:val="TableContents"/>
              <w:bidi w:val="0"/>
              <w:spacing w:before="0" w:after="283"/>
              <w:jc w:val="left"/>
              <w:rPr>
                <w:b/>
              </w:rPr>
            </w:pPr>
            <w:r>
              <w:rPr>
                <w:b/>
              </w:rPr>
              <w:t>When will employees be encouraged to begin connecting with their Tri Counties 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integration planning progresses, the Integration Management Offices will coordinate introductions and collaboration between employees where appropriate. We ask employees not to initiate independent outreach related to integration planning until those communication channels have been established. This coordinated approach helps ensure employees receive consistent information and allows teams to engage in a thoughtful and organized manner.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46"/>
        <w:gridCol w:w="9819"/>
      </w:tblGrid>
      <w:tr>
        <w:trPr/>
        <w:tc>
          <w:tcPr>
            <w:tcW w:w="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b/>
              </w:rPr>
            </w:pPr>
            <w:r>
              <w:rPr>
                <w:b/>
              </w:rPr>
              <w:t>13.</w:t>
            </w:r>
          </w:p>
        </w:tc>
        <w:tc>
          <w:tcPr>
            <w:tcW w:w="9819" w:type="dxa"/>
            <w:tcBorders/>
            <w:vAlign w:val="center"/>
          </w:tcPr>
          <w:p>
            <w:pPr>
              <w:pStyle w:val="TableContents"/>
              <w:bidi w:val="0"/>
              <w:spacing w:before="0" w:after="283"/>
              <w:jc w:val="left"/>
              <w:rPr>
                <w:b/>
              </w:rPr>
            </w:pPr>
            <w:r>
              <w:rPr>
                <w:b/>
              </w:rPr>
              <w:t>How large is Tri Counties Bank in terms of employees, customers and overall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 Counties Bank is a well-established California community bank with approximately 68 branches and 75 locations including operations and loan processing centers. Thay have approximately 1,000 employees and $10 billion in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Q&amp;As were made available to employees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86200" cy="7131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86200" cy="713105"/>
                    </a:xfrm>
                    <a:prstGeom prst="rect">
                      <a:avLst/>
                    </a:prstGeom>
                  </pic:spPr>
                </pic:pic>
              </a:graphicData>
            </a:graphic>
          </wp:inline>
        </w:drawing>
      </w: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rPr>
            </w:pPr>
            <w:r>
              <w:rPr>
                <w:b/>
              </w:rPr>
              <w:t>1.</w:t>
            </w:r>
          </w:p>
        </w:tc>
        <w:tc>
          <w:tcPr>
            <w:tcW w:w="9969" w:type="dxa"/>
            <w:tcBorders/>
            <w:vAlign w:val="center"/>
          </w:tcPr>
          <w:p>
            <w:pPr>
              <w:pStyle w:val="TableContents"/>
              <w:bidi w:val="0"/>
              <w:spacing w:before="0" w:after="283"/>
              <w:jc w:val="both"/>
              <w:rPr>
                <w:b/>
              </w:rPr>
            </w:pPr>
            <w:r>
              <w:rPr>
                <w:b/>
              </w:rPr>
              <w:t>Why Tri Counties Bank? Was this a one-time opportunity or part of a broader mainland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Tri Counties Bank was an excellent strategic fit because of its strong performance, compatible culture, attractive California markets and long-term growth opportunities. While we continually evaluate opportunities that create value for our customers, employees and shareholders, this transaction should be viewed on its own merits. Our immediate focus is on successfully completing this transaction and thoughtfully integrating our two organizations.</w:t>
      </w:r>
    </w:p>
    <w:p>
      <w:pPr>
        <w:pStyle w:val="TextBody"/>
        <w:bidi w:val="0"/>
        <w:spacing w:before="0" w:after="0"/>
        <w:ind w:left="360" w:right="0" w:hanging="0"/>
        <w:jc w:val="both"/>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50"/>
        <w:gridCol w:w="269"/>
        <w:gridCol w:w="9886"/>
      </w:tblGrid>
      <w:tr>
        <w:trPr/>
        <w:tc>
          <w:tcPr>
            <w:tcW w:w="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b/>
              </w:rPr>
            </w:pPr>
            <w:r>
              <w:rPr>
                <w:b/>
              </w:rPr>
              <w:t>2.</w:t>
            </w:r>
          </w:p>
        </w:tc>
        <w:tc>
          <w:tcPr>
            <w:tcW w:w="9886" w:type="dxa"/>
            <w:tcBorders/>
            <w:vAlign w:val="center"/>
          </w:tcPr>
          <w:p>
            <w:pPr>
              <w:pStyle w:val="TableContents"/>
              <w:bidi w:val="0"/>
              <w:spacing w:before="0" w:after="283"/>
              <w:jc w:val="left"/>
              <w:rPr>
                <w:b/>
              </w:rPr>
            </w:pPr>
            <w:r>
              <w:rPr>
                <w:b/>
              </w:rPr>
              <w:t>Why did Tri Counties Bank want to partner with First Hawaiian Bank?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transaction brings together two strong organizations with complementary strengths. Both institutions share a relationship-based approach to banking, strong credit disciplines and a long-term commitment to serving their communities. Together, we will have greater scale, expanded capabilities and new opportunities for employees, customers and stockholders.</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90"/>
        <w:gridCol w:w="475"/>
        <w:gridCol w:w="9640"/>
      </w:tblGrid>
      <w:tr>
        <w:trPr/>
        <w:tc>
          <w:tcPr>
            <w:tcW w:w="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b/>
              </w:rPr>
            </w:pPr>
            <w:r>
              <w:rPr>
                <w:b/>
              </w:rPr>
              <w:t>3.</w:t>
            </w:r>
          </w:p>
        </w:tc>
        <w:tc>
          <w:tcPr>
            <w:tcW w:w="9640" w:type="dxa"/>
            <w:tcBorders/>
            <w:vAlign w:val="center"/>
          </w:tcPr>
          <w:p>
            <w:pPr>
              <w:pStyle w:val="TableContents"/>
              <w:bidi w:val="0"/>
              <w:spacing w:before="0" w:after="283"/>
              <w:jc w:val="left"/>
              <w:rPr>
                <w:b/>
              </w:rPr>
            </w:pPr>
            <w:r>
              <w:rPr>
                <w:b/>
              </w:rPr>
              <w:t>What makes this acquisition successful?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Success will be measured by more than financial performance. We want to successfully integrate our organizations while maintaining exceptional customer service, retaining talented employees, preserving the strengths of both cultures and creating long-term value for our shareholders. If customers continue to receive outstanding service, employees feel engaged and we continue growing responsibly, we will consider the transaction a success.</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41"/>
        <w:gridCol w:w="222"/>
        <w:gridCol w:w="9942"/>
      </w:tblGrid>
      <w:tr>
        <w:trPr/>
        <w:tc>
          <w:tcPr>
            <w:tcW w:w="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rPr>
            </w:pPr>
            <w:r>
              <w:rPr>
                <w:b/>
              </w:rPr>
              <w:t>4.</w:t>
            </w:r>
          </w:p>
        </w:tc>
        <w:tc>
          <w:tcPr>
            <w:tcW w:w="9942" w:type="dxa"/>
            <w:tcBorders/>
            <w:vAlign w:val="center"/>
          </w:tcPr>
          <w:p>
            <w:pPr>
              <w:pStyle w:val="TableContents"/>
              <w:bidi w:val="0"/>
              <w:spacing w:before="0" w:after="283"/>
              <w:jc w:val="left"/>
              <w:rPr>
                <w:b/>
              </w:rPr>
            </w:pPr>
            <w:r>
              <w:rPr>
                <w:b/>
              </w:rPr>
              <w:t>What happens to employees? Will there be layoffs? What career opportunities will exist?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focus today is on planning, not staffing decisions. Integration planning is still in its early stages, and no broad employment decisions have been made. As we move forward, we expect this transaction to create new career opportunities across a larger organization. Employees will receive updates as decisions are made through the integration planning process.</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73"/>
        <w:gridCol w:w="389"/>
        <w:gridCol w:w="9743"/>
      </w:tblGrid>
      <w:tr>
        <w:trPr/>
        <w:tc>
          <w:tcPr>
            <w:tcW w:w="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b/>
              </w:rPr>
            </w:pPr>
            <w:r>
              <w:rPr>
                <w:b/>
              </w:rPr>
              <w:t>5.</w:t>
            </w:r>
          </w:p>
        </w:tc>
        <w:tc>
          <w:tcPr>
            <w:tcW w:w="9743" w:type="dxa"/>
            <w:tcBorders/>
            <w:vAlign w:val="center"/>
          </w:tcPr>
          <w:p>
            <w:pPr>
              <w:pStyle w:val="TableContents"/>
              <w:bidi w:val="0"/>
              <w:spacing w:before="0" w:after="283"/>
              <w:jc w:val="left"/>
              <w:rPr>
                <w:b/>
              </w:rPr>
            </w:pPr>
            <w:r>
              <w:rPr>
                <w:b/>
              </w:rPr>
              <w:t>What will happen to leadership and governance?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Four representatives for Tri Counties Bank will join our board, and we don’t anticipate changes to our board committee structure. Any leadership decisions for the combined organization will ultimately be determined as a part of the integration process and will be communicated once decisions are finalized. We expect continuity in our leadership team, with some additions over time as we bring the organizations together.</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07"/>
        <w:gridCol w:w="566"/>
        <w:gridCol w:w="9532"/>
      </w:tblGrid>
      <w:tr>
        <w:trPr/>
        <w:tc>
          <w:tcPr>
            <w:tcW w:w="1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b/>
              </w:rPr>
            </w:pPr>
            <w:r>
              <w:rPr>
                <w:b/>
              </w:rPr>
              <w:t>6.</w:t>
            </w:r>
          </w:p>
        </w:tc>
        <w:tc>
          <w:tcPr>
            <w:tcW w:w="9532" w:type="dxa"/>
            <w:tcBorders/>
            <w:vAlign w:val="center"/>
          </w:tcPr>
          <w:p>
            <w:pPr>
              <w:pStyle w:val="TableContents"/>
              <w:bidi w:val="0"/>
              <w:spacing w:before="0" w:after="283"/>
              <w:jc w:val="left"/>
              <w:rPr>
                <w:b/>
              </w:rPr>
            </w:pPr>
            <w:r>
              <w:rPr>
                <w:b/>
              </w:rPr>
              <w:t>What will happen operationally?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These decisions will be evaluated during the integration planning process. Dedicated integration teams will assess each function to determine the best operating model while maintaining strong customer service, appropriate controls and regulatory compliance.</w:t>
      </w:r>
    </w:p>
    <w:p>
      <w:pPr>
        <w:pStyle w:val="TextBody"/>
        <w:bidi w:val="0"/>
        <w:spacing w:before="0" w:after="0"/>
        <w:ind w:left="36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83"/>
        <w:gridCol w:w="438"/>
        <w:gridCol w:w="9684"/>
      </w:tblGrid>
      <w:tr>
        <w:trPr/>
        <w:tc>
          <w:tcPr>
            <w:tcW w:w="8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b/>
              </w:rPr>
            </w:pPr>
            <w:r>
              <w:rPr>
                <w:b/>
              </w:rPr>
              <w:t>7.</w:t>
            </w:r>
          </w:p>
        </w:tc>
        <w:tc>
          <w:tcPr>
            <w:tcW w:w="9684" w:type="dxa"/>
            <w:tcBorders/>
            <w:vAlign w:val="center"/>
          </w:tcPr>
          <w:p>
            <w:pPr>
              <w:pStyle w:val="TableContents"/>
              <w:bidi w:val="0"/>
              <w:spacing w:before="0" w:after="283"/>
              <w:jc w:val="left"/>
              <w:rPr>
                <w:b/>
              </w:rPr>
            </w:pPr>
            <w:r>
              <w:rPr>
                <w:b/>
              </w:rPr>
              <w:t>Will current projects or roadmaps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Business continues as usual. Current priorities remain important, although some initiatives may be adjusted over time as integration planning progresses. Employees should continue executing existing priorities through appropriate EPMO channels unless directed otherwise by their leadership.</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40"/>
        <w:gridCol w:w="215"/>
        <w:gridCol w:w="9950"/>
      </w:tblGrid>
      <w:tr>
        <w:trPr/>
        <w:tc>
          <w:tcPr>
            <w:tcW w:w="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8.</w:t>
            </w:r>
          </w:p>
        </w:tc>
        <w:tc>
          <w:tcPr>
            <w:tcW w:w="9950" w:type="dxa"/>
            <w:tcBorders/>
            <w:vAlign w:val="center"/>
          </w:tcPr>
          <w:p>
            <w:pPr>
              <w:pStyle w:val="TableContents"/>
              <w:bidi w:val="0"/>
              <w:spacing w:before="0" w:after="283"/>
              <w:jc w:val="left"/>
              <w:rPr>
                <w:b/>
              </w:rPr>
            </w:pPr>
            <w:r>
              <w:rPr>
                <w:b/>
              </w:rPr>
              <w:t>What can you tell us about Tri Counties Bank’s culture, credit philosophy and technology?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 of the reasons this partnership made sense is because our organizations share many important values, including a relationship-focused approach to banking, disciplined credit practices and strong community involvement. As integration teams begin working together, we’ll learn from one another and identify opportunities to adopt the best practices from both organizations.</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b/>
              </w:rPr>
            </w:pPr>
            <w:r>
              <w:rPr>
                <w:b/>
              </w:rPr>
              <w:t>9.</w:t>
            </w:r>
          </w:p>
        </w:tc>
        <w:tc>
          <w:tcPr>
            <w:tcW w:w="9591" w:type="dxa"/>
            <w:tcBorders/>
            <w:vAlign w:val="center"/>
          </w:tcPr>
          <w:p>
            <w:pPr>
              <w:pStyle w:val="TableContents"/>
              <w:bidi w:val="0"/>
              <w:spacing w:before="0" w:after="283"/>
              <w:jc w:val="both"/>
              <w:rPr>
                <w:b/>
              </w:rPr>
            </w:pPr>
            <w:r>
              <w:rPr>
                <w:b/>
              </w:rPr>
              <w:t>What does this mean for customers?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now, customers should expect business as usual. Over time, customers will benefit from a larger organization with greater scale, expanded capabilities and a broader geographic footprint. Any future changes affecting products, services or branding will be communicated well in advance</w:t>
      </w:r>
    </w:p>
    <w:p>
      <w:pPr>
        <w:pStyle w:val="TextBody"/>
        <w:bidi w:val="0"/>
        <w:spacing w:before="0" w:after="0"/>
        <w:ind w:left="360" w:right="0" w:hanging="0"/>
        <w:jc w:val="both"/>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22"/>
        <w:gridCol w:w="1036"/>
        <w:gridCol w:w="9047"/>
      </w:tblGrid>
      <w:tr>
        <w:trPr/>
        <w:tc>
          <w:tcPr>
            <w:tcW w:w="1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b/>
              </w:rPr>
            </w:pPr>
            <w:r>
              <w:rPr>
                <w:b/>
              </w:rPr>
              <w:t>10.</w:t>
            </w:r>
          </w:p>
        </w:tc>
        <w:tc>
          <w:tcPr>
            <w:tcW w:w="9047" w:type="dxa"/>
            <w:tcBorders/>
            <w:vAlign w:val="center"/>
          </w:tcPr>
          <w:p>
            <w:pPr>
              <w:pStyle w:val="TableContents"/>
              <w:bidi w:val="0"/>
              <w:spacing w:before="0" w:after="283"/>
              <w:jc w:val="left"/>
              <w:rPr>
                <w:b/>
              </w:rPr>
            </w:pPr>
            <w:r>
              <w:rPr>
                <w:b/>
              </w:rPr>
              <w:t>What are the biggest risks?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with any transaction of this size, regulatory approvals and shareholder approval from both organizations are required before closing. We continue to work constructively with regulators and remain confident in the strategic rationale for the transaction. Following completion, the combined organization will operate under regulatory requirements appropriate for its size and complexity. Integration of the organization will be complex and getting that right will be critical to the success of this partnership. </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15"/>
        <w:gridCol w:w="975"/>
        <w:gridCol w:w="9115"/>
      </w:tblGrid>
      <w:tr>
        <w:trPr/>
        <w:tc>
          <w:tcPr>
            <w:tcW w:w="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b/>
              </w:rPr>
            </w:pPr>
            <w:r>
              <w:rPr>
                <w:b/>
              </w:rPr>
              <w:t>11.</w:t>
            </w:r>
          </w:p>
        </w:tc>
        <w:tc>
          <w:tcPr>
            <w:tcW w:w="9115" w:type="dxa"/>
            <w:tcBorders/>
            <w:vAlign w:val="center"/>
          </w:tcPr>
          <w:p>
            <w:pPr>
              <w:pStyle w:val="TableContents"/>
              <w:bidi w:val="0"/>
              <w:spacing w:before="0" w:after="283"/>
              <w:jc w:val="left"/>
              <w:rPr>
                <w:b/>
              </w:rPr>
            </w:pPr>
            <w:r>
              <w:rPr>
                <w:b/>
              </w:rPr>
              <w:t>What is the financial impact?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Details regarding the financial structure of the transaction have been provided in our public filings. While short-term market performance is difficult to predict, we believe the transaction creates long-term value for shareholders.</w:t>
      </w:r>
    </w:p>
    <w:p>
      <w:pPr>
        <w:pStyle w:val="TextBody"/>
        <w:bidi w:val="0"/>
        <w:spacing w:before="0" w:after="0"/>
        <w:ind w:left="360" w:right="0" w:hanging="0"/>
        <w:jc w:val="left"/>
        <w:rPr>
          <w:caps w:val="false"/>
          <w:smallCaps w:val="false"/>
          <w:color w:val="231F20"/>
        </w:rPr>
      </w:pPr>
      <w:r>
        <w:rPr>
          <w:caps w:val="false"/>
          <w:smallCaps w:val="false"/>
          <w:color w:val="231F20"/>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combined company will continue to trade under the FHB ticker symbol following completion of the transaction.</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100"/>
        <w:gridCol w:w="846"/>
        <w:gridCol w:w="9259"/>
      </w:tblGrid>
      <w:tr>
        <w:trPr/>
        <w:tc>
          <w:tcPr>
            <w:tcW w:w="10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b/>
              </w:rPr>
            </w:pPr>
            <w:r>
              <w:rPr>
                <w:b/>
              </w:rPr>
              <w:t>12.</w:t>
            </w:r>
          </w:p>
        </w:tc>
        <w:tc>
          <w:tcPr>
            <w:tcW w:w="9259" w:type="dxa"/>
            <w:tcBorders/>
            <w:vAlign w:val="center"/>
          </w:tcPr>
          <w:p>
            <w:pPr>
              <w:pStyle w:val="TableContents"/>
              <w:bidi w:val="0"/>
              <w:spacing w:before="0" w:after="283"/>
              <w:jc w:val="left"/>
              <w:rPr>
                <w:b/>
              </w:rPr>
            </w:pPr>
            <w:r>
              <w:rPr>
                <w:b/>
              </w:rPr>
              <w:t>What does this mean for vendors?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expect our increased scale to strengthen many of our relationships with vendors over time. Existing contracts and partnerships will be evaluated as part of the normal integration planning process.</w:t>
      </w:r>
    </w:p>
    <w:p>
      <w:pPr>
        <w:pStyle w:val="TextBody"/>
        <w:bidi w:val="0"/>
        <w:spacing w:before="0" w:after="0"/>
        <w:ind w:left="360" w:right="0" w:hanging="0"/>
        <w:jc w:val="left"/>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76"/>
        <w:gridCol w:w="648"/>
        <w:gridCol w:w="9481"/>
      </w:tblGrid>
      <w:tr>
        <w:trPr/>
        <w:tc>
          <w:tcPr>
            <w:tcW w:w="7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b/>
              </w:rPr>
            </w:pPr>
            <w:r>
              <w:rPr>
                <w:b/>
              </w:rPr>
              <w:t>13.</w:t>
            </w:r>
          </w:p>
        </w:tc>
        <w:tc>
          <w:tcPr>
            <w:tcW w:w="9481" w:type="dxa"/>
            <w:tcBorders/>
            <w:vAlign w:val="center"/>
          </w:tcPr>
          <w:p>
            <w:pPr>
              <w:pStyle w:val="TableContents"/>
              <w:bidi w:val="0"/>
              <w:spacing w:before="0" w:after="283"/>
              <w:jc w:val="left"/>
              <w:rPr>
                <w:b/>
              </w:rPr>
            </w:pPr>
            <w:r>
              <w:rPr>
                <w:b/>
              </w:rPr>
              <w:t>Will the Tri Counties brand come to Hawai‘i?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maintain two separate brands with the First Hawaiian Bank brand focused on Hawaii, Guam and Saipan and the Tri Counties Bank brand focused in California.</w:t>
      </w:r>
    </w:p>
    <w:p>
      <w:pPr>
        <w:pStyle w:val="TextBody"/>
        <w:bidi w:val="0"/>
        <w:spacing w:before="0" w:after="0"/>
        <w:ind w:left="36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4">
        <w:r>
          <w:rPr>
            <w:rStyle w:val="InternetLink"/>
            <w:rFonts w:ascii="Times New Roman;Times;Serif" w:hAnsi="Times New Roman;Times;Serif"/>
            <w:b w:val="false"/>
            <w:i w:val="false"/>
            <w:caps w:val="false"/>
            <w:smallCaps w:val="false"/>
            <w:color w:val="0000FF"/>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5">
        <w:r>
          <w:rPr>
            <w:rStyle w:val="InternetLink"/>
            <w:rFonts w:ascii="Times New Roman;Times;Serif" w:hAnsi="Times New Roman;Times;Serif"/>
            <w:b w:val="false"/>
            <w:i w:val="false"/>
            <w:caps w:val="false"/>
            <w:smallCaps w:val="false"/>
            <w:color w:val="0000FF"/>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6">
        <w:r>
          <w:rPr>
            <w:rStyle w:val="InternetLink"/>
            <w:rFonts w:ascii="Times New Roman;Times;Serif" w:hAnsi="Times New Roman;Times;Serif"/>
            <w:b w:val="false"/>
            <w:i w:val="false"/>
            <w:caps w:val="false"/>
            <w:smallCaps w:val="false"/>
            <w:color w:val="0000FF"/>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7">
        <w:r>
          <w:rPr>
            <w:rStyle w:val="InternetLink"/>
            <w:rFonts w:ascii="Times New Roman;Times;Serif" w:hAnsi="Times New Roman;Times;Serif"/>
            <w:b w:val="false"/>
            <w:i w:val="false"/>
            <w:caps w:val="false"/>
            <w:smallCaps w:val="false"/>
            <w:color w:val="0000FF"/>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0036377/000110465926021544/fhb-20251231x10k.htm" TargetMode="External"/><Relationship Id="rId5" Type="http://schemas.openxmlformats.org/officeDocument/2006/relationships/hyperlink" Target="https://www.sec.gov/ix?doc=/Archives/edgar/data/0000036377/000110465926026700/tm2532317-1_def14a.htm" TargetMode="External"/><Relationship Id="rId6" Type="http://schemas.openxmlformats.org/officeDocument/2006/relationships/hyperlink" Target="https://www.sec.gov/ix?doc=/Archives/edgar/data/0000356171/000035617126000010/tcbk-20251231.htm" TargetMode="External"/><Relationship Id="rId7" Type="http://schemas.openxmlformats.org/officeDocument/2006/relationships/hyperlink" Target="https://www.sec.gov/ix?doc=/Archives/edgar/data/0000356171/000035617126000033/tcbk-20260417.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3962</Words>
  <Characters>23300</Characters>
  <CharactersWithSpaces>27265</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