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242026_070446.xml.htm"/>
      <w:bookmarkStart w:id="1" w:name="ksform404242026_070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WASHINGTON VANESSA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FIRST HAWAIIAN,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999 BISHOP STREET, 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HONOLULU</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96813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HAWAIIAN, INC.</w:t>
              </w:r>
            </w:hyperlink>
            <w:r>
              <w:rPr/>
              <w:t xml:space="preserve"> [ </w:t>
            </w:r>
            <w:r>
              <w:rPr>
                <w:rFonts w:ascii="Times;serif" w:hAnsi="Times;serif"/>
                <w:color w:val="0000FF"/>
                <w:sz w:val="24"/>
                <w:shd w:fill="FFFFFF" w:val="clear"/>
              </w:rPr>
              <w:t>FHB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22,256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that will vest on the earlier of (a) April 22, 2027, (b) the date of First Hawaiian, Inc.'s 2027 annual meeting of stockholders or (c) a change in control of First Hawaiian, Inc., subject to continued service on the First Hawaiian, Inc. Board of Directors through the vesting date, and will settle in shares of Common Stock on a one-for-one basis within 30 days of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Kamibayashi as Attorney-In-Fact for Vanessa L. Washington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687" TargetMode="External"/><Relationship Id="rId5" Type="http://schemas.openxmlformats.org/officeDocument/2006/relationships/hyperlink" Target="http://www.sec.gov/cgi-bin/browse-edgar?action=getcompany&amp;CIK=0000036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3424</Characters>
  <CharactersWithSpaces>4003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