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FIRST HAWAIIAN, INC.</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3"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50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001-14585</w:t>
            </w:r>
          </w:p>
        </w:tc>
        <w:tc>
          <w:tcPr>
            <w:tcW w:w="40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99-0156159</w:t>
            </w:r>
          </w:p>
        </w:tc>
      </w:tr>
      <w:tr>
        <w:trPr>
          <w:trHeight w:val="238"/>
        </w:trPr>
        <w:tc>
          <w:tcPr>
            <w:tcW w:w="450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402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450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rPr>
              <w:t>999 Bishop St., 29th Floor</w:t>
            </w:r>
          </w:p>
        </w:tc>
        <w:tc>
          <w:tcPr>
            <w:tcW w:w="4020" w:type="dxa"/>
            <w:vAlign w:val="bottom"/>
          </w:tcPr>
          <w:p>
            <w:pPr>
              <w:spacing w:after="0"/>
              <w:rPr>
                <w:sz w:val="24"/>
                <w:szCs w:val="24"/>
                <w:color w:val="auto"/>
              </w:rPr>
            </w:pPr>
          </w:p>
        </w:tc>
      </w:tr>
      <w:tr>
        <w:trPr>
          <w:trHeight w:val="216"/>
        </w:trPr>
        <w:tc>
          <w:tcPr>
            <w:tcW w:w="450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Honolulu, Hawaii</w:t>
            </w:r>
          </w:p>
        </w:tc>
        <w:tc>
          <w:tcPr>
            <w:tcW w:w="40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96813</w:t>
            </w:r>
          </w:p>
        </w:tc>
      </w:tr>
      <w:tr>
        <w:trPr>
          <w:trHeight w:val="238"/>
        </w:trPr>
        <w:tc>
          <w:tcPr>
            <w:tcW w:w="450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02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(808) 525-7000</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280" w:firstLine="31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4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40"/>
          </w:cols>
          <w:pgMar w:left="320" w:top="673" w:right="439" w:bottom="1440" w:gutter="0" w:footer="0" w:header="0"/>
        </w:sectPr>
      </w:pPr>
    </w:p>
    <w:p>
      <w:pPr>
        <w:spacing w:after="0" w:line="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0" w:lineRule="exact"/>
        <w:rPr>
          <w:sz w:val="24"/>
          <w:szCs w:val="24"/>
          <w:color w:val="auto"/>
        </w:rPr>
      </w:pPr>
      <w:r>
        <w:rPr>
          <w:sz w:val="24"/>
          <w:szCs w:val="24"/>
          <w:color w:val="auto"/>
        </w:rPr>
        <w:br w:type="column"/>
      </w: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FHB</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p>
      <w:pPr>
        <w:spacing w:after="0" w:line="200" w:lineRule="exact"/>
        <w:rPr>
          <w:sz w:val="24"/>
          <w:szCs w:val="24"/>
          <w:color w:val="auto"/>
        </w:rPr>
      </w:pPr>
    </w:p>
    <w:p>
      <w:pPr>
        <w:sectPr>
          <w:pgSz w:w="11900" w:h="16838" w:orient="portrait"/>
          <w:cols w:equalWidth="0" w:num="3">
            <w:col w:w="4380" w:space="720"/>
            <w:col w:w="1920" w:space="720"/>
            <w:col w:w="3400"/>
          </w:cols>
          <w:pgMar w:left="320" w:top="673" w:right="439" w:bottom="1440" w:gutter="0" w:footer="0" w:header="0"/>
          <w:type w:val="continuous"/>
        </w:sectPr>
      </w:pPr>
    </w:p>
    <w:p>
      <w:pPr>
        <w:spacing w:after="0" w:line="7" w:lineRule="exact"/>
        <w:rPr>
          <w:sz w:val="24"/>
          <w:szCs w:val="24"/>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73" w:right="439" w:bottom="1440" w:gutter="0" w:footer="0" w:header="0"/>
          <w:type w:val="continuous"/>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0" w:firstLine="656"/>
        <w:spacing w:after="0" w:line="258" w:lineRule="auto"/>
        <w:tabs>
          <w:tab w:leader="none" w:pos="8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4, 2021, the Compensation Committee of First Hawaiian, Inc. (the “Company”) adopted a new form of restricted stock unit award agreement (the “RSU Award Agreement), for use in connection with grants of awards under the Company’s 2016 Omnibus Incentive Compensation Plan and a new form of performance share unit award agreement (the “PSU Award Agreement”), for use in connection with grants of awards under the Company’s Long-Term Incentive Plan. Eligible participants under such plans include the Company’s principal executive officer, principal financial officer and named executive officers.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restrictions, terms and conditions set forth in the RSU Award Agreement, the Company’s 2016 Omnibus Incentive Compensation Plan and the participant’s employment agreement, if any, with the Company, the Company expects to grant participants restricted stock units (“RSUs”), which will vest, if at all, and be settled in shares of common stock of the Company, ratably on each of the first, second and third anniversaries of the date on which the RSUs were granted.</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Subject to the restrictions, terms and conditions set forth in the PSU Award Agreement, the Company’s Long-Term Incentive Plan and the participant’s employment agreement, if any, with the Company, the Company will grant participants performance share units, which will vest, if at all and be settled in shares of common stock of the Company, based on the achievement by the Company of the performance metrics described in the applicable PSU Award Agreement over a three-year period.</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the forms of RSU Award Agreement and PSU Award Agreement, attached hereto as Exhibit 10.1 and Exhibit 10.2, respectively, and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 Exhibits.</w:t>
            </w:r>
          </w:p>
        </w:tc>
        <w:tc>
          <w:tcPr>
            <w:tcW w:w="9440" w:type="dxa"/>
            <w:vAlign w:val="bottom"/>
          </w:tcPr>
          <w:p>
            <w:pPr>
              <w:spacing w:after="0"/>
              <w:rPr>
                <w:sz w:val="20"/>
                <w:szCs w:val="20"/>
                <w:color w:val="auto"/>
              </w:rPr>
            </w:pPr>
          </w:p>
        </w:tc>
      </w:tr>
      <w:tr>
        <w:trPr>
          <w:trHeight w:val="432"/>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40" w:type="dxa"/>
            <w:vAlign w:val="bottom"/>
          </w:tcPr>
          <w:p>
            <w:pPr>
              <w:ind w:left="4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2"/>
        </w:trPr>
        <w:tc>
          <w:tcPr>
            <w:tcW w:w="1800" w:type="dxa"/>
            <w:vAlign w:val="bottom"/>
          </w:tcPr>
          <w:p>
            <w:pPr>
              <w:ind w:left="3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10.1</w:t>
              </w:r>
            </w:hyperlink>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First Hawaiian, Inc. 2016 Omnibus Incentive Compensation Plan Form of Restricted Stock Unit Award Agreement</w:t>
              </w:r>
            </w:hyperlink>
          </w:p>
        </w:tc>
      </w:tr>
      <w:tr>
        <w:trPr>
          <w:trHeight w:val="432"/>
        </w:trPr>
        <w:tc>
          <w:tcPr>
            <w:tcW w:w="1800" w:type="dxa"/>
            <w:vAlign w:val="bottom"/>
          </w:tcPr>
          <w:p>
            <w:pPr>
              <w:ind w:left="34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10.2</w:t>
              </w:r>
            </w:hyperlink>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First Hawaiian, Inc. Long-Term Incentive Plan Form of Performance Share Unit Award Agreement</w:t>
              </w:r>
            </w:hyperlink>
          </w:p>
        </w:tc>
      </w:tr>
      <w:tr>
        <w:trPr>
          <w:trHeight w:val="432"/>
        </w:trPr>
        <w:tc>
          <w:tcPr>
            <w:tcW w:w="1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675"/>
        </w:trPr>
        <w:tc>
          <w:tcPr>
            <w:tcW w:w="180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FIRST HAWAIIAN,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2021</w:t>
      </w:r>
    </w:p>
    <w:p>
      <w:pPr>
        <w:spacing w:after="0" w:line="9"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Robert S.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33432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Name: Robert S. Harrison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Chairman of the Board, President and Chief Executive Officer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PRIVILEGED AND CONFIDENTIAL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HAWAIIAN,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2016 OMNIBUS INCENTIVE COMPENSATION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AWARD AGREEMENT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Restricted Stock Unit Award Agreement (this “</w:t>
      </w:r>
      <w:r>
        <w:rPr>
          <w:rFonts w:ascii="Times New Roman" w:cs="Times New Roman" w:eastAsia="Times New Roman" w:hAnsi="Times New Roman"/>
          <w:sz w:val="18"/>
          <w:szCs w:val="18"/>
          <w:b w:val="1"/>
          <w:bCs w:val="1"/>
          <w:u w:val="single" w:color="auto"/>
          <w:color w:val="auto"/>
        </w:rPr>
        <w:t>Award Agreement</w:t>
      </w:r>
      <w:r>
        <w:rPr>
          <w:rFonts w:ascii="Times New Roman" w:cs="Times New Roman" w:eastAsia="Times New Roman" w:hAnsi="Times New Roman"/>
          <w:sz w:val="18"/>
          <w:szCs w:val="18"/>
          <w:color w:val="auto"/>
        </w:rPr>
        <w:t>”) evidences an award of restricted stock units (“</w:t>
      </w:r>
      <w:r>
        <w:rPr>
          <w:rFonts w:ascii="Times New Roman" w:cs="Times New Roman" w:eastAsia="Times New Roman" w:hAnsi="Times New Roman"/>
          <w:sz w:val="18"/>
          <w:szCs w:val="18"/>
          <w:b w:val="1"/>
          <w:bCs w:val="1"/>
          <w:u w:val="single" w:color="auto"/>
          <w:color w:val="auto"/>
        </w:rPr>
        <w:t>RSUs</w:t>
      </w:r>
      <w:r>
        <w:rPr>
          <w:rFonts w:ascii="Times New Roman" w:cs="Times New Roman" w:eastAsia="Times New Roman" w:hAnsi="Times New Roman"/>
          <w:sz w:val="18"/>
          <w:szCs w:val="18"/>
          <w:color w:val="auto"/>
        </w:rPr>
        <w:t>”) by First Hawaiian, Inc., a Delaware corporation (“</w:t>
      </w:r>
      <w:r>
        <w:rPr>
          <w:rFonts w:ascii="Times New Roman" w:cs="Times New Roman" w:eastAsia="Times New Roman" w:hAnsi="Times New Roman"/>
          <w:sz w:val="18"/>
          <w:szCs w:val="18"/>
          <w:b w:val="1"/>
          <w:bCs w:val="1"/>
          <w:u w:val="single" w:color="auto"/>
          <w:color w:val="auto"/>
        </w:rPr>
        <w:t>First Hawaiian</w:t>
      </w:r>
      <w:r>
        <w:rPr>
          <w:rFonts w:ascii="Times New Roman" w:cs="Times New Roman" w:eastAsia="Times New Roman" w:hAnsi="Times New Roman"/>
          <w:sz w:val="18"/>
          <w:szCs w:val="18"/>
          <w:color w:val="auto"/>
        </w:rPr>
        <w:t>”) under the First Hawaiian, Inc. 2016 Omnibus Incentive Compensation Plan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Capitalized terms not defined in this Award Agreement have the meanings given to them in the Plan.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Grantee:</w:t>
            </w:r>
          </w:p>
        </w:tc>
        <w:tc>
          <w:tcPr>
            <w:tcW w:w="9120" w:type="dxa"/>
            <w:vAlign w:val="bottom"/>
            <w:gridSpan w:val="9"/>
          </w:tcPr>
          <w:p>
            <w:pPr>
              <w:ind w:left="440"/>
              <w:spacing w:after="0"/>
              <w:rPr>
                <w:sz w:val="20"/>
                <w:szCs w:val="20"/>
                <w:color w:val="auto"/>
              </w:rPr>
            </w:pPr>
            <w:r>
              <w:rPr>
                <w:rFonts w:ascii="Times New Roman" w:cs="Times New Roman" w:eastAsia="Times New Roman" w:hAnsi="Times New Roman"/>
                <w:sz w:val="18"/>
                <w:szCs w:val="18"/>
                <w:color w:val="auto"/>
              </w:rPr>
              <w:t>___________________ (the “</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w:t>
            </w:r>
          </w:p>
        </w:tc>
      </w:tr>
      <w:tr>
        <w:trPr>
          <w:trHeight w:val="20"/>
        </w:trPr>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331"/>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7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tc>
      </w:tr>
      <w:tr>
        <w:trPr>
          <w:trHeight w:val="372"/>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440" w:type="dxa"/>
            <w:vAlign w:val="bottom"/>
          </w:tcPr>
          <w:p>
            <w:pPr>
              <w:spacing w:after="0"/>
              <w:rPr>
                <w:sz w:val="24"/>
                <w:szCs w:val="24"/>
                <w:color w:val="auto"/>
              </w:rPr>
            </w:pPr>
          </w:p>
        </w:tc>
        <w:tc>
          <w:tcPr>
            <w:tcW w:w="1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320" w:type="dxa"/>
            <w:vAlign w:val="bottom"/>
          </w:tcPr>
          <w:p>
            <w:pPr>
              <w:spacing w:after="0"/>
              <w:rPr>
                <w:sz w:val="24"/>
                <w:szCs w:val="24"/>
                <w:color w:val="auto"/>
              </w:rPr>
            </w:pPr>
          </w:p>
        </w:tc>
      </w:tr>
      <w:tr>
        <w:trPr>
          <w:trHeight w:val="351"/>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Dates:</w:t>
            </w:r>
          </w:p>
        </w:tc>
        <w:tc>
          <w:tcPr>
            <w:tcW w:w="9120" w:type="dxa"/>
            <w:vAlign w:val="bottom"/>
            <w:gridSpan w:val="9"/>
          </w:tcPr>
          <w:p>
            <w:pPr>
              <w:ind w:left="440"/>
              <w:spacing w:after="0"/>
              <w:rPr>
                <w:sz w:val="20"/>
                <w:szCs w:val="20"/>
                <w:color w:val="auto"/>
              </w:rPr>
            </w:pPr>
            <w:r>
              <w:rPr>
                <w:rFonts w:ascii="Times New Roman" w:cs="Times New Roman" w:eastAsia="Times New Roman" w:hAnsi="Times New Roman"/>
                <w:sz w:val="18"/>
                <w:szCs w:val="18"/>
                <w:color w:val="auto"/>
              </w:rPr>
              <w:t>0% of the RSUs will be immediately vested upon the Grant Date.</w:t>
            </w:r>
          </w:p>
        </w:tc>
      </w:tr>
      <w:tr>
        <w:trPr>
          <w:trHeight w:val="410"/>
        </w:trPr>
        <w:tc>
          <w:tcPr>
            <w:tcW w:w="1820" w:type="dxa"/>
            <w:vAlign w:val="bottom"/>
          </w:tcPr>
          <w:p>
            <w:pPr>
              <w:spacing w:after="0"/>
              <w:rPr>
                <w:sz w:val="24"/>
                <w:szCs w:val="24"/>
                <w:color w:val="auto"/>
              </w:rPr>
            </w:pPr>
          </w:p>
        </w:tc>
        <w:tc>
          <w:tcPr>
            <w:tcW w:w="9120" w:type="dxa"/>
            <w:vAlign w:val="bottom"/>
            <w:gridSpan w:val="9"/>
          </w:tcPr>
          <w:p>
            <w:pPr>
              <w:ind w:left="440"/>
              <w:spacing w:after="0"/>
              <w:rPr>
                <w:sz w:val="20"/>
                <w:szCs w:val="20"/>
                <w:color w:val="auto"/>
              </w:rPr>
            </w:pPr>
            <w:r>
              <w:rPr>
                <w:rFonts w:ascii="Times New Roman" w:cs="Times New Roman" w:eastAsia="Times New Roman" w:hAnsi="Times New Roman"/>
                <w:sz w:val="18"/>
                <w:szCs w:val="18"/>
                <w:color w:val="auto"/>
                <w:w w:val="99"/>
              </w:rPr>
              <w:t>The remaining 100% of the RSUs will vest on each of the first, second and third anniversaries of the Grant Date (each, a</w:t>
            </w:r>
          </w:p>
        </w:tc>
      </w:tr>
      <w:tr>
        <w:trPr>
          <w:trHeight w:val="198"/>
        </w:trPr>
        <w:tc>
          <w:tcPr>
            <w:tcW w:w="1820" w:type="dxa"/>
            <w:vAlign w:val="bottom"/>
          </w:tcPr>
          <w:p>
            <w:pPr>
              <w:spacing w:after="0"/>
              <w:rPr>
                <w:sz w:val="17"/>
                <w:szCs w:val="17"/>
                <w:color w:val="auto"/>
              </w:rPr>
            </w:pPr>
          </w:p>
        </w:tc>
        <w:tc>
          <w:tcPr>
            <w:tcW w:w="9120" w:type="dxa"/>
            <w:vAlign w:val="bottom"/>
            <w:gridSpan w:val="9"/>
          </w:tcPr>
          <w:p>
            <w:pPr>
              <w:ind w:left="440"/>
              <w:spacing w:after="0" w:line="19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w:t>
            </w:r>
          </w:p>
        </w:tc>
      </w:tr>
      <w:tr>
        <w:trPr>
          <w:trHeight w:val="20"/>
        </w:trPr>
        <w:tc>
          <w:tcPr>
            <w:tcW w:w="1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20" w:type="dxa"/>
            <w:vAlign w:val="bottom"/>
            <w:gridSpan w:val="6"/>
          </w:tcPr>
          <w:p>
            <w:pPr>
              <w:spacing w:after="0" w:line="20" w:lineRule="exact"/>
              <w:rPr>
                <w:sz w:val="1"/>
                <w:szCs w:val="1"/>
                <w:color w:val="auto"/>
              </w:rPr>
            </w:pPr>
          </w:p>
        </w:tc>
      </w:tr>
      <w:tr>
        <w:trPr>
          <w:trHeight w:val="434"/>
        </w:trPr>
        <w:tc>
          <w:tcPr>
            <w:tcW w:w="1820" w:type="dxa"/>
            <w:vAlign w:val="bottom"/>
          </w:tcPr>
          <w:p>
            <w:pPr>
              <w:spacing w:after="0"/>
              <w:rPr>
                <w:sz w:val="24"/>
                <w:szCs w:val="24"/>
                <w:color w:val="auto"/>
              </w:rPr>
            </w:pPr>
          </w:p>
        </w:tc>
        <w:tc>
          <w:tcPr>
            <w:tcW w:w="9120" w:type="dxa"/>
            <w:vAlign w:val="bottom"/>
            <w:gridSpan w:val="9"/>
          </w:tcPr>
          <w:p>
            <w:pPr>
              <w:ind w:left="440"/>
              <w:spacing w:after="0"/>
              <w:rPr>
                <w:sz w:val="20"/>
                <w:szCs w:val="20"/>
                <w:color w:val="auto"/>
              </w:rPr>
            </w:pPr>
            <w:r>
              <w:rPr>
                <w:rFonts w:ascii="Times New Roman" w:cs="Times New Roman" w:eastAsia="Times New Roman" w:hAnsi="Times New Roman"/>
                <w:sz w:val="18"/>
                <w:szCs w:val="18"/>
                <w:color w:val="auto"/>
              </w:rPr>
              <w:t>The RSUs will only vest if the Grantee is, and has been, continuously employed by First Hawaiian from the Grant Date</w:t>
            </w:r>
          </w:p>
        </w:tc>
      </w:tr>
      <w:tr>
        <w:trPr>
          <w:trHeight w:val="234"/>
        </w:trPr>
        <w:tc>
          <w:tcPr>
            <w:tcW w:w="1820" w:type="dxa"/>
            <w:vAlign w:val="bottom"/>
          </w:tcPr>
          <w:p>
            <w:pPr>
              <w:spacing w:after="0"/>
              <w:rPr>
                <w:sz w:val="20"/>
                <w:szCs w:val="20"/>
                <w:color w:val="auto"/>
              </w:rPr>
            </w:pPr>
          </w:p>
        </w:tc>
        <w:tc>
          <w:tcPr>
            <w:tcW w:w="9120" w:type="dxa"/>
            <w:vAlign w:val="bottom"/>
            <w:gridSpan w:val="9"/>
          </w:tcPr>
          <w:p>
            <w:pPr>
              <w:ind w:left="440"/>
              <w:spacing w:after="0"/>
              <w:rPr>
                <w:sz w:val="20"/>
                <w:szCs w:val="20"/>
                <w:color w:val="auto"/>
              </w:rPr>
            </w:pPr>
            <w:r>
              <w:rPr>
                <w:rFonts w:ascii="Times New Roman" w:cs="Times New Roman" w:eastAsia="Times New Roman" w:hAnsi="Times New Roman"/>
                <w:sz w:val="18"/>
                <w:szCs w:val="18"/>
                <w:color w:val="auto"/>
              </w:rPr>
              <w:t>through the applicable Vesting Date, and any unvested RSUs will be forfeited upon any termination of Employment.</w:t>
            </w:r>
          </w:p>
        </w:tc>
      </w:tr>
      <w:tr>
        <w:trPr>
          <w:trHeight w:val="432"/>
        </w:trPr>
        <w:tc>
          <w:tcPr>
            <w:tcW w:w="1820" w:type="dxa"/>
            <w:vAlign w:val="bottom"/>
          </w:tcPr>
          <w:p>
            <w:pPr>
              <w:spacing w:after="0"/>
              <w:rPr>
                <w:sz w:val="24"/>
                <w:szCs w:val="24"/>
                <w:color w:val="auto"/>
              </w:rPr>
            </w:pPr>
          </w:p>
        </w:tc>
        <w:tc>
          <w:tcPr>
            <w:tcW w:w="9120" w:type="dxa"/>
            <w:vAlign w:val="bottom"/>
            <w:gridSpan w:val="9"/>
          </w:tcPr>
          <w:p>
            <w:pPr>
              <w:ind w:left="440"/>
              <w:spacing w:after="0"/>
              <w:rPr>
                <w:sz w:val="20"/>
                <w:szCs w:val="20"/>
                <w:color w:val="auto"/>
              </w:rPr>
            </w:pPr>
            <w:r>
              <w:rPr>
                <w:rFonts w:ascii="Times New Roman" w:cs="Times New Roman" w:eastAsia="Times New Roman" w:hAnsi="Times New Roman"/>
                <w:sz w:val="18"/>
                <w:szCs w:val="18"/>
                <w:color w:val="auto"/>
              </w:rPr>
              <w:t>Notwithstanding the foregoing:</w:t>
            </w:r>
          </w:p>
        </w:tc>
      </w:tr>
    </w:tbl>
    <w:p>
      <w:pPr>
        <w:spacing w:after="0" w:line="198" w:lineRule="exact"/>
        <w:rPr>
          <w:sz w:val="20"/>
          <w:szCs w:val="20"/>
          <w:color w:val="auto"/>
        </w:rPr>
      </w:pPr>
    </w:p>
    <w:p>
      <w:pPr>
        <w:ind w:left="2920" w:right="760" w:hanging="443"/>
        <w:spacing w:after="0" w:line="282" w:lineRule="auto"/>
        <w:tabs>
          <w:tab w:leader="none" w:pos="29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Employment of the Grantee is terminated by reason of death or Disability, the RSUs will immediately vest in full as of the date of such termination;</w:t>
      </w:r>
    </w:p>
    <w:p>
      <w:pPr>
        <w:spacing w:after="0" w:line="161" w:lineRule="exact"/>
        <w:rPr>
          <w:rFonts w:ascii="Times New Roman" w:cs="Times New Roman" w:eastAsia="Times New Roman" w:hAnsi="Times New Roman"/>
          <w:sz w:val="18"/>
          <w:szCs w:val="18"/>
          <w:color w:val="auto"/>
        </w:rPr>
      </w:pPr>
    </w:p>
    <w:p>
      <w:pPr>
        <w:ind w:left="2920" w:right="180" w:hanging="433"/>
        <w:spacing w:after="0" w:line="261" w:lineRule="auto"/>
        <w:tabs>
          <w:tab w:leader="none" w:pos="29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Employment of the Grantee is terminated by reason of Retirement, the RSUs will immediately vest on a pro-rata basis, determined by multiplying the number of RSUs that were otherwise scheduled to vest on the next Vesting Date by the number of full months for which the Grantee was continuously employed at First Hawaiian since the previous Vesting Date, and dividing the product by 12; and</w:t>
      </w:r>
    </w:p>
    <w:p>
      <w:pPr>
        <w:spacing w:after="0" w:line="179" w:lineRule="exact"/>
        <w:rPr>
          <w:rFonts w:ascii="Times New Roman" w:cs="Times New Roman" w:eastAsia="Times New Roman" w:hAnsi="Times New Roman"/>
          <w:sz w:val="18"/>
          <w:szCs w:val="18"/>
          <w:color w:val="auto"/>
        </w:rPr>
      </w:pPr>
    </w:p>
    <w:p>
      <w:pPr>
        <w:ind w:left="2960" w:hanging="473"/>
        <w:spacing w:after="0"/>
        <w:tabs>
          <w:tab w:leader="none" w:pos="2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in Control, the RSUs will be treated in accordance with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8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purposes of this Award Agreement, “Retirement” means a Grantee’s separation from service on or after either the (1)</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26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attainment of age 65, or (2) attainment of age 55 and completion of at least five years of credited service with First</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Hawaiian or its affiliates.</w:t>
            </w:r>
          </w:p>
        </w:tc>
        <w:tc>
          <w:tcPr>
            <w:tcW w:w="0" w:type="dxa"/>
            <w:vAlign w:val="bottom"/>
          </w:tcPr>
          <w:p>
            <w:pPr>
              <w:spacing w:after="0"/>
              <w:rPr>
                <w:sz w:val="1"/>
                <w:szCs w:val="1"/>
                <w:color w:val="auto"/>
              </w:rPr>
            </w:pPr>
          </w:p>
        </w:tc>
      </w:tr>
      <w:tr>
        <w:trPr>
          <w:trHeight w:val="333"/>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Delivery Date:</w:t>
            </w:r>
          </w:p>
        </w:tc>
        <w:tc>
          <w:tcPr>
            <w:tcW w:w="8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 later than 30 days after a Vesting Date (or, if earlier, the date of the Grantee’s termination of Employment due to death,</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Disability, Retirement or in accordance with the Plan upon a Change in Control), First Hawaiian will issue to the Grantee</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98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one Share, for each vested RSU, subject to applicable tax withholding (each such date the Shares are so issued, a “</w:t>
            </w:r>
            <w:r>
              <w:rPr>
                <w:rFonts w:ascii="Times New Roman" w:cs="Times New Roman" w:eastAsia="Times New Roman" w:hAnsi="Times New Roman"/>
                <w:sz w:val="18"/>
                <w:szCs w:val="18"/>
                <w:b w:val="1"/>
                <w:bCs w:val="1"/>
                <w:color w:val="auto"/>
              </w:rPr>
              <w:t>Delivery</w:t>
            </w: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8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260" w:type="dxa"/>
            <w:vAlign w:val="bottom"/>
            <w:vMerge w:val="continue"/>
          </w:tcPr>
          <w:p>
            <w:pPr>
              <w:spacing w:after="0"/>
              <w:rPr>
                <w:sz w:val="24"/>
                <w:szCs w:val="24"/>
                <w:color w:val="auto"/>
              </w:rPr>
            </w:pPr>
          </w:p>
        </w:tc>
        <w:tc>
          <w:tcPr>
            <w:tcW w:w="8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On a Delivery Date, First Hawaiian will pay to the Grantee a cash amount equal to the product of (1) all cash dividends or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distributions (other than cash dividends or other distributions pursuant to which the RSUs were adjusted pursuant to</w:t>
            </w:r>
          </w:p>
        </w:tc>
        <w:tc>
          <w:tcPr>
            <w:tcW w:w="0" w:type="dxa"/>
            <w:vAlign w:val="bottom"/>
          </w:tcPr>
          <w:p>
            <w:pPr>
              <w:spacing w:after="0"/>
              <w:rPr>
                <w:sz w:val="1"/>
                <w:szCs w:val="1"/>
                <w:color w:val="auto"/>
              </w:rPr>
            </w:pPr>
          </w:p>
        </w:tc>
      </w:tr>
      <w:tr>
        <w:trPr>
          <w:trHeight w:val="194"/>
        </w:trPr>
        <w:tc>
          <w:tcPr>
            <w:tcW w:w="2260" w:type="dxa"/>
            <w:vAlign w:val="bottom"/>
          </w:tcPr>
          <w:p>
            <w:pPr>
              <w:spacing w:after="0"/>
              <w:rPr>
                <w:sz w:val="16"/>
                <w:szCs w:val="16"/>
                <w:color w:val="auto"/>
              </w:rPr>
            </w:pPr>
          </w:p>
        </w:tc>
        <w:tc>
          <w:tcPr>
            <w:tcW w:w="89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Section 1.6.3 of the Plan), if any, paid on a Share from the Grant Date to such Delivery Date and (2) the number of Shares</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26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delivered to the Grantee on such Delivery Date (including for this purpose any Shares which would have been delivered on</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such Delivery Date but for being withheld to satisfy tax withholding obligations).</w:t>
            </w:r>
          </w:p>
        </w:tc>
        <w:tc>
          <w:tcPr>
            <w:tcW w:w="0" w:type="dxa"/>
            <w:vAlign w:val="bottom"/>
          </w:tcPr>
          <w:p>
            <w:pPr>
              <w:spacing w:after="0"/>
              <w:rPr>
                <w:sz w:val="1"/>
                <w:szCs w:val="1"/>
                <w:color w:val="auto"/>
              </w:rPr>
            </w:pPr>
          </w:p>
        </w:tc>
      </w:tr>
      <w:tr>
        <w:trPr>
          <w:trHeight w:val="351"/>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Terms:</w:t>
            </w:r>
          </w:p>
        </w:tc>
        <w:tc>
          <w:tcPr>
            <w:tcW w:w="8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As set forth in the Plan.</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Plan is incorporated herein by reference. Except as otherwise set forth in this Award Agreement, the Award Agreement and the Plan constitute the entire agreement and understanding of the parties with respect to the RSUs. In the event that any provision of this Award Agreement is inconsistent with the Plan, the terms of the Plan will control. Except as specifically provided herein, in the event that any provision of this Award Agreement is inconsistent with any employment agreement between the Grantee and First Hawaiian (“</w:t>
      </w:r>
      <w:r>
        <w:rPr>
          <w:rFonts w:ascii="Times New Roman" w:cs="Times New Roman" w:eastAsia="Times New Roman" w:hAnsi="Times New Roman"/>
          <w:sz w:val="18"/>
          <w:szCs w:val="18"/>
          <w:b w:val="1"/>
          <w:bCs w:val="1"/>
          <w:u w:val="single" w:color="auto"/>
          <w:color w:val="auto"/>
        </w:rPr>
        <w:t>Employment Agreement</w:t>
      </w:r>
      <w:r>
        <w:rPr>
          <w:rFonts w:ascii="Times New Roman" w:cs="Times New Roman" w:eastAsia="Times New Roman" w:hAnsi="Times New Roman"/>
          <w:sz w:val="18"/>
          <w:szCs w:val="18"/>
          <w:color w:val="auto"/>
        </w:rPr>
        <w:t>”), the terms of the Employment Agreement will control. By accepting this Award, the Grantee agrees to be subject to the terms and conditions of the Plan.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Award Agreement may be executed in counterparts, which together will constitute one and the same original.</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caused this Award Agreement to be duly executed and effective as of the Grant Date.</w:t>
      </w: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FIRST HAWAIIAN, INC.</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-125095</wp:posOffset>
            </wp:positionV>
            <wp:extent cx="35572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HAWAIIAN,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SHARE UNIT AWARD AGREEMENT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Performance Share Unit Award Agreement (this “</w:t>
      </w:r>
      <w:r>
        <w:rPr>
          <w:rFonts w:ascii="Times New Roman" w:cs="Times New Roman" w:eastAsia="Times New Roman" w:hAnsi="Times New Roman"/>
          <w:sz w:val="18"/>
          <w:szCs w:val="18"/>
          <w:b w:val="1"/>
          <w:bCs w:val="1"/>
          <w:u w:val="single" w:color="auto"/>
          <w:color w:val="auto"/>
        </w:rPr>
        <w:t>Award Agreement</w:t>
      </w:r>
      <w:r>
        <w:rPr>
          <w:rFonts w:ascii="Times New Roman" w:cs="Times New Roman" w:eastAsia="Times New Roman" w:hAnsi="Times New Roman"/>
          <w:sz w:val="18"/>
          <w:szCs w:val="18"/>
          <w:color w:val="auto"/>
        </w:rPr>
        <w:t>”) evidences an award of performance share units (the “</w:t>
      </w:r>
      <w:r>
        <w:rPr>
          <w:rFonts w:ascii="Times New Roman" w:cs="Times New Roman" w:eastAsia="Times New Roman" w:hAnsi="Times New Roman"/>
          <w:sz w:val="18"/>
          <w:szCs w:val="18"/>
          <w:b w:val="1"/>
          <w:bCs w:val="1"/>
          <w:u w:val="single" w:color="auto"/>
          <w:color w:val="auto"/>
        </w:rPr>
        <w:t>PSUs</w:t>
      </w:r>
      <w:r>
        <w:rPr>
          <w:rFonts w:ascii="Times New Roman" w:cs="Times New Roman" w:eastAsia="Times New Roman" w:hAnsi="Times New Roman"/>
          <w:sz w:val="18"/>
          <w:szCs w:val="18"/>
          <w:color w:val="auto"/>
        </w:rPr>
        <w:t>”) by First Hawaiian, Inc., a Delaware corporation (“</w:t>
      </w:r>
      <w:r>
        <w:rPr>
          <w:rFonts w:ascii="Times New Roman" w:cs="Times New Roman" w:eastAsia="Times New Roman" w:hAnsi="Times New Roman"/>
          <w:sz w:val="18"/>
          <w:szCs w:val="18"/>
          <w:b w:val="1"/>
          <w:bCs w:val="1"/>
          <w:u w:val="single" w:color="auto"/>
          <w:color w:val="auto"/>
        </w:rPr>
        <w:t>First Hawaiian</w:t>
      </w:r>
      <w:r>
        <w:rPr>
          <w:rFonts w:ascii="Times New Roman" w:cs="Times New Roman" w:eastAsia="Times New Roman" w:hAnsi="Times New Roman"/>
          <w:sz w:val="18"/>
          <w:szCs w:val="18"/>
          <w:color w:val="auto"/>
        </w:rPr>
        <w:t>”), under the First Hawaiian, Inc. Long-Term Incentive Plan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Capitalized terms used but not defined in this Award Agreement have the meanings given to them in the Plan.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Grantee:</w:t>
            </w:r>
          </w:p>
        </w:tc>
        <w:tc>
          <w:tcPr>
            <w:tcW w:w="2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________________</w:t>
            </w:r>
          </w:p>
        </w:tc>
        <w:tc>
          <w:tcPr>
            <w:tcW w:w="660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w:t>
            </w:r>
          </w:p>
        </w:tc>
      </w:tr>
      <w:tr>
        <w:trPr>
          <w:trHeight w:val="20"/>
        </w:trPr>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tc>
      </w:tr>
      <w:tr>
        <w:trPr>
          <w:trHeight w:val="20"/>
        </w:trPr>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Target Number of PSUs:</w:t>
            </w:r>
          </w:p>
        </w:tc>
        <w:tc>
          <w:tcPr>
            <w:tcW w:w="8740" w:type="dxa"/>
            <w:vAlign w:val="bottom"/>
            <w:gridSpan w:val="11"/>
          </w:tcPr>
          <w:p>
            <w:pPr>
              <w:ind w:left="460"/>
              <w:spacing w:after="0"/>
              <w:rPr>
                <w:sz w:val="20"/>
                <w:szCs w:val="20"/>
                <w:color w:val="auto"/>
              </w:rPr>
            </w:pPr>
            <w:r>
              <w:rPr>
                <w:rFonts w:ascii="Times New Roman" w:cs="Times New Roman" w:eastAsia="Times New Roman" w:hAnsi="Times New Roman"/>
                <w:sz w:val="18"/>
                <w:szCs w:val="18"/>
                <w:color w:val="auto"/>
                <w:w w:val="99"/>
              </w:rPr>
              <w:t>___________ (the “</w:t>
            </w:r>
            <w:r>
              <w:rPr>
                <w:rFonts w:ascii="Times New Roman" w:cs="Times New Roman" w:eastAsia="Times New Roman" w:hAnsi="Times New Roman"/>
                <w:sz w:val="18"/>
                <w:szCs w:val="18"/>
                <w:b w:val="1"/>
                <w:bCs w:val="1"/>
                <w:color w:val="auto"/>
                <w:w w:val="99"/>
              </w:rPr>
              <w:t>Target Number of PSUs</w:t>
            </w:r>
            <w:r>
              <w:rPr>
                <w:rFonts w:ascii="Times New Roman" w:cs="Times New Roman" w:eastAsia="Times New Roman" w:hAnsi="Times New Roman"/>
                <w:sz w:val="18"/>
                <w:szCs w:val="18"/>
                <w:color w:val="auto"/>
                <w:w w:val="99"/>
              </w:rPr>
              <w:t>”). The number of PSUs that will actually vest will range from 0% to</w:t>
            </w:r>
          </w:p>
        </w:tc>
      </w:tr>
      <w:tr>
        <w:trPr>
          <w:trHeight w:val="20"/>
        </w:trPr>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40" w:type="dxa"/>
            <w:vAlign w:val="bottom"/>
            <w:gridSpan w:val="5"/>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740" w:type="dxa"/>
            <w:vAlign w:val="bottom"/>
            <w:gridSpan w:val="11"/>
          </w:tcPr>
          <w:p>
            <w:pPr>
              <w:ind w:left="460"/>
              <w:spacing w:after="0" w:line="196" w:lineRule="exact"/>
              <w:rPr>
                <w:sz w:val="20"/>
                <w:szCs w:val="20"/>
                <w:color w:val="auto"/>
              </w:rPr>
            </w:pPr>
            <w:r>
              <w:rPr>
                <w:rFonts w:ascii="Times New Roman" w:cs="Times New Roman" w:eastAsia="Times New Roman" w:hAnsi="Times New Roman"/>
                <w:sz w:val="18"/>
                <w:szCs w:val="18"/>
                <w:color w:val="auto"/>
              </w:rPr>
              <w:t>200% of the Target Number of PSUs (200% of the Target Number of PSUs, the “</w:t>
            </w:r>
            <w:r>
              <w:rPr>
                <w:rFonts w:ascii="Times New Roman" w:cs="Times New Roman" w:eastAsia="Times New Roman" w:hAnsi="Times New Roman"/>
                <w:sz w:val="18"/>
                <w:szCs w:val="18"/>
                <w:b w:val="1"/>
                <w:bCs w:val="1"/>
                <w:color w:val="auto"/>
              </w:rPr>
              <w:t>Maximum Award</w:t>
            </w:r>
            <w:r>
              <w:rPr>
                <w:rFonts w:ascii="Times New Roman" w:cs="Times New Roman" w:eastAsia="Times New Roman" w:hAnsi="Times New Roman"/>
                <w:sz w:val="18"/>
                <w:szCs w:val="18"/>
                <w:color w:val="auto"/>
              </w:rPr>
              <w:t>”) and be</w:t>
            </w:r>
          </w:p>
        </w:tc>
      </w:tr>
      <w:tr>
        <w:trPr>
          <w:trHeight w:val="237"/>
        </w:trPr>
        <w:tc>
          <w:tcPr>
            <w:tcW w:w="2360" w:type="dxa"/>
            <w:vAlign w:val="bottom"/>
          </w:tcPr>
          <w:p>
            <w:pPr>
              <w:spacing w:after="0"/>
              <w:rPr>
                <w:sz w:val="20"/>
                <w:szCs w:val="20"/>
                <w:color w:val="auto"/>
              </w:rPr>
            </w:pPr>
          </w:p>
        </w:tc>
        <w:tc>
          <w:tcPr>
            <w:tcW w:w="6300" w:type="dxa"/>
            <w:vAlign w:val="bottom"/>
            <w:gridSpan w:val="8"/>
          </w:tcPr>
          <w:p>
            <w:pPr>
              <w:ind w:left="460"/>
              <w:spacing w:after="0"/>
              <w:rPr>
                <w:sz w:val="20"/>
                <w:szCs w:val="20"/>
                <w:color w:val="auto"/>
              </w:rPr>
            </w:pPr>
            <w:r>
              <w:rPr>
                <w:rFonts w:ascii="Times New Roman" w:cs="Times New Roman" w:eastAsia="Times New Roman" w:hAnsi="Times New Roman"/>
                <w:sz w:val="18"/>
                <w:szCs w:val="18"/>
                <w:color w:val="auto"/>
              </w:rPr>
              <w:t>determined based on achievement of the Performance Metrics below.</w:t>
            </w:r>
          </w:p>
        </w:tc>
        <w:tc>
          <w:tcPr>
            <w:tcW w:w="1360" w:type="dxa"/>
            <w:vAlign w:val="bottom"/>
            <w:tcBorders>
              <w:top w:val="single" w:sz="8" w:color="auto"/>
            </w:tcBorders>
            <w:gridSpan w:val="2"/>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8740" w:type="dxa"/>
            <w:vAlign w:val="bottom"/>
            <w:gridSpan w:val="11"/>
          </w:tcPr>
          <w:p>
            <w:pPr>
              <w:ind w:left="460"/>
              <w:spacing w:after="0"/>
              <w:rPr>
                <w:sz w:val="20"/>
                <w:szCs w:val="20"/>
                <w:color w:val="auto"/>
              </w:rPr>
            </w:pPr>
            <w:r>
              <w:rPr>
                <w:rFonts w:ascii="Times New Roman" w:cs="Times New Roman" w:eastAsia="Times New Roman" w:hAnsi="Times New Roman"/>
                <w:sz w:val="18"/>
                <w:szCs w:val="18"/>
                <w:color w:val="auto"/>
              </w:rPr>
              <w:t>January 1, ____ to December 31, ____</w:t>
            </w:r>
          </w:p>
        </w:tc>
      </w:tr>
      <w:tr>
        <w:trPr>
          <w:trHeight w:val="41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8740" w:type="dxa"/>
            <w:vAlign w:val="bottom"/>
            <w:gridSpan w:val="11"/>
          </w:tcPr>
          <w:p>
            <w:pPr>
              <w:ind w:left="460"/>
              <w:spacing w:after="0"/>
              <w:rPr>
                <w:sz w:val="20"/>
                <w:szCs w:val="20"/>
                <w:color w:val="auto"/>
              </w:rPr>
            </w:pPr>
            <w:r>
              <w:rPr>
                <w:rFonts w:ascii="Times New Roman" w:cs="Times New Roman" w:eastAsia="Times New Roman" w:hAnsi="Times New Roman"/>
                <w:sz w:val="18"/>
                <w:szCs w:val="18"/>
                <w:color w:val="auto"/>
                <w:w w:val="99"/>
              </w:rPr>
              <w:t>PSUs shall vest on the date the Committee determines the number of Earned PSUs (as defined in Annex A), which</w:t>
            </w:r>
          </w:p>
        </w:tc>
      </w:tr>
      <w:tr>
        <w:trPr>
          <w:trHeight w:val="198"/>
        </w:trPr>
        <w:tc>
          <w:tcPr>
            <w:tcW w:w="2360" w:type="dxa"/>
            <w:vAlign w:val="bottom"/>
          </w:tcPr>
          <w:p>
            <w:pPr>
              <w:spacing w:after="0"/>
              <w:rPr>
                <w:sz w:val="17"/>
                <w:szCs w:val="17"/>
                <w:color w:val="auto"/>
              </w:rPr>
            </w:pPr>
          </w:p>
        </w:tc>
        <w:tc>
          <w:tcPr>
            <w:tcW w:w="8740" w:type="dxa"/>
            <w:vAlign w:val="bottom"/>
            <w:gridSpan w:val="11"/>
          </w:tcPr>
          <w:p>
            <w:pPr>
              <w:ind w:left="460"/>
              <w:spacing w:after="0" w:line="198" w:lineRule="exact"/>
              <w:rPr>
                <w:sz w:val="20"/>
                <w:szCs w:val="20"/>
                <w:color w:val="auto"/>
              </w:rPr>
            </w:pPr>
            <w:r>
              <w:rPr>
                <w:rFonts w:ascii="Times New Roman" w:cs="Times New Roman" w:eastAsia="Times New Roman" w:hAnsi="Times New Roman"/>
                <w:sz w:val="18"/>
                <w:szCs w:val="18"/>
                <w:color w:val="auto"/>
              </w:rPr>
              <w:t>shall be within 60 days following the end of the Performance Period (the “</w:t>
            </w:r>
            <w:r>
              <w:rPr>
                <w:rFonts w:ascii="Times New Roman" w:cs="Times New Roman" w:eastAsia="Times New Roman" w:hAnsi="Times New Roman"/>
                <w:sz w:val="18"/>
                <w:szCs w:val="18"/>
                <w:b w:val="1"/>
                <w:bCs w:val="1"/>
                <w:color w:val="auto"/>
              </w:rPr>
              <w:t>Determination Date</w:t>
            </w:r>
            <w:r>
              <w:rPr>
                <w:rFonts w:ascii="Times New Roman" w:cs="Times New Roman" w:eastAsia="Times New Roman" w:hAnsi="Times New Roman"/>
                <w:sz w:val="18"/>
                <w:szCs w:val="18"/>
                <w:color w:val="auto"/>
              </w:rPr>
              <w:t>”).</w:t>
            </w:r>
          </w:p>
        </w:tc>
      </w:tr>
      <w:tr>
        <w:trPr>
          <w:trHeight w:val="20"/>
        </w:trPr>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25" w:lineRule="exact"/>
        <w:rPr>
          <w:sz w:val="20"/>
          <w:szCs w:val="20"/>
          <w:color w:val="auto"/>
        </w:rPr>
      </w:pPr>
    </w:p>
    <w:p>
      <w:pPr>
        <w:ind w:left="2820" w:right="120"/>
        <w:spacing w:after="0" w:line="266" w:lineRule="auto"/>
        <w:rPr>
          <w:sz w:val="20"/>
          <w:szCs w:val="20"/>
          <w:color w:val="auto"/>
        </w:rPr>
      </w:pPr>
      <w:r>
        <w:rPr>
          <w:rFonts w:ascii="Times New Roman" w:cs="Times New Roman" w:eastAsia="Times New Roman" w:hAnsi="Times New Roman"/>
          <w:sz w:val="18"/>
          <w:szCs w:val="18"/>
          <w:color w:val="auto"/>
        </w:rPr>
        <w:t>The PSUs will only vest if the Grantee is, and has been, continuously employed by First Hawaiian from the Grant Date through the Determination Date and to the extent that the Performance Metrics are satisfied, and any unvested PSUs will be forfeited upon any termination of Employment.</w:t>
      </w:r>
    </w:p>
    <w:p>
      <w:pPr>
        <w:spacing w:after="0" w:line="176" w:lineRule="exact"/>
        <w:rPr>
          <w:sz w:val="20"/>
          <w:szCs w:val="20"/>
          <w:color w:val="auto"/>
        </w:rPr>
      </w:pPr>
    </w:p>
    <w:p>
      <w:pPr>
        <w:ind w:left="2820" w:right="100"/>
        <w:spacing w:after="0" w:line="255" w:lineRule="auto"/>
        <w:rPr>
          <w:sz w:val="20"/>
          <w:szCs w:val="20"/>
          <w:color w:val="auto"/>
        </w:rPr>
      </w:pPr>
      <w:r>
        <w:rPr>
          <w:rFonts w:ascii="Times New Roman" w:cs="Times New Roman" w:eastAsia="Times New Roman" w:hAnsi="Times New Roman"/>
          <w:sz w:val="18"/>
          <w:szCs w:val="18"/>
          <w:color w:val="auto"/>
        </w:rPr>
        <w:t>Notwithstanding the foregoing, in the event the Employment of the Grantee is terminated by reason of (i) death or Disability, the PSUs will immediately vest in a prorated number of the Target Number of PSUs based on the Grantee’s date of termination of employment relative to the length of the Performance Period or (ii) Retirement, the PSUs will remain outstanding following such Retirement and will vest based on actual performance as determined by the Committee on the Determination Date in a prorated number of the Earned PSUs based on the Grantee’s termination of employment relative to the length of the Performance Period. Upon a Change in Control that occurs during the Performance Period, the PSUs will be treated in accordance with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Performance Metrics:</w:t>
            </w:r>
          </w:p>
        </w:tc>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number of PSUs that will be earned at the end of the Performance Period (or, if earlier, through the date of a</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842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 xml:space="preserve">Change in Control) will be determined based on achievement of the performance metrics set forth in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2820" w:type="dxa"/>
            <w:vAlign w:val="bottom"/>
            <w:vMerge w:val="continue"/>
          </w:tcPr>
          <w:p>
            <w:pPr>
              <w:spacing w:after="0"/>
              <w:rPr>
                <w:sz w:val="24"/>
                <w:szCs w:val="24"/>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 later than 30 days after the Determination Date, First Hawaiian will issue to the Grantee one Share for each</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842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Earned PSU, subject to applicable tax withholding (the date the Shares are so issued, the “</w:t>
            </w:r>
            <w:r>
              <w:rPr>
                <w:rFonts w:ascii="Times New Roman" w:cs="Times New Roman" w:eastAsia="Times New Roman" w:hAnsi="Times New Roman"/>
                <w:sz w:val="18"/>
                <w:szCs w:val="18"/>
                <w:b w:val="1"/>
                <w:bCs w:val="1"/>
                <w:color w:val="auto"/>
              </w:rPr>
              <w:t>Delivery</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Pr>
          <w:p>
            <w:pPr>
              <w:spacing w:after="0"/>
              <w:rPr>
                <w:sz w:val="17"/>
                <w:szCs w:val="17"/>
                <w:color w:val="auto"/>
              </w:rPr>
            </w:pPr>
          </w:p>
        </w:tc>
        <w:tc>
          <w:tcPr>
            <w:tcW w:w="84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Notwithstanding the foregoing, in the event the employment of the Grantee is terminated by reason of (i)</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8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death or Disability, the date of such termination will be treated as the Determination Date and the number of Earned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PSUs will be based on the prorated number of Target Number of PSUs earned in accordance with the terms of this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Award Agreement or (ii) Retirement, the number of Earned PSUs will be prorated based on the Grantee’s</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termination of employment relative to the length of the Performance Period.</w:t>
            </w:r>
          </w:p>
        </w:tc>
        <w:tc>
          <w:tcPr>
            <w:tcW w:w="0" w:type="dxa"/>
            <w:vAlign w:val="bottom"/>
          </w:tcPr>
          <w:p>
            <w:pPr>
              <w:spacing w:after="0"/>
              <w:rPr>
                <w:sz w:val="1"/>
                <w:szCs w:val="1"/>
                <w:color w:val="auto"/>
              </w:rPr>
            </w:pPr>
          </w:p>
        </w:tc>
      </w:tr>
      <w:tr>
        <w:trPr>
          <w:trHeight w:val="522"/>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 cash dividends or other amounts shall be payable with respect to the PSUs prior to the Determination Date. No</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later than 30 days after the Determination Date, First Hawaiian will pay to the Grantee a cash amount equal to the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product of (i) all cash dividends or other distributions (other than cash dividends or other distributions pursuant to</w:t>
            </w:r>
          </w:p>
        </w:tc>
        <w:tc>
          <w:tcPr>
            <w:tcW w:w="0" w:type="dxa"/>
            <w:vAlign w:val="bottom"/>
          </w:tcPr>
          <w:p>
            <w:pPr>
              <w:spacing w:after="0"/>
              <w:rPr>
                <w:sz w:val="1"/>
                <w:szCs w:val="1"/>
                <w:color w:val="auto"/>
              </w:rPr>
            </w:pPr>
          </w:p>
        </w:tc>
      </w:tr>
      <w:tr>
        <w:trPr>
          <w:trHeight w:val="194"/>
        </w:trPr>
        <w:tc>
          <w:tcPr>
            <w:tcW w:w="2820" w:type="dxa"/>
            <w:vAlign w:val="bottom"/>
          </w:tcPr>
          <w:p>
            <w:pPr>
              <w:spacing w:after="0"/>
              <w:rPr>
                <w:sz w:val="16"/>
                <w:szCs w:val="16"/>
                <w:color w:val="auto"/>
              </w:rPr>
            </w:pPr>
          </w:p>
        </w:tc>
        <w:tc>
          <w:tcPr>
            <w:tcW w:w="84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which the PSUs were adjusted pursuant to Section 1.6.3 of the Omnibus Plan), if any, paid on a Share from the</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tcPr>
          <w:p>
            <w:pPr>
              <w:spacing w:after="0"/>
              <w:rPr>
                <w:sz w:val="20"/>
                <w:szCs w:val="20"/>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Grant Date to the Determination Date and (ii) the Earned PSUs.</w:t>
            </w: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Terms</w:t>
            </w:r>
            <w:r>
              <w:rPr>
                <w:rFonts w:ascii="Times New Roman" w:cs="Times New Roman" w:eastAsia="Times New Roman" w:hAnsi="Times New Roman"/>
                <w:sz w:val="18"/>
                <w:szCs w:val="18"/>
                <w:color w:val="auto"/>
              </w:rPr>
              <w:t>:</w:t>
            </w:r>
          </w:p>
        </w:tc>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As set forth in the Plan.</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Plan is incorporated herein by reference. Except as otherwise set forth in this Award Agreement, the Award Agreement and the Plan constitute the entire agreement and understanding of the parties with respect to the PSUs. In the event that any provision of this Award Agreement is inconsistent with the Plan, the terms of the Plan will control. Except as specifically provided herein, in the event that any provision of this Award Agreement is inconsistent with any employment agreement between the Grantee and First Hawaiian (“</w:t>
      </w:r>
      <w:r>
        <w:rPr>
          <w:rFonts w:ascii="Times New Roman" w:cs="Times New Roman" w:eastAsia="Times New Roman" w:hAnsi="Times New Roman"/>
          <w:sz w:val="18"/>
          <w:szCs w:val="18"/>
          <w:b w:val="1"/>
          <w:bCs w:val="1"/>
          <w:u w:val="single" w:color="auto"/>
          <w:color w:val="auto"/>
        </w:rPr>
        <w:t>Employment Agreement</w:t>
      </w:r>
      <w:r>
        <w:rPr>
          <w:rFonts w:ascii="Times New Roman" w:cs="Times New Roman" w:eastAsia="Times New Roman" w:hAnsi="Times New Roman"/>
          <w:sz w:val="18"/>
          <w:szCs w:val="18"/>
          <w:color w:val="auto"/>
        </w:rPr>
        <w:t>”), the terms of the Employment Agreement will control. By accepting this Award, the Grantee agrees to be subject to the terms and conditions of the Plan.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Award Agreement may be executed in counterparts, which together will constitute one and the same original.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caused this Award Agreement to be duly executed and effective as of the Grant Date.</w:t>
      </w:r>
    </w:p>
    <w:p>
      <w:pPr>
        <w:spacing w:after="0" w:line="24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FIRST HAWAIIAN, INC.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GRANTEE</w:t>
      </w:r>
    </w:p>
    <w:p>
      <w:pPr>
        <w:spacing w:after="0" w:line="23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[INSERT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-127635</wp:posOffset>
            </wp:positionV>
            <wp:extent cx="37719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20"/>
      </w:cols>
      <w:pgMar w:left="144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upp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2021-02-04T15:23:43Z</dcterms:created>
  <dcterms:modified xsi:type="dcterms:W3CDTF">2021-02-04T15:23:43Z</dcterms:modified>
</cp:coreProperties>
</file>