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780415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720" w:right="699" w:hanging="346"/>
        <w:spacing w:after="0" w:line="232" w:lineRule="auto"/>
        <w:tabs>
          <w:tab w:leader="none" w:pos="667"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19"/>
          <w:szCs w:val="19"/>
          <w:b w:val="1"/>
          <w:bCs w:val="1"/>
          <w:color w:val="auto"/>
        </w:rPr>
        <w:t>UARTERLY REPORT PURSUANT TO SECTION 13 OR 15(d)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EXCHANGE ACT OF 1934</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700" w:right="699" w:hanging="326"/>
        <w:spacing w:after="0" w:line="270" w:lineRule="auto"/>
        <w:tabs>
          <w:tab w:leader="none" w:pos="67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2600"/>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3150870</wp:posOffset>
            </wp:positionH>
            <wp:positionV relativeFrom="paragraph">
              <wp:posOffset>-5080</wp:posOffset>
            </wp:positionV>
            <wp:extent cx="923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001-14585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FIRST HAWAIIAN,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200" w:type="dxa"/>
        <w:tblCellMar>
          <w:top w:w="0" w:type="dxa"/>
          <w:left w:w="0" w:type="dxa"/>
          <w:bottom w:w="0" w:type="dxa"/>
          <w:right w:w="0" w:type="dxa"/>
        </w:tblCellMar>
      </w:tblPr>
      <w:tr>
        <w:trPr>
          <w:trHeight w:val="205"/>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99-0156159</w:t>
            </w:r>
          </w:p>
        </w:tc>
      </w:tr>
      <w:tr>
        <w:trPr>
          <w:trHeight w:val="210"/>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08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90"/>
        </w:trPr>
        <w:tc>
          <w:tcPr>
            <w:tcW w:w="470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999 Bishop Street, 29th Floor</w:t>
            </w:r>
          </w:p>
        </w:tc>
        <w:tc>
          <w:tcPr>
            <w:tcW w:w="3080" w:type="dxa"/>
            <w:vAlign w:val="bottom"/>
          </w:tcPr>
          <w:p>
            <w:pPr>
              <w:spacing w:after="0"/>
              <w:rPr>
                <w:sz w:val="24"/>
                <w:szCs w:val="24"/>
                <w:color w:val="auto"/>
              </w:rPr>
            </w:pPr>
          </w:p>
        </w:tc>
      </w:tr>
      <w:tr>
        <w:trPr>
          <w:trHeight w:val="205"/>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Honolulu, HI</w:t>
            </w:r>
          </w:p>
        </w:tc>
        <w:tc>
          <w:tcPr>
            <w:tcW w:w="308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96813</w:t>
            </w:r>
          </w:p>
        </w:tc>
      </w:tr>
      <w:tr>
        <w:trPr>
          <w:trHeight w:val="210"/>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(808) 525-7000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3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019"/>
          </w:cols>
          <w:pgMar w:left="1440" w:top="661" w:right="1440" w:bottom="1440" w:gutter="0" w:footer="0" w:header="0"/>
        </w:sectPr>
      </w:pPr>
    </w:p>
    <w:p>
      <w:pPr>
        <w:spacing w:after="0" w:line="143"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9" w:lineRule="exact"/>
        <w:rPr>
          <w:sz w:val="24"/>
          <w:szCs w:val="24"/>
          <w:color w:val="auto"/>
        </w:rPr>
      </w:pPr>
    </w:p>
    <w:p>
      <w:pPr>
        <w:sectPr>
          <w:pgSz w:w="11900" w:h="16838" w:orient="portrait"/>
          <w:cols w:equalWidth="0" w:num="3">
            <w:col w:w="3320" w:space="720"/>
            <w:col w:w="1300" w:space="720"/>
            <w:col w:w="2959"/>
          </w:cols>
          <w:pgMar w:left="1440" w:top="661" w:right="1440"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FHB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3740" w:space="720"/>
            <w:col w:w="1200" w:space="720"/>
            <w:col w:w="2639"/>
          </w:cols>
          <w:pgMar w:left="1440" w:top="661" w:right="1440" w:bottom="1440" w:gutter="0" w:footer="0" w:header="0"/>
          <w:type w:val="continuous"/>
        </w:sectPr>
      </w:pPr>
    </w:p>
    <w:p>
      <w:pPr>
        <w:spacing w:after="0" w:line="8" w:lineRule="exact"/>
        <w:rPr>
          <w:sz w:val="24"/>
          <w:szCs w:val="24"/>
          <w:color w:val="auto"/>
        </w:rPr>
      </w:pPr>
    </w:p>
    <w:p>
      <w:pPr>
        <w:ind w:left="60" w:right="21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0" w:lineRule="exact"/>
        <w:rPr>
          <w:sz w:val="24"/>
          <w:szCs w:val="24"/>
          <w:color w:val="auto"/>
        </w:rPr>
      </w:pPr>
    </w:p>
    <w:p>
      <w:pPr>
        <w:ind w:left="60" w:right="15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03" w:lineRule="exact"/>
        <w:rPr>
          <w:sz w:val="24"/>
          <w:szCs w:val="24"/>
          <w:color w:val="auto"/>
        </w:rPr>
      </w:pPr>
    </w:p>
    <w:p>
      <w:pPr>
        <w:ind w:left="60" w:right="17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1" w:lineRule="exact"/>
        <w:rPr>
          <w:sz w:val="24"/>
          <w:szCs w:val="24"/>
          <w:color w:val="auto"/>
        </w:rPr>
      </w:pPr>
    </w:p>
    <w:p>
      <w:pPr>
        <w:ind w:left="11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42" w:lineRule="exact"/>
        <w:rPr>
          <w:sz w:val="24"/>
          <w:szCs w:val="24"/>
          <w:color w:val="auto"/>
        </w:rPr>
      </w:pPr>
    </w:p>
    <w:p>
      <w:pPr>
        <w:ind w:left="118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41" w:lineRule="exact"/>
        <w:rPr>
          <w:sz w:val="24"/>
          <w:szCs w:val="24"/>
          <w:color w:val="auto"/>
        </w:rPr>
      </w:pPr>
    </w:p>
    <w:p>
      <w:pPr>
        <w:sectPr>
          <w:pgSz w:w="11900" w:h="16838" w:orient="portrait"/>
          <w:cols w:equalWidth="0" w:num="2">
            <w:col w:w="5260" w:space="720"/>
            <w:col w:w="3039"/>
          </w:cols>
          <w:pgMar w:left="1440" w:top="661" w:right="1440" w:bottom="1440" w:gutter="0" w:footer="0" w:header="0"/>
          <w:type w:val="continuous"/>
        </w:sect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36" w:lineRule="exact"/>
        <w:rPr>
          <w:sz w:val="24"/>
          <w:szCs w:val="24"/>
          <w:color w:val="auto"/>
        </w:rPr>
      </w:pPr>
    </w:p>
    <w:p>
      <w:pPr>
        <w:ind w:left="60" w:right="179"/>
        <w:spacing w:after="0" w:line="298" w:lineRule="auto"/>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 121,681,352 shares of Common Stock, par value $0.01 per share, were outstanding as of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515620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27305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61595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00" w:type="dxa"/>
            <w:vAlign w:val="bottom"/>
            <w:gridSpan w:val="8"/>
          </w:tcPr>
          <w:p>
            <w:pPr>
              <w:jc w:val="center"/>
              <w:ind w:right="2080"/>
              <w:spacing w:after="0"/>
              <w:rPr>
                <w:sz w:val="20"/>
                <w:szCs w:val="20"/>
                <w:color w:val="auto"/>
              </w:rPr>
            </w:pPr>
            <w:r>
              <w:rPr>
                <w:rFonts w:ascii="Times New Roman" w:cs="Times New Roman" w:eastAsia="Times New Roman" w:hAnsi="Times New Roman"/>
                <w:sz w:val="14"/>
                <w:szCs w:val="14"/>
                <w:color w:val="auto"/>
              </w:rPr>
              <w:t>TABLE OF CONTENTS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8"/>
          </w:tcPr>
          <w:p>
            <w:pPr>
              <w:jc w:val="center"/>
              <w:ind w:right="2100"/>
              <w:spacing w:after="0"/>
              <w:rPr>
                <w:sz w:val="20"/>
                <w:szCs w:val="20"/>
                <w:color w:val="auto"/>
              </w:rPr>
            </w:pPr>
            <w:r>
              <w:rPr>
                <w:rFonts w:ascii="Times New Roman" w:cs="Times New Roman" w:eastAsia="Times New Roman" w:hAnsi="Times New Roman"/>
                <w:sz w:val="18"/>
                <w:szCs w:val="18"/>
                <w:color w:val="auto"/>
                <w:w w:val="97"/>
              </w:rPr>
              <w:t>FIRST HAWAIIAN, INC.</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00" w:type="dxa"/>
            <w:vAlign w:val="bottom"/>
            <w:gridSpan w:val="8"/>
          </w:tcPr>
          <w:p>
            <w:pPr>
              <w:jc w:val="center"/>
              <w:ind w:right="2100"/>
              <w:spacing w:after="0" w:line="202" w:lineRule="exact"/>
              <w:rPr>
                <w:sz w:val="20"/>
                <w:szCs w:val="20"/>
                <w:color w:val="auto"/>
              </w:rPr>
            </w:pPr>
            <w:r>
              <w:rPr>
                <w:rFonts w:ascii="Times New Roman" w:cs="Times New Roman" w:eastAsia="Times New Roman" w:hAnsi="Times New Roman"/>
                <w:sz w:val="18"/>
                <w:szCs w:val="18"/>
                <w:color w:val="auto"/>
                <w:w w:val="99"/>
              </w:rPr>
              <w:t>FORM 10-Q</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8"/>
          </w:tcPr>
          <w:p>
            <w:pPr>
              <w:jc w:val="center"/>
              <w:ind w:right="2100"/>
              <w:spacing w:after="0"/>
              <w:rPr>
                <w:sz w:val="20"/>
                <w:szCs w:val="20"/>
                <w:color w:val="auto"/>
              </w:rPr>
            </w:pPr>
            <w:r>
              <w:rPr>
                <w:rFonts w:ascii="Times New Roman" w:cs="Times New Roman" w:eastAsia="Times New Roman" w:hAnsi="Times New Roman"/>
                <w:sz w:val="18"/>
                <w:szCs w:val="18"/>
                <w:color w:val="auto"/>
                <w:w w:val="99"/>
              </w:rPr>
              <w:t>INDEX</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4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rPr>
              <w:t>Part I Financial Information</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22"/>
                <w:szCs w:val="22"/>
                <w:color w:val="auto"/>
              </w:rPr>
              <w:t>Page No.</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Item 1.</w:t>
            </w:r>
          </w:p>
        </w:tc>
        <w:tc>
          <w:tcPr>
            <w:tcW w:w="1700" w:type="dxa"/>
            <w:vAlign w:val="bottom"/>
            <w:tcBorders>
              <w:top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rPr>
              <w:t>Financial Statements</w:t>
            </w:r>
          </w:p>
        </w:tc>
        <w:tc>
          <w:tcPr>
            <w:tcW w:w="538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06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Income for the three and nine months ended September 30, 2026 and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0000EE"/>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4"/>
              </w:rPr>
              <w:t>2025</w:t>
            </w:r>
          </w:p>
        </w:tc>
        <w:tc>
          <w:tcPr>
            <w:tcW w:w="2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4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three and nine months ended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380" w:type="dxa"/>
            <w:vAlign w:val="bottom"/>
            <w:tcBorders>
              <w:top w:val="single" w:sz="8" w:color="0000EE"/>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EE"/>
              </w:rPr>
              <w:t>September 30, 2026 and 2025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top w:val="single" w:sz="8" w:color="0000EE"/>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92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EE"/>
              </w:rPr>
              <w:t>as of September 30, 2026 and December 31, 2025</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Borders>
              <w:top w:val="single" w:sz="8" w:color="0000EE"/>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three and nine months</w:t>
            </w:r>
          </w:p>
        </w:tc>
        <w:tc>
          <w:tcPr>
            <w:tcW w:w="13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ended September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top w:val="single" w:sz="8" w:color="0000EE"/>
              <w:bottom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w w:val="99"/>
              </w:rPr>
              <w:t>30, 2026 and 2025</w:t>
            </w:r>
          </w:p>
        </w:tc>
        <w:tc>
          <w:tcPr>
            <w:tcW w:w="562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Cash Flows for the nine months ended September 30, 2026 and 2025</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0" w:type="dxa"/>
            <w:vAlign w:val="bottom"/>
            <w:tcBorders>
              <w:top w:val="single" w:sz="8" w:color="0000EE"/>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gridSpan w:val="5"/>
            <w:vMerge w:val="restart"/>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708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0"/>
              </w:rPr>
              <w:t>Item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EE"/>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gridSpan w:val="3"/>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Borders>
              <w:top w:val="single" w:sz="8" w:color="0000EE"/>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7"/>
              </w:rPr>
              <w:t>Item 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EE"/>
              <w:bottom w:val="single" w:sz="8" w:color="0000EE"/>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2540" w:type="dxa"/>
            <w:vAlign w:val="bottom"/>
            <w:tcBorders>
              <w:top w:val="single" w:sz="8" w:color="0000EE"/>
            </w:tcBorders>
            <w:gridSpan w:val="4"/>
          </w:tcPr>
          <w:p>
            <w:pPr>
              <w:spacing w:after="0"/>
              <w:rPr>
                <w:sz w:val="13"/>
                <w:szCs w:val="13"/>
                <w:color w:val="auto"/>
              </w:rPr>
            </w:pPr>
          </w:p>
        </w:tc>
        <w:tc>
          <w:tcPr>
            <w:tcW w:w="2760" w:type="dxa"/>
            <w:vAlign w:val="bottom"/>
            <w:gridSpan w:val="6"/>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0000EE"/>
                <w:w w:val="94"/>
              </w:rPr>
              <w:t>Part II</w:t>
            </w:r>
          </w:p>
        </w:tc>
        <w:tc>
          <w:tcPr>
            <w:tcW w:w="2000" w:type="dxa"/>
            <w:vAlign w:val="bottom"/>
            <w:gridSpan w:val="12"/>
          </w:tcPr>
          <w:p>
            <w:pPr>
              <w:ind w:left="60"/>
              <w:spacing w:after="0" w:line="183" w:lineRule="exact"/>
              <w:rPr>
                <w:sz w:val="20"/>
                <w:szCs w:val="20"/>
                <w:color w:val="auto"/>
              </w:rPr>
            </w:pPr>
            <w:r>
              <w:rPr>
                <w:rFonts w:ascii="Times New Roman" w:cs="Times New Roman" w:eastAsia="Times New Roman" w:hAnsi="Times New Roman"/>
                <w:sz w:val="21"/>
                <w:szCs w:val="21"/>
                <w:color w:val="0000EE"/>
              </w:rPr>
              <w:t>Other Information</w:t>
            </w:r>
          </w:p>
        </w:tc>
        <w:tc>
          <w:tcPr>
            <w:tcW w:w="5300" w:type="dxa"/>
            <w:vAlign w:val="bottom"/>
            <w:gridSpan w:val="10"/>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7"/>
              </w:rPr>
              <w:t>Item 1.</w:t>
            </w:r>
          </w:p>
        </w:tc>
        <w:tc>
          <w:tcPr>
            <w:tcW w:w="220" w:type="dxa"/>
            <w:vAlign w:val="bottom"/>
            <w:tcBorders>
              <w:top w:val="single" w:sz="8" w:color="0000EE"/>
            </w:tcBorders>
            <w:gridSpan w:val="2"/>
          </w:tcPr>
          <w:p>
            <w:pPr>
              <w:spacing w:after="0"/>
              <w:rPr>
                <w:sz w:val="14"/>
                <w:szCs w:val="14"/>
                <w:color w:val="auto"/>
              </w:rPr>
            </w:pPr>
          </w:p>
        </w:tc>
        <w:tc>
          <w:tcPr>
            <w:tcW w:w="1420" w:type="dxa"/>
            <w:vAlign w:val="bottom"/>
            <w:tcBorders>
              <w:top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Legal Proceedings</w:t>
            </w:r>
          </w:p>
        </w:tc>
        <w:tc>
          <w:tcPr>
            <w:tcW w:w="5660" w:type="dxa"/>
            <w:vAlign w:val="bottom"/>
            <w:gridSpan w:val="12"/>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740" w:type="dxa"/>
            <w:vAlign w:val="bottom"/>
            <w:gridSpan w:val="14"/>
            <w:vMerge w:val="restart"/>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Item 1A.</w:t>
            </w:r>
          </w:p>
        </w:tc>
        <w:tc>
          <w:tcPr>
            <w:tcW w:w="20" w:type="dxa"/>
            <w:vAlign w:val="bottom"/>
            <w:vMerge w:val="continue"/>
          </w:tcPr>
          <w:p>
            <w:pPr>
              <w:spacing w:after="0"/>
              <w:rPr>
                <w:sz w:val="13"/>
                <w:szCs w:val="13"/>
                <w:color w:val="auto"/>
              </w:rPr>
            </w:pPr>
          </w:p>
        </w:tc>
        <w:tc>
          <w:tcPr>
            <w:tcW w:w="13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Risk Factors</w:t>
            </w:r>
          </w:p>
        </w:tc>
        <w:tc>
          <w:tcPr>
            <w:tcW w:w="5740" w:type="dxa"/>
            <w:vAlign w:val="bottom"/>
            <w:gridSpan w:val="14"/>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EE"/>
              </w:rPr>
              <w:t>Item 5.</w:t>
            </w: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06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7"/>
              </w:rPr>
              <w:t>Item 6.</w:t>
            </w: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Exhibits</w:t>
            </w:r>
          </w:p>
        </w:tc>
        <w:tc>
          <w:tcPr>
            <w:tcW w:w="5740" w:type="dxa"/>
            <w:vAlign w:val="bottom"/>
            <w:gridSpan w:val="14"/>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80" w:type="dxa"/>
            <w:vAlign w:val="bottom"/>
            <w:gridSpan w:val="16"/>
            <w:vMerge w:val="restart"/>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4"/>
              </w:rPr>
              <w:t>Exhibit</w:t>
            </w:r>
          </w:p>
        </w:tc>
        <w:tc>
          <w:tcPr>
            <w:tcW w:w="820" w:type="dxa"/>
            <w:vAlign w:val="bottom"/>
            <w:gridSpan w:val="6"/>
          </w:tcPr>
          <w:p>
            <w:pPr>
              <w:ind w:left="40"/>
              <w:spacing w:after="0" w:line="156" w:lineRule="exact"/>
              <w:rPr>
                <w:sz w:val="20"/>
                <w:szCs w:val="20"/>
                <w:color w:val="auto"/>
              </w:rPr>
            </w:pPr>
            <w:r>
              <w:rPr>
                <w:rFonts w:ascii="Times New Roman" w:cs="Times New Roman" w:eastAsia="Times New Roman" w:hAnsi="Times New Roman"/>
                <w:sz w:val="18"/>
                <w:szCs w:val="18"/>
                <w:color w:val="0000EE"/>
              </w:rPr>
              <w:t>Index</w:t>
            </w:r>
          </w:p>
        </w:tc>
        <w:tc>
          <w:tcPr>
            <w:tcW w:w="6480" w:type="dxa"/>
            <w:vAlign w:val="bottom"/>
            <w:gridSpan w:val="16"/>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Borders>
              <w:top w:val="single" w:sz="8" w:color="0000EE"/>
              <w:bottom w:val="single" w:sz="8" w:color="0000EE"/>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EE"/>
                <w:w w:val="94"/>
              </w:rPr>
              <w:t>Signatures</w:t>
            </w:r>
          </w:p>
        </w:tc>
        <w:tc>
          <w:tcPr>
            <w:tcW w:w="220" w:type="dxa"/>
            <w:vAlign w:val="bottom"/>
            <w:tcBorders>
              <w:top w:val="single" w:sz="8" w:color="0000EE"/>
            </w:tcBorders>
          </w:tcPr>
          <w:p>
            <w:pPr>
              <w:spacing w:after="0"/>
              <w:rPr>
                <w:sz w:val="13"/>
                <w:szCs w:val="13"/>
                <w:color w:val="auto"/>
              </w:rPr>
            </w:pPr>
          </w:p>
        </w:tc>
        <w:tc>
          <w:tcPr>
            <w:tcW w:w="6840" w:type="dxa"/>
            <w:vAlign w:val="bottom"/>
            <w:gridSpan w:val="18"/>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1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and lease financing</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192,373</w:t>
            </w:r>
          </w:p>
        </w:tc>
        <w:tc>
          <w:tcPr>
            <w:tcW w:w="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196,441</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569,489</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581,936</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Available-for-sale investment securities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46,951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39,089</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Held-to-maturity investment 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14,856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45,040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48,866</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11,114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16,744</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35,128</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44,573</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interest income</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234,543</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242,575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696,608</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714,464</w:t>
            </w:r>
          </w:p>
        </w:tc>
        <w:tc>
          <w:tcPr>
            <w:tcW w:w="0" w:type="dxa"/>
            <w:vAlign w:val="bottom"/>
          </w:tcPr>
          <w:p>
            <w:pPr>
              <w:spacing w:after="0"/>
              <w:rPr>
                <w:sz w:val="1"/>
                <w:szCs w:val="1"/>
                <w:color w:val="auto"/>
              </w:rPr>
            </w:pPr>
          </w:p>
        </w:tc>
      </w:tr>
      <w:tr>
        <w:trPr>
          <w:trHeight w:val="142"/>
        </w:trPr>
        <w:tc>
          <w:tcPr>
            <w:tcW w:w="4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60,211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183,495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212,849</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7,421</w:t>
            </w:r>
          </w:p>
        </w:tc>
        <w:tc>
          <w:tcPr>
            <w:tcW w:w="0" w:type="dxa"/>
            <w:vAlign w:val="bottom"/>
          </w:tcPr>
          <w:p>
            <w:pPr>
              <w:spacing w:after="0"/>
              <w:rPr>
                <w:sz w:val="1"/>
                <w:szCs w:val="1"/>
                <w:color w:val="auto"/>
              </w:rPr>
            </w:pPr>
          </w:p>
        </w:tc>
      </w:tr>
      <w:tr>
        <w:trPr>
          <w:trHeight w:val="148"/>
        </w:trPr>
        <w:tc>
          <w:tcPr>
            <w:tcW w:w="48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227</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142"/>
        </w:trPr>
        <w:tc>
          <w:tcPr>
            <w:tcW w:w="48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60,439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73,244</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183,981</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221,024</w:t>
            </w:r>
          </w:p>
        </w:tc>
        <w:tc>
          <w:tcPr>
            <w:tcW w:w="0" w:type="dxa"/>
            <w:vAlign w:val="bottom"/>
          </w:tcPr>
          <w:p>
            <w:pPr>
              <w:spacing w:after="0"/>
              <w:rPr>
                <w:sz w:val="1"/>
                <w:szCs w:val="1"/>
                <w:color w:val="auto"/>
              </w:rPr>
            </w:pPr>
          </w:p>
        </w:tc>
      </w:tr>
      <w:tr>
        <w:trPr>
          <w:trHeight w:val="142"/>
        </w:trPr>
        <w:tc>
          <w:tcPr>
            <w:tcW w:w="4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174,104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169,331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512,627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493,440</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20,308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30,908</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153,796</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164,831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481,719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473,940</w:t>
            </w:r>
          </w:p>
        </w:tc>
        <w:tc>
          <w:tcPr>
            <w:tcW w:w="0" w:type="dxa"/>
            <w:vAlign w:val="bottom"/>
          </w:tcPr>
          <w:p>
            <w:pPr>
              <w:spacing w:after="0"/>
              <w:rPr>
                <w:sz w:val="1"/>
                <w:szCs w:val="1"/>
                <w:color w:val="auto"/>
              </w:rPr>
            </w:pPr>
          </w:p>
        </w:tc>
      </w:tr>
      <w:tr>
        <w:trPr>
          <w:trHeight w:val="142"/>
        </w:trPr>
        <w:tc>
          <w:tcPr>
            <w:tcW w:w="4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8,693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25,165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Credit and debit card fees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15,718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46,237</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service charges and fees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43,579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39,324</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Trust and investment services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27,736</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Bank-owned life insurance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15,908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15,409</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securities gains, net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9"/>
        </w:trPr>
        <w:tc>
          <w:tcPr>
            <w:tcW w:w="48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2,432</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3,781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11,002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9,291</w:t>
            </w:r>
          </w:p>
        </w:tc>
        <w:tc>
          <w:tcPr>
            <w:tcW w:w="0" w:type="dxa"/>
            <w:vAlign w:val="bottom"/>
          </w:tcPr>
          <w:p>
            <w:pPr>
              <w:spacing w:after="0"/>
              <w:rPr>
                <w:sz w:val="1"/>
                <w:szCs w:val="1"/>
                <w:color w:val="auto"/>
              </w:rPr>
            </w:pPr>
          </w:p>
        </w:tc>
      </w:tr>
      <w:tr>
        <w:trPr>
          <w:trHeight w:val="142"/>
        </w:trPr>
        <w:tc>
          <w:tcPr>
            <w:tcW w:w="48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noninterest income</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56,123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57,060</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169,223</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161,495</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63,159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189,625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181,138</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Contracted services and professional fees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41,987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46,621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7,333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23,132</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41,742</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Regulatory assessment and fees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10,876</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Advertising and marketing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2,157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6,247</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Card rewards program</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25,932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25,019</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costs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39,378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13,473</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65,912</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39,468</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noninterest expense</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160,047</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125,744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418,377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374,243</w:t>
            </w:r>
          </w:p>
        </w:tc>
        <w:tc>
          <w:tcPr>
            <w:tcW w:w="0" w:type="dxa"/>
            <w:vAlign w:val="bottom"/>
          </w:tcPr>
          <w:p>
            <w:pPr>
              <w:spacing w:after="0"/>
              <w:rPr>
                <w:sz w:val="1"/>
                <w:szCs w:val="1"/>
                <w:color w:val="auto"/>
              </w:rPr>
            </w:pPr>
          </w:p>
        </w:tc>
      </w:tr>
      <w:tr>
        <w:trPr>
          <w:trHeight w:val="142"/>
        </w:trPr>
        <w:tc>
          <w:tcPr>
            <w:tcW w:w="48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49,872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96,147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232,565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261,192</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(Benefit) provision for income taxes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(13,858)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54,857</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63,730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73,840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204,889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206,335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0.52</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0.59</w:t>
            </w: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1.68</w:t>
            </w: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29"/>
        </w:trPr>
        <w:tc>
          <w:tcPr>
            <w:tcW w:w="48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Diluted earnings per share</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0.52</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0.59</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1.67</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weighted-average outstanding shares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121,681,309</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124,267,090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121,933,207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125,282,792</w:t>
            </w:r>
          </w:p>
        </w:tc>
        <w:tc>
          <w:tcPr>
            <w:tcW w:w="0" w:type="dxa"/>
            <w:vAlign w:val="bottom"/>
          </w:tcPr>
          <w:p>
            <w:pPr>
              <w:spacing w:after="0"/>
              <w:rPr>
                <w:sz w:val="1"/>
                <w:szCs w:val="1"/>
                <w:color w:val="auto"/>
              </w:rPr>
            </w:pPr>
          </w:p>
        </w:tc>
      </w:tr>
      <w:tr>
        <w:trPr>
          <w:trHeight w:val="129"/>
        </w:trPr>
        <w:tc>
          <w:tcPr>
            <w:tcW w:w="48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Diluted weighted-average outstanding shares</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122,478,489</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124,970,898</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122,716,742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125,977,271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0" w:right="59"/>
        <w:spacing w:after="0" w:line="275" w:lineRule="auto"/>
        <w:rPr>
          <w:sz w:val="20"/>
          <w:szCs w:val="20"/>
          <w:color w:val="auto"/>
        </w:rPr>
      </w:pPr>
      <w:r>
        <w:rPr>
          <w:rFonts w:ascii="Times New Roman" w:cs="Times New Roman" w:eastAsia="Times New Roman" w:hAnsi="Times New Roman"/>
          <w:sz w:val="18"/>
          <w:szCs w:val="18"/>
          <w:color w:val="auto"/>
        </w:rPr>
        <w:t>FIRST HAWAIIAN, INC. AND SUBSIDIARY CONSOLIDATED STATEMENTS OF COMPREHENSIVE INCOME (Unaudited)</w:t>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63,730</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​​​$ 73,840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$ 204,889</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76,010</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(6,290)</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(35,686)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75,845</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19,697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$ 92,699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$ 169,203</w:t>
            </w:r>
          </w:p>
        </w:tc>
        <w:tc>
          <w:tcPr>
            <w:tcW w:w="1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share amount)</w:t>
            </w:r>
          </w:p>
        </w:tc>
        <w:tc>
          <w:tcPr>
            <w:tcW w:w="200" w:type="dxa"/>
            <w:vAlign w:val="bottom"/>
          </w:tcPr>
          <w:p>
            <w:pPr>
              <w:spacing w:after="0"/>
              <w:rPr>
                <w:sz w:val="13"/>
                <w:szCs w:val="13"/>
                <w:color w:val="auto"/>
              </w:rPr>
            </w:pP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0" w:type="dxa"/>
            <w:vAlign w:val="bottom"/>
            <w:gridSpan w:val="2"/>
            <w:vMerge w:val="continue"/>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258,228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1,071,703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Available-for-sale, at fair value (amortized cost: $2,259,070 as of September 30, 2026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2,016,945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$2,246,716 as of December 31, 2025)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Held-to-maturity, at amortized cost (fair value: $2,819,282 as of September 30, 2026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3,346,994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$3,188,775 as of December 31, 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14,462,228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loans and leases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14,297,791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304,848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525,898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866,748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828,305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23,764,015</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Interest-bearing</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13,803,664</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Noninterest-bearing</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6,400,906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20,204,570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645,331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20,946,471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21,185,887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300,000,000 shares; issued/outstanding: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142,662,115 / 121,681,352 as of September 30, 2026; issued/outstanding: 142,184,584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122,689,256 as of December 31, 2025)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2,588,530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1,187,636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(403,826)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Treasury stock (20,980,763 shares as of September 30, 2026 and 19,495,328 shares as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(556,223)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December 31, 2025)</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2,817,544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23,764,015</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8"/>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 except share amounts)</w:t>
            </w:r>
          </w:p>
        </w:tc>
        <w:tc>
          <w:tcPr>
            <w:tcW w:w="1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1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121,680,634</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$ 1,427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$ 2,584,578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8"/>
              </w:rPr>
              <w:t>$ 1,156,028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(359,793)</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(556,212)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$ 2,826,028</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63,730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63,730</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Cash dividends declared ($0.26 per</w:t>
            </w:r>
          </w:p>
        </w:tc>
        <w:tc>
          <w:tcPr>
            <w:tcW w:w="12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(31,638)</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(31,638)</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awards</w:t>
            </w:r>
          </w:p>
        </w:tc>
        <w:tc>
          <w:tcPr>
            <w:tcW w:w="12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718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(44,033)</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(44,033)</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121,681,352</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$ 1,427</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$ 2,588,530</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98"/>
              </w:rPr>
              <w:t>$ 1,187,636</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(403,826)</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(556,223)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$ 2,817,544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 except share amounts)</w:t>
            </w:r>
          </w:p>
        </w:tc>
        <w:tc>
          <w:tcPr>
            <w:tcW w:w="1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1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0" w:type="dxa"/>
            <w:vAlign w:val="bottom"/>
            <w:tcBorders>
              <w:right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122,689,256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​$ 2,576,540</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​$ 1,078,885</w:t>
            </w:r>
          </w:p>
        </w:tc>
        <w:tc>
          <w:tcPr>
            <w:tcW w:w="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(368,140)</w:t>
            </w:r>
          </w:p>
        </w:tc>
        <w:tc>
          <w:tcPr>
            <w:tcW w:w="1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(519,342) ​$ 2,769,365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204,889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204,889</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Cash dividends declared ($0.78 per</w:t>
            </w:r>
          </w:p>
        </w:tc>
        <w:tc>
          <w:tcPr>
            <w:tcW w:w="12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(95,172)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(95,172)</w:t>
            </w:r>
          </w:p>
        </w:tc>
        <w:tc>
          <w:tcPr>
            <w:tcW w:w="0" w:type="dxa"/>
            <w:vAlign w:val="bottom"/>
          </w:tcPr>
          <w:p>
            <w:pPr>
              <w:spacing w:after="0"/>
              <w:rPr>
                <w:sz w:val="1"/>
                <w:szCs w:val="1"/>
                <w:color w:val="auto"/>
              </w:rPr>
            </w:pPr>
          </w:p>
        </w:tc>
      </w:tr>
      <w:tr>
        <w:trPr>
          <w:trHeight w:val="194"/>
        </w:trPr>
        <w:tc>
          <w:tcPr>
            <w:tcW w:w="32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issued under Employee</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Purchase Plan</w:t>
            </w:r>
          </w:p>
        </w:tc>
        <w:tc>
          <w:tcPr>
            <w:tcW w:w="12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4,385</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awards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295,449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11,868</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(4,640)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6,267</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repurchased</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(1,307,738)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 repurchase excise tax</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2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(35,686)</w:t>
            </w:r>
          </w:p>
        </w:tc>
        <w:tc>
          <w:tcPr>
            <w:tcW w:w="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(35,686)</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121,681,352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$ 2,588,530</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$ 1,187,636</w:t>
            </w: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(403,826)</w:t>
            </w:r>
          </w:p>
        </w:tc>
        <w:tc>
          <w:tcPr>
            <w:tcW w:w="8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 (556,223)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$ 2,817,544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820" w:top="513"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3" w:right="85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left="860" w:right="2120"/>
        <w:spacing w:after="0" w:line="275" w:lineRule="auto"/>
        <w:rPr>
          <w:sz w:val="20"/>
          <w:szCs w:val="20"/>
          <w:color w:val="auto"/>
        </w:rPr>
      </w:pPr>
      <w:r>
        <w:rPr>
          <w:rFonts w:ascii="Times New Roman" w:cs="Times New Roman" w:eastAsia="Times New Roman" w:hAnsi="Times New Roman"/>
          <w:sz w:val="18"/>
          <w:szCs w:val="18"/>
          <w:color w:val="auto"/>
        </w:rPr>
        <w:t>FIRST HAWAIIAN, INC. AND SUBSIDIARY CONSOLIDATED STATEMENTS OF STOCKHOLDERS’ EQUITY (continued) (Unaudited)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 except share amounts)</w:t>
            </w:r>
          </w:p>
        </w:tc>
        <w:tc>
          <w:tcPr>
            <w:tcW w:w="1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1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124,683,544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$ 1,422</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$ 2,567,936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1,000,997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(468,802)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$ 2,694,545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($0.26 per share)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issued under Employee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awards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(963,959)</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(24,041)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repurchase excise tax</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123,719,585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$ 2,572,156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(493,081)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$ 2,733,921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 except share amounts)</w:t>
            </w:r>
          </w:p>
        </w:tc>
        <w:tc>
          <w:tcPr>
            <w:tcW w:w="1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1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126,422,898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$ 1,417</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$ 2,560,380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934,048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(414,365)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$ 2,617,486</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($0.78 per share)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(97,763)</w:t>
            </w: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issued under Employee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awards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271,671</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(2,980,480)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(74,041)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repurchase excise tax</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75,845</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123,719,585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$ 2,572,156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(493,081)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$ 2,733,921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3" w:right="8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right"/>
              <w:ind w:right="40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204,889</w:t>
            </w:r>
          </w:p>
        </w:tc>
        <w:tc>
          <w:tcPr>
            <w:tcW w:w="560" w:type="dxa"/>
            <w:vAlign w:val="bottom"/>
            <w:gridSpan w:val="2"/>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30,908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amortization and accretion, net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23,066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 provision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2,990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11,873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gains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(13,602)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sales of loans held for sale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13,628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gains on investment securities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Premiums paid on cash flow hedges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(3,784)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premiums on cash flow hedges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assets and liabilities: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Net decrease in other assets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24,904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Net decrease in other liabilities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(16,406)</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279,698</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230,175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repayments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220,469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calls and sales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49,800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(281,104)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Held-to-maturity securities: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repayments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210,688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calls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3,620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investments: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6,889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(33,040)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(increase) decrease in loans and leases resulting from originations and principal repayments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(86,333)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loans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(62,043)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bank-owned life insurance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3,245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bank-owned life insurance</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premises, equipment and software</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(14,730)</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17,408</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474,996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(decrease) increase in deposits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(311,098)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407,341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 of short-term borrowings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(96,389)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tendered for payment of withholding taxes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(4,640)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repurchased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(32,000)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repurchase excise tax paid in current period</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(922)</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(444,927)</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(147,821)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685,453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1,477,752</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1,170,190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1,329,931</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1,855,643</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42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189,670</w:t>
            </w:r>
          </w:p>
        </w:tc>
        <w:tc>
          <w:tcPr>
            <w:tcW w:w="560" w:type="dxa"/>
            <w:vAlign w:val="bottom"/>
            <w:gridSpan w:val="2"/>
            <w:shd w:val="clear" w:color="auto" w:fill="CCEEFF"/>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obtained in exchange for new lease obligations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Transfers to loans and leases from loans held for sale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Obligation to fund low-income housing partnerships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36,698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repurchase excise tax settled in subsequent period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First Hawaiian, Inc. (“FHI” or the “Parent”), a bank holding company, owns 100% of the outstanding common stock of First Hawaiian Bank (“FHB” or the “Bank”), its only direct, wholly owned subsidiary. FHB offers a comprehensive suite of banking services to consumer and commercial customers, including loans, deposit products, wealth management, insurance, trust, retirement planning, credit card and merchant processing services.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First Hawaiian, Inc. and Subsidiary (the “Company”) have been prepared in accordance with generally accepted accounting principles in the United States of America (“GAAP”) for interim financial information and with the instructions to Form 10-Q and Article 10 of Regulation S-X. Accordingly, certain information and footnote disclosures normally included in financial statements prepared in accordance with GAAP have been condensed or omitted pursuant to such rules and regulations.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and notes thereto should be read in conjunction with the Company’s audited consolidated financial statements and related notes included in the Company’s Annual Report on Form 10-K for the year ended December 31, 2025.</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consist of normal recurring adjustments necessary for a fair presentation of the interim period consolidated financial information, have been made. Results of operations for interim periods are not necessarily indicative of results to be expected for the entire year. Intercompany account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bases its estimates on historical experience and various other assumptions believed to be reasonable. Although these estimates are based on management’s best knowledge of current events, actual results may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Accounting Standards Updates (“ASUs”) have been issued by the Financial Accounting Standards Board (“FASB”) and are applicable to the Company in future reporting periods.</w:t>
      </w:r>
    </w:p>
    <w:p>
      <w:pPr>
        <w:spacing w:after="0" w:line="16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This ASU requires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disclose, in the notes to financial statements, specified information about certain costs and expenses at each interim and annual reporting period which include, for example, employee compensation, depreciation, and intangible asset amortization. In addition, certain expense amounts already required to be disclosed under current GAAP will need to be presented within the same disclosure as the other disaggregation requirements prescribed by this ASU. Public entities will also be required to disclose: (1) a qualitative description of the amounts remaining in relevant expense captions that are not separately disaggregated quantitatively and (2) the total amount of selling expenses and, in annual reporting periods, an entity’s definition of selling expenses. The FASB also issued ASU No. 2025-01 in January 2025 to clarify that the effective date of ASU No. 2024-03 for public entities is for annual reporting periods beginning after December 15, 2026, and interim periods within annual reporting periods beginning after December 15, 2027. Further, ASU No. 2024-03 is applied prospectively to financial statements issued for reporting periods beginning after the effective date, meaning that the disclosures required under ASU No. 2024-03 do not need to be included in the financial statements for reporting periods beginning before the effective date that are presented for comparative purposes. Early adoption is permitted. The Company is in the process of evaluating the impact that this new guidance may have on the Company’s consolidated financial statements.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Targeted Improvements to the Accounting for Internal-Use Software</w:t>
      </w:r>
      <w:r>
        <w:rPr>
          <w:rFonts w:ascii="Times New Roman" w:cs="Times New Roman" w:eastAsia="Times New Roman" w:hAnsi="Times New Roman"/>
          <w:sz w:val="18"/>
          <w:szCs w:val="18"/>
          <w:color w:val="auto"/>
        </w:rPr>
        <w:t>. This ASU intends to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operability of internal-use software accounting guidance by removing all references to software development project stages so that the guidance is neutral to different software development methods. Under current accounting principles, entities are required to capitalize development costs incurred for internal-use software depending on the nature of the costs and the project stage during which they occur. With the removal of software development project stages, the amendments in this ASU require that an entity start capitalizing software costs when both of these conditions are met: (1) management has authorized and committed to funding the software project and (2) it is probable that the project will be completed and the software will be used to perform the function intended (referred to as the “probable-to-complete recognition threshold,” which also takes into consideration whether there is significant uncertainty associated with the development activities of the software (referred to as “significant development uncertainty”)). This ASU is effective for annual reporting periods beginning after December 15, 2027, and interim reporting periods within those annual reporting periods. Early adoption is permitted as of the beginning of an annual reporting period and application of the new guidance can be done prospectively, retrospectively, or through a modified prospective transition approach. The Company is in the process of evaluating the impact that this new guidance may have on the Company’s consolidated financial statements.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2025-08, </w:t>
      </w:r>
      <w:r>
        <w:rPr>
          <w:rFonts w:ascii="Times New Roman" w:cs="Times New Roman" w:eastAsia="Times New Roman" w:hAnsi="Times New Roman"/>
          <w:sz w:val="18"/>
          <w:szCs w:val="18"/>
          <w:i w:val="1"/>
          <w:iCs w:val="1"/>
          <w:color w:val="auto"/>
        </w:rPr>
        <w:t>Financial Instruments – Credit Losses (Topic 326): 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which amends the guidance in Accounting Standards Codification (“ASC”) Topic 326 on the accounting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loans. Under this ASU, entities must account for acquired loans (excluding credit cards and leases) that meet certain criteria at acquisition (“purchased seasoned loans”) by recognizing them at their purchase price plus an allowance for expected credit losses (known as the “gross-up approach”). Purchased seasoned loans are defined as either: (1) non-PCD loans (loans that were not purchased with credit deterioration) that are obtained in a business combination, or (2) non-PCD loans that (a) are obtained in an asset acquisition or upon consolidation of a variable interest entity that is not a business and</w:t>
      </w:r>
    </w:p>
    <w:p>
      <w:pPr>
        <w:spacing w:after="0" w:line="5" w:lineRule="exact"/>
        <w:rPr>
          <w:sz w:val="20"/>
          <w:szCs w:val="20"/>
          <w:color w:val="auto"/>
        </w:rPr>
      </w:pPr>
    </w:p>
    <w:p>
      <w:pPr>
        <w:jc w:val="both"/>
        <w:ind w:firstLine="5"/>
        <w:spacing w:after="0" w:line="251" w:lineRule="auto"/>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acquired more than 90 days after their origination date by a transferee that was not involved in their origination. This ASU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allowance for credit losses. This election can be made on an acquisition-by-acquisition basis. This ASU is effective for annual reporting periods beginning after December 15, 2026, and interim reporting periods within those annual reporting periods. Early adoption is permitted. The Company plans to early adopt the provisions of ASU No. 2025-08 as of October 1, 2026 in conjunction with the Company’s proposed merger with TriCo Bancshares. The Company is not currently able to estimate the impact that the adoption of this new guidance will have on the Company’s consolidated financial statements. See “Note 18. Proposed Merger with TriCo Bancshares” for more information.</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This ASU amends certain aspects of the existing hedge accounting guidance in ASC Topic 815 by enabling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apply hedge accounting to a greater number of highly effective economic hedges in the following five areas: (1) similar risk assessment for cash flow hedges, (2) hedging forecasted interest payments on choose-your-rate debt instruments,</w:t>
      </w:r>
    </w:p>
    <w:p>
      <w:pPr>
        <w:spacing w:after="0" w:line="1" w:lineRule="exact"/>
        <w:rPr>
          <w:sz w:val="20"/>
          <w:szCs w:val="20"/>
          <w:color w:val="auto"/>
        </w:rPr>
      </w:pPr>
    </w:p>
    <w:p>
      <w:pPr>
        <w:jc w:val="both"/>
        <w:ind w:firstLine="5"/>
        <w:spacing w:after="0" w:line="253" w:lineRule="auto"/>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hedges of nonfinancial forecasted transactions, (4) net written options as hedging instruments, and (5) foreign-currency-denominated debt instrument as hedging instrument and hedged item (dual hedge). This ASU is effective for annual reporting periods beginning after December 15, 2026, and interim periods within those annual reporting periods. Early adoption is permitted. The Company is in the process of evaluating the impact that this new guidance may have on the Company’s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investment securities consisted predominantly of the following investment categories: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 includes debt securities issued by U.S. government agencies.</w:t>
      </w:r>
    </w:p>
    <w:p>
      <w:pPr>
        <w:spacing w:after="0" w:line="22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Mortgage-backed securities </w:t>
      </w:r>
      <w:r>
        <w:rPr>
          <w:rFonts w:ascii="Times New Roman" w:cs="Times New Roman" w:eastAsia="Times New Roman" w:hAnsi="Times New Roman"/>
          <w:sz w:val="18"/>
          <w:szCs w:val="18"/>
          <w:color w:val="auto"/>
        </w:rPr>
        <w:t>– includes securities backed by notes or receivables secured by mortgage assets with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based on actual or scheduled payments.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Collateralized mortgage obligations </w:t>
      </w:r>
      <w:r>
        <w:rPr>
          <w:rFonts w:ascii="Times New Roman" w:cs="Times New Roman" w:eastAsia="Times New Roman" w:hAnsi="Times New Roman"/>
          <w:sz w:val="18"/>
          <w:szCs w:val="18"/>
          <w:color w:val="auto"/>
        </w:rPr>
        <w:t>– includes securities backed by a pool of mortgages with cash flows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certain rules rather than pass through payments.</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Collateralized loan obligations </w:t>
      </w:r>
      <w:r>
        <w:rPr>
          <w:rFonts w:ascii="Times New Roman" w:cs="Times New Roman" w:eastAsia="Times New Roman" w:hAnsi="Times New Roman"/>
          <w:sz w:val="18"/>
          <w:szCs w:val="18"/>
          <w:color w:val="auto"/>
        </w:rPr>
        <w:t>– includes structured debt securities backed by a pool of loans, consisting of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non-investment grade broadly syndicated corporate loans with additional credit enhancement. These are floating rate securities that have an investment grade rating of AA or better.</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securities issued by states and political subdivisions </w:t>
      </w:r>
      <w:r>
        <w:rPr>
          <w:rFonts w:ascii="Times New Roman" w:cs="Times New Roman" w:eastAsia="Times New Roman" w:hAnsi="Times New Roman"/>
          <w:sz w:val="18"/>
          <w:szCs w:val="18"/>
          <w:color w:val="auto"/>
        </w:rPr>
        <w:t>– includes general obligation bonds issued by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Company’s investment securities were classified as either available-for-sale or held-to-maturity. Amortized cost, gross unrealized holding gains and losses and fair value of available-for-sale and held-to-maturity investment securities as of September 30, 2026 and December 31, 2025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8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2760" w:type="dxa"/>
            <w:vAlign w:val="bottom"/>
            <w:gridSpan w:val="2"/>
            <w:vMerge w:val="continue"/>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gridSpan w:val="2"/>
            <w:vMerge w:val="continue"/>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gridSpan w:val="2"/>
            <w:vMerge w:val="continue"/>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24,541</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w:t>
            </w:r>
          </w:p>
        </w:tc>
        <w:tc>
          <w:tcPr>
            <w:tcW w:w="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(1,635)</w:t>
            </w:r>
          </w:p>
        </w:tc>
        <w:tc>
          <w:tcPr>
            <w:tcW w:w="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22,991</w:t>
            </w:r>
          </w:p>
        </w:tc>
        <w:tc>
          <w:tcPr>
            <w:tcW w:w="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30,948</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40" w:type="dxa"/>
            <w:vAlign w:val="bottom"/>
          </w:tcPr>
          <w:p>
            <w:pPr>
              <w:spacing w:after="0"/>
              <w:rPr>
                <w:sz w:val="12"/>
                <w:szCs w:val="12"/>
                <w:color w:val="auto"/>
              </w:rPr>
            </w:pPr>
          </w:p>
        </w:tc>
        <w:tc>
          <w:tcPr>
            <w:tcW w:w="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30,367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Residential - Government-sponsored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959,580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(92,443)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867,448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933,206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878,215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227,673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(54,749)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172,924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Commercial - Government-sponsored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38,877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38,303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258,822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259,734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418,968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(51,352)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367,616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461,160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322,706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(42,685)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280,021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336,451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Collateralized loan obligations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7,903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7,908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76,497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76,589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2,259,070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1,360</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(243,485)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2,016,945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2,246,716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6,897</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Government agency debt securities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44,288</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(4,885)</w:t>
            </w:r>
          </w:p>
        </w:tc>
        <w:tc>
          <w:tcPr>
            <w:tcW w:w="1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39,403</w:t>
            </w:r>
          </w:p>
        </w:tc>
        <w:tc>
          <w:tcPr>
            <w:tcW w:w="1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34,621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28,314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Residential - Government-sponsored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81,783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(15,283)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66,500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86,681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30,160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23,259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Commercial - Government-sponsored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1,065,523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(164,772)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900,751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1,088,838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(95,314)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993,751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767,292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(124,622)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642,670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738,814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1,268,014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(194,637)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1,073,377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1,365,087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1,229,942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Debt securities issued by states and political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55,313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(7,825)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47,488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54,994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51,423</w:t>
            </w: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subdivisions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held-to-maturity securities</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3,346,994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(527,712)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2,819,282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3,533,082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(344,534)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3,188,775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Accrued interest receivable related to available-for-sale investment securities was $4.7 million and $5.5 million as of September 30, 2026 and December 31, 2025, respectively. Accrued interest receivable related to held-to-maturity investment securities was $6.1 million as of both September 30, 2026 and December 31, 2025. Accrued interest receivable is recorded separately from the amortized cost basis of investment securities on the Company’s unaudited interim consolidated balance sheets.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Proceeds from calls of investment securities were $25.5 million and $30.7 million for the three months ended September 30, 2026 and 2025, respectively. Proceeds from calls of investment securities were $53.4 million and $71.6 million for the nine months ended September 30, 2026 and 2025, respectively. There were no sales of investment securities for both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income from taxable investment securities was $28.0 million and $26.3 million for the three months ended September 30, 2026 and 2025, respectively, and $82.8 million and $78.7 million for the nine months ended September 30, 2026 and 2025 respectively. Interest income from non-taxable investment securities was $3.1 million for both the three months ended September 30, 2026 and 2025, and $9.2 million and $9.3 million for the nine months ended September 30, 2026 and 2025, respectively.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amortized cost and fair value of debt securities issued by government agencies and states and political subdivisions, non-agency mortgage-backed securities and collateralized loan obligations as of September 30, 2026, by contractual maturity, are shown below. Mortgage-backed securities and collateralized mortgage obligations issued by government agencies and government-sponsored enterprises are disclosed separately in the table below as remaining expected maturities will differ from contractual maturities as borrowers have the right to prepay obligations.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7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gridSpan w:val="2"/>
          </w:tcPr>
          <w:p>
            <w:pPr>
              <w:jc w:val="right"/>
              <w:ind w:right="136"/>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184,010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266,725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 Government agency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 Government-sponsored enterprises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959,580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227,673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38,877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mortgage-backed securities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1,250,671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agency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418,968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322,706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collateralized mortgage obligations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741,674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647,637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2,259,070</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2,016,945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38,078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 Government agency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 Government-sponsored enterprises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1,065,523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mortgage-backed securities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1,212,087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767,292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1,268,014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1,073,377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collateralized mortgage obligations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2,035,306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1,716,047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held-to-maturity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3,346,994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At September 30, 2026, pledged securities totaled $3.9 billion, of which $2.2 billion was pledged to secure borrowing capacity, $1.6 billion was pledged to secure public deposits and $40.3 million was pledged to secure other financial transactions. At December 31, 2025, pledged securities totaled $4.2 billion, of which $2.4 billion was pledged to secure borrowing capacity, $1.8 billion was pledged to secure public deposits and $52.6 million was pledged to secure other financial transactions.</w:t>
      </w:r>
    </w:p>
    <w:p>
      <w:pPr>
        <w:spacing w:after="0" w:line="18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The Company held no securities of any single issuer, other than debt securities issued by government agencies and government-sponsored enterprises, which were in excess of 10% of stockholders’ equity as of September 30, 2026 and December 31,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unrealized gross losses and fair values of securities in the available-for-sale portfolio by length of time that the 172 and 137 individual securities in each category have been in a continuous loss position as of September 30, 2026 and December 31, 2025, respectively. The unrealized losses on available-for-sale investment securities were attributable to changes in interest rates, relative to when the investment securities were purchased, and not due to the credit quality of the investment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Time in Continuous Loss as of September 30, 2026</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bottom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0"/>
                <w:szCs w:val="10"/>
                <w:color w:val="auto"/>
              </w:rPr>
            </w:pPr>
          </w:p>
        </w:tc>
        <w:tc>
          <w:tcPr>
            <w:tcW w:w="7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24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2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w:t>
            </w:r>
          </w:p>
        </w:tc>
        <w:tc>
          <w:tcPr>
            <w:tcW w:w="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6,734</w:t>
            </w: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(1,567)</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7,134</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(1,635)</w:t>
            </w:r>
          </w:p>
        </w:tc>
        <w:tc>
          <w:tcPr>
            <w:tcW w:w="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(18,842)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396,275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(73,601)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457,919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(92,443)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854,194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(54,749)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172,924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(54,749)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172,924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38,303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38,303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118,477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(46,926)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249,139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(51,352)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367,616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76,961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(39,729)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203,060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(42,685)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280,021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 with unrealized losses</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(26,317)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$ 612,924</w:t>
            </w:r>
          </w:p>
        </w:tc>
        <w:tc>
          <w:tcPr>
            <w:tcW w:w="1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(217,168)</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1,135,501</w:t>
            </w:r>
          </w:p>
        </w:tc>
        <w:tc>
          <w:tcPr>
            <w:tcW w:w="12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(243,485)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1,748,425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Time in Continuous Loss as of December 31, 2025</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bottom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0"/>
                <w:szCs w:val="10"/>
                <w:color w:val="auto"/>
              </w:rPr>
            </w:pPr>
          </w:p>
        </w:tc>
        <w:tc>
          <w:tcPr>
            <w:tcW w:w="7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24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2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8,304</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545,262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287,275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287,275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(34,119)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232,210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(34,302)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 with unrealized losses</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$ 103,476</w:t>
            </w:r>
          </w:p>
        </w:tc>
        <w:tc>
          <w:tcPr>
            <w:tcW w:w="1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(176,649)</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1,305,827</w:t>
            </w:r>
          </w:p>
        </w:tc>
        <w:tc>
          <w:tcPr>
            <w:tcW w:w="1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(177,380)</w:t>
            </w:r>
          </w:p>
        </w:tc>
        <w:tc>
          <w:tcPr>
            <w:tcW w:w="160" w:type="dxa"/>
            <w:vAlign w:val="bottom"/>
            <w:gridSpan w:val="2"/>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September 30, 2026 and December 31, 2025, the Company did not have any available-for-sale securities with the intent to sell and determined it was more likely than not that the Company would not be required to sell the securities prior to recovery of the amortized cost basis. As the Company had the intent and ability to hold the remaining available-for-sale securities in an unrealized loss position as of September 30, 2026 and December 31, 2025, each security with an unrealized loss position in the above tables has been further assessed to determine if a credit loss exists. As of September 30, 2026 and December 31, 2025, the Company did not expect any credit losses in its available-for-sale debt securities and no credit losses were recognized on available-for-sale securities during the three and nine months ended September 30, 2026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September 30, 2026 and December 31, 2025, the Company’s investment securities were comprised primarily of debt securities, mortgage-backed securities and collateralized mortgage obligations issued by U.S. government agencies and government-sponsored enterprises, with under 7% of the investment securities comprised of collateralized loan obligations rated AA or better, obligations issued by local state and political subdivisions rated AA or better and non-agency commercial mortgage-backed securities rated AAA. For investment securities issued by the U.S. government, its agencies and government-sponsored enterprises, management has concluded that the long history with no credit losses from these issuers indicates an expectation that nonpayment of the amortized cost basis is zero, and these securities are explicitly or implicitly fully guaranteed by the U.S. government. The U.S. government can print its own currency and its currency is routinely held by central banks and other major financial institutions. The dollar is used in international commerce, and commonly is viewed as a reserve currency, all of which qualitatively indicates that historical credit loss information should be minimally affected by current conditions and reasonable and supportable forecasts. For collateralized loan obligations, debt securities issued by local state and political subdivisions and non-agency commercial mortgage-backed securities, these securities are investment grade and highly rated and carry either sufficient credit enhancement or days cash on hand to support timely payments of principal and interest. As a result, the Company does not expect any future payment defaults and has not recorded an allowance for credit losses for its available-for-sale and held-to-maturity debt securities as of September 30, 2026 or December 31,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and Leases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2026 and December 31, 2025, loans and leases were comprised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gridSpan w:val="2"/>
            <w:vMerge w:val="continue"/>
          </w:tcPr>
          <w:p>
            <w:pPr>
              <w:spacing w:after="0"/>
              <w:rPr>
                <w:sz w:val="15"/>
                <w:szCs w:val="15"/>
                <w:color w:val="auto"/>
              </w:rPr>
            </w:pPr>
          </w:p>
        </w:tc>
        <w:tc>
          <w:tcPr>
            <w:tcW w:w="360" w:type="dxa"/>
            <w:vAlign w:val="bottom"/>
            <w:gridSpan w:val="2"/>
          </w:tcPr>
          <w:p>
            <w:pPr>
              <w:jc w:val="right"/>
              <w:ind w:right="17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2,304,567</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4,714,502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739,531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3,996,717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Home equity line</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1,177,610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5,174,327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1,067,697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461,604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18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14,462,228</w:t>
            </w:r>
          </w:p>
        </w:tc>
        <w:tc>
          <w:tcPr>
            <w:tcW w:w="2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Outstanding loan balances are reported net of deferred loan costs and fees of $55.7 million and $53.9 million at September 30, 2026 and December 31, 2025, respectively.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Accrued interest receivable related to loans and leases was $64.3 million and $65.9 million as of September 30, 2026 and December 31, 2025, respectively, and is recorded separately from the amortized cost basis of loans and leases on the Company’s unaudited interim consolidated balance sheets.</w:t>
      </w:r>
    </w:p>
    <w:p>
      <w:pPr>
        <w:spacing w:after="0" w:line="14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September 30, 2026, residential real estate loans and commercial real estate loans totaling $5.1 billion were pledged to collateralize the Company’s borrowing capacity at the Federal Home Loan Bank of Des Moines (“FHLB”), and consumer, commercial and industrial, commercial real estate, residential real estate loans and pledged securities totaling $3.8 billion were pledged to collateralize the borrowing capacity at the Federal Reserve Bank of San Francisco (“FRB”). As of December 31, 2025, residential real estate loans and commercial real estate loans totaling $4.9 billion were pledged to collateralize the Company’s borrowing capacity at the FHLB, and consumer, commercial and industrial, commercial real estate, residential real estate loans and pledged securities totaling $4.0 billion were pledged to collateralize the borrowing capacity at the FRB. Residential real estate loans collateralized by properties that were in the process of foreclosure totaled $9.5 million and $5.2 million as of September 30, 2026 and December 31, 2025,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course of evaluating the credit risk presented by a customer and the pricing that will adequately compensate the Company for assuming that risk, management may require a certain amount of collateral support. The type of collateral held varies, but may include accounts receivable, inventory, land, buildings, equipment, income-producing commercial properties and residential real estate. The Company applies the same collateral policy for loans whether they are funded immediately or on a delayed basis. The loan and lease portfolio is principally located in Hawaii and, to a lesser extent, on the U.S. Mainland, Guam and Saipan. The risk inherent in the portfolio depends upon both the economic stability of the state or territories, which affects property values, and the financial strength and creditworthiness of the borrowers.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Allowance for Credit Losses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maintains the allowance for credit losses for loans and leases (the “ACL”) that is deducted from the amortized cost basis of loans and leases to present the net carrying value of loans and leases expected to be collected. At September 30, 2026, the ACL was $164.4 million, a decrease of $4.1 million from the December 31, 2025 balance of $168.5 million. The measurement of expected credit losses is based on relevant information about past events, including historical experience, current conditions, and reasonable and supportable forecasts that affect the collectibility of the reported amount of loans and leases. While the economic outlook used to calculate the ACL as of September 30, 2026 improved slightly from December 31, 2025, the provision for credit losses during the nine months ended September 30, 2026, was primarily driven by a $12.5 million partial charge-off of a single commercial real estate loan and several other commercial lending downgrades during the third quarter of 2026. Management utilizes its best judgment and information available. However, the ultimate appropriateness of the ACL is dependent upon a variety of factors beyond the Company’s control, including the performance of the Company’s loan portfolio, the economy, changes in interest rates and the view of the regulatory authorities toward loan classifications.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an estimated reserve for unfunded commitments included in other liabilities on the unaudited interim consolidated balance sheets. The reserve for unfunded commitments is reduced in the period in which the off-balance sheet financial instruments expire, loan funding occurs, or is otherwise settled.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methodology is more fully described in the Company’s Annual Report on Form 10-K for the year ended December 31, 2025, which should be read in conjunction with these unaudited interim consolidated financial statements as of and for the three and nine months ended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the Allowance for Credit Losses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presents the activity in the ACL by class of loans and leases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1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 2026</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Commercial Lending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6"/>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Residential Lending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8"/>
        </w:trPr>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5"/>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580" w:type="dxa"/>
            <w:vAlign w:val="bottom"/>
            <w:gridSpan w:val="7"/>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Line</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Consumer</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0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18,788</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38,949</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7,950</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2,464</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36,446</w:t>
            </w:r>
          </w:p>
        </w:tc>
        <w:tc>
          <w:tcPr>
            <w:tcW w:w="2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15,302</w:t>
            </w:r>
          </w:p>
        </w:tc>
        <w:tc>
          <w:tcPr>
            <w:tcW w:w="4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48,157</w:t>
            </w:r>
          </w:p>
        </w:tc>
        <w:tc>
          <w:tcPr>
            <w:tcW w:w="4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168,056</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(6,918)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(12,465)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(6,281)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(25,670)</w:t>
            </w: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1,444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3,722</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12,380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5,060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(1,274)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(959)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1,458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18,329</w:t>
            </w:r>
          </w:p>
        </w:tc>
      </w:tr>
      <w:tr>
        <w:trPr>
          <w:trHeight w:val="128"/>
        </w:trPr>
        <w:tc>
          <w:tcPr>
            <w:tcW w:w="302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38,864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13,010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2,238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35,183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45,532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164,437</w:t>
            </w: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Commercial Lending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6"/>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Residential Lending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8"/>
        </w:trPr>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5"/>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Line</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Consumer</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0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20,833</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38,757</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7,605</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2,778</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36,384</w:t>
            </w:r>
          </w:p>
        </w:tc>
        <w:tc>
          <w:tcPr>
            <w:tcW w:w="2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w:t>
            </w:r>
          </w:p>
        </w:tc>
        <w:tc>
          <w:tcPr>
            <w:tcW w:w="4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46,919</w:t>
            </w:r>
          </w:p>
        </w:tc>
        <w:tc>
          <w:tcPr>
            <w:tcW w:w="4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168,468</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(10,312)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(12,465)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(16,615)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(39,421)</w:t>
            </w: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1,991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6,266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8,436</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2,686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12,572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5,405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(1,241)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(893)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8,962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26,954</w:t>
            </w:r>
          </w:p>
        </w:tc>
      </w:tr>
      <w:tr>
        <w:trPr>
          <w:trHeight w:val="128"/>
        </w:trPr>
        <w:tc>
          <w:tcPr>
            <w:tcW w:w="302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38,864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13,010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2,238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35,183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45,532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164,437</w:t>
            </w: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1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 2025</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Commercial Lending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6"/>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Residential Lending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8"/>
        </w:trPr>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5"/>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580" w:type="dxa"/>
            <w:vAlign w:val="bottom"/>
            <w:gridSpan w:val="7"/>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Line</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Consumer</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0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20,061</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39,264</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8,945</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2,343</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37,965</w:t>
            </w:r>
          </w:p>
        </w:tc>
        <w:tc>
          <w:tcPr>
            <w:tcW w:w="2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11,190</w:t>
            </w:r>
          </w:p>
        </w:tc>
        <w:tc>
          <w:tcPr>
            <w:tcW w:w="4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48,057</w:t>
            </w:r>
          </w:p>
        </w:tc>
        <w:tc>
          <w:tcPr>
            <w:tcW w:w="4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167,825</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(6,405)</w:t>
            </w: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1,749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2,199</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1,650</w:t>
            </w:r>
          </w:p>
        </w:tc>
      </w:tr>
      <w:tr>
        <w:trPr>
          <w:trHeight w:val="129"/>
        </w:trPr>
        <w:tc>
          <w:tcPr>
            <w:tcW w:w="302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19,084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38,840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8,388</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2,515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11,384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47,327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165,269</w:t>
            </w: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Commercial Lending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6"/>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Residential Lending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8"/>
        </w:trPr>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5"/>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Line</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Consumer</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0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16,332</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40,624</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8,570</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2,269</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39,230</w:t>
            </w:r>
          </w:p>
        </w:tc>
        <w:tc>
          <w:tcPr>
            <w:tcW w:w="2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10,205</w:t>
            </w:r>
          </w:p>
        </w:tc>
        <w:tc>
          <w:tcPr>
            <w:tcW w:w="4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43,163</w:t>
            </w:r>
          </w:p>
        </w:tc>
        <w:tc>
          <w:tcPr>
            <w:tcW w:w="4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160,393</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(3,253)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w w:val="98"/>
              </w:rPr>
              <w:t>(14,287)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(18,232)</w:t>
            </w: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5,433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6,958</w:t>
            </w: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4,996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16,150</w:t>
            </w:r>
          </w:p>
        </w:tc>
      </w:tr>
      <w:tr>
        <w:trPr>
          <w:trHeight w:val="128"/>
        </w:trPr>
        <w:tc>
          <w:tcPr>
            <w:tcW w:w="302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19,084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38,840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8,388</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2,515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11,384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47,327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165,269</w:t>
            </w: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the Reserve for Unfunded Commitments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presents the activity in the Reserve for Unfunded Commitments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11"/>
          </w:tcPr>
          <w:p>
            <w:pPr>
              <w:jc w:val="center"/>
              <w:ind w:right="198"/>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 2026</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29"/>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6"/>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Commercial Lending</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w w:val="98"/>
              </w:rPr>
              <w:t>Residential Lending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08"/>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4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Line</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Consumer</w:t>
            </w:r>
            <w:r>
              <w:rPr>
                <w:rFonts w:ascii="Times New Roman" w:cs="Times New Roman" w:eastAsia="Times New Roman" w:hAnsi="Times New Roman"/>
                <w:sz w:val="13"/>
                <w:szCs w:val="13"/>
                <w:color w:val="auto"/>
              </w:rPr>
              <w:t xml:space="preserve"> ​​​</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Reserve for unfunded commitments: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7,890</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1,364</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12,055</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40" w:type="dxa"/>
            <w:vAlign w:val="bottom"/>
          </w:tcPr>
          <w:p>
            <w:pPr>
              <w:spacing w:after="0"/>
              <w:rPr>
                <w:sz w:val="11"/>
                <w:szCs w:val="11"/>
                <w:color w:val="auto"/>
              </w:rPr>
            </w:pPr>
          </w:p>
        </w:tc>
        <w:tc>
          <w:tcPr>
            <w:tcW w:w="1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16,329</w:t>
            </w:r>
          </w:p>
        </w:tc>
        <w:tc>
          <w:tcPr>
            <w:tcW w:w="38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w:t>
            </w:r>
          </w:p>
        </w:tc>
        <w:tc>
          <w:tcPr>
            <w:tcW w:w="1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37,672</w:t>
            </w: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1,021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(91)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1,979</w:t>
            </w:r>
          </w:p>
        </w:tc>
      </w:tr>
      <w:tr>
        <w:trPr>
          <w:trHeight w:val="129"/>
        </w:trPr>
        <w:tc>
          <w:tcPr>
            <w:tcW w:w="29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8,911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12,506</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16,919</w:t>
            </w:r>
          </w:p>
        </w:tc>
        <w:tc>
          <w:tcPr>
            <w:tcW w:w="14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39,651</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45"/>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1"/>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2026</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6"/>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Commercial Lending</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w w:val="98"/>
              </w:rPr>
              <w:t>Residential Lending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08"/>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4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Financing</w:t>
            </w:r>
          </w:p>
        </w:tc>
        <w:tc>
          <w:tcPr>
            <w:tcW w:w="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Line</w:t>
            </w: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Consumer</w:t>
            </w:r>
            <w:r>
              <w:rPr>
                <w:rFonts w:ascii="Times New Roman" w:cs="Times New Roman" w:eastAsia="Times New Roman" w:hAnsi="Times New Roman"/>
                <w:sz w:val="13"/>
                <w:szCs w:val="13"/>
                <w:color w:val="auto"/>
              </w:rPr>
              <w:t xml:space="preserve"> ​</w:t>
            </w:r>
          </w:p>
        </w:tc>
        <w:tc>
          <w:tcPr>
            <w:tcW w:w="14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Reserve for unfunded commitments: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7,859</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1,220</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9,772</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w:t>
            </w:r>
          </w:p>
        </w:tc>
        <w:tc>
          <w:tcPr>
            <w:tcW w:w="40" w:type="dxa"/>
            <w:vAlign w:val="bottom"/>
          </w:tcPr>
          <w:p>
            <w:pPr>
              <w:spacing w:after="0"/>
              <w:rPr>
                <w:sz w:val="11"/>
                <w:szCs w:val="11"/>
                <w:color w:val="auto"/>
              </w:rPr>
            </w:pPr>
          </w:p>
        </w:tc>
        <w:tc>
          <w:tcPr>
            <w:tcW w:w="1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16,771</w:t>
            </w:r>
          </w:p>
        </w:tc>
        <w:tc>
          <w:tcPr>
            <w:tcW w:w="38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35,697</w:t>
            </w: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1,052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3,954</w:t>
            </w:r>
          </w:p>
        </w:tc>
      </w:tr>
      <w:tr>
        <w:trPr>
          <w:trHeight w:val="128"/>
        </w:trPr>
        <w:tc>
          <w:tcPr>
            <w:tcW w:w="29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8,911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12,506</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16,919</w:t>
            </w:r>
          </w:p>
        </w:tc>
        <w:tc>
          <w:tcPr>
            <w:tcW w:w="14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39,651</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45"/>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1"/>
          </w:tcPr>
          <w:p>
            <w:pPr>
              <w:jc w:val="center"/>
              <w:ind w:right="198"/>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 2025</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6"/>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Commercial Lending</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w w:val="98"/>
              </w:rPr>
              <w:t>Residential Lending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08"/>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4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Line</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Consumer</w:t>
            </w:r>
            <w:r>
              <w:rPr>
                <w:rFonts w:ascii="Times New Roman" w:cs="Times New Roman" w:eastAsia="Times New Roman" w:hAnsi="Times New Roman"/>
                <w:sz w:val="13"/>
                <w:szCs w:val="13"/>
                <w:color w:val="auto"/>
              </w:rPr>
              <w:t xml:space="preserve"> ​​​</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Reserve for unfunded commitments: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8,492</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7,403</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1"/>
                <w:szCs w:val="11"/>
                <w:color w:val="auto"/>
              </w:rPr>
            </w:pPr>
          </w:p>
        </w:tc>
        <w:tc>
          <w:tcPr>
            <w:tcW w:w="1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16,405</w:t>
            </w:r>
          </w:p>
        </w:tc>
        <w:tc>
          <w:tcPr>
            <w:tcW w:w="38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33,347</w:t>
            </w: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2,850</w:t>
            </w:r>
          </w:p>
        </w:tc>
      </w:tr>
      <w:tr>
        <w:trPr>
          <w:trHeight w:val="128"/>
        </w:trPr>
        <w:tc>
          <w:tcPr>
            <w:tcW w:w="29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9,877</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17,029</w:t>
            </w:r>
          </w:p>
        </w:tc>
        <w:tc>
          <w:tcPr>
            <w:tcW w:w="14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36,197</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45"/>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1"/>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2025</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29"/>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6"/>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Commercial Lending</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w w:val="98"/>
              </w:rPr>
              <w:t>Residential Lending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08"/>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4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Financing</w:t>
            </w:r>
          </w:p>
        </w:tc>
        <w:tc>
          <w:tcPr>
            <w:tcW w:w="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Line</w:t>
            </w: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Consumer</w:t>
            </w:r>
            <w:r>
              <w:rPr>
                <w:rFonts w:ascii="Times New Roman" w:cs="Times New Roman" w:eastAsia="Times New Roman" w:hAnsi="Times New Roman"/>
                <w:sz w:val="13"/>
                <w:szCs w:val="13"/>
                <w:color w:val="auto"/>
              </w:rPr>
              <w:t xml:space="preserve"> ​</w:t>
            </w:r>
          </w:p>
        </w:tc>
        <w:tc>
          <w:tcPr>
            <w:tcW w:w="14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Reserve for unfunded commitments: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8,112</w:t>
            </w:r>
          </w:p>
        </w:tc>
        <w:tc>
          <w:tcPr>
            <w:tcW w:w="40" w:type="dxa"/>
            <w:vAlign w:val="bottom"/>
          </w:tcPr>
          <w:p>
            <w:pPr>
              <w:spacing w:after="0"/>
              <w:rPr>
                <w:sz w:val="11"/>
                <w:szCs w:val="11"/>
                <w:color w:val="auto"/>
              </w:rPr>
            </w:pPr>
          </w:p>
        </w:tc>
        <w:tc>
          <w:tcPr>
            <w:tcW w:w="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w:t>
            </w:r>
          </w:p>
        </w:tc>
        <w:tc>
          <w:tcPr>
            <w:tcW w:w="20" w:type="dxa"/>
            <w:vAlign w:val="bottom"/>
          </w:tcPr>
          <w:p>
            <w:pPr>
              <w:spacing w:after="0"/>
              <w:rPr>
                <w:sz w:val="11"/>
                <w:szCs w:val="11"/>
                <w:color w:val="auto"/>
              </w:rPr>
            </w:pPr>
          </w:p>
        </w:tc>
        <w:tc>
          <w:tcPr>
            <w:tcW w:w="2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7,818</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1"/>
                <w:szCs w:val="11"/>
                <w:color w:val="auto"/>
              </w:rPr>
            </w:pPr>
          </w:p>
        </w:tc>
        <w:tc>
          <w:tcPr>
            <w:tcW w:w="1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15,893</w:t>
            </w:r>
          </w:p>
        </w:tc>
        <w:tc>
          <w:tcPr>
            <w:tcW w:w="38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32,847</w:t>
            </w: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3,350</w:t>
            </w:r>
          </w:p>
        </w:tc>
      </w:tr>
      <w:tr>
        <w:trPr>
          <w:trHeight w:val="129"/>
        </w:trPr>
        <w:tc>
          <w:tcPr>
            <w:tcW w:w="29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9,877</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17,029</w:t>
            </w:r>
          </w:p>
        </w:tc>
        <w:tc>
          <w:tcPr>
            <w:tcW w:w="14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36,197</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performs an internal loan review and grading or scoring procedures on an ongoing basis. The review provides management with periodic information as to the quality of the loan portfolio and effectiveness of the Company’s lending policies and procedures. The objective of the loan review and grading or scoring procedures is to identify, in a timely manner, existing or emerging credit quality issues so that appropriate steps can be initiated to avoid or minimize future losses.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Loans and leases subject to grading primarily include: commercial and industrial loans, commercial real estate loans, construction loans and lease financing. Other loans subject to grading include installment loans to businesses or individuals for business and commercial purposes, overdraft lines of credit, commercial credit cards, and other credits as may be determined. Credit quality indicators for internally graded loans and leases are generally updated on an annual basis or on a quarterly basis for those loans and leases deemed to be of potentially higher risk.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internal credit risk rating system is used to determine loan grade and is based on borrower credit risk and transactional risk. The loan grading process is a mechanism used to determine the risk of a particular borrower and is based on the following factors of a borrower: character, earnings and operating cash flow, asset and liability structure, debt capacity, management and controls, borrowing entity, and industry and operating environment.</w:t>
      </w:r>
    </w:p>
    <w:p>
      <w:pPr>
        <w:spacing w:after="0" w:line="178" w:lineRule="exact"/>
        <w:rPr>
          <w:sz w:val="20"/>
          <w:szCs w:val="20"/>
          <w:color w:val="auto"/>
        </w:rPr>
      </w:pPr>
    </w:p>
    <w:p>
      <w:pPr>
        <w:jc w:val="both"/>
        <w:ind w:lef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 “Pass” (uncriticized) loans and leases, are not considered to carry greater than normal risk. The borrower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apparent ability to satisfy obligations to the Company, and therefore no loss in ultimate collection is anticipated.</w:t>
      </w:r>
    </w:p>
    <w:p>
      <w:pPr>
        <w:spacing w:after="0" w:line="158"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 Loans and leases that have potential weaknesses deserve management’s close attention. If left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uncorrected, these potential weaknesses may result in deterioration of the repayment prospects for assets or in the institution’s credit position at some future date. Special mention assets are not adversely classified and do not expose an institution to sufficient risk to warrant adverse classification.</w:t>
      </w:r>
    </w:p>
    <w:p>
      <w:pPr>
        <w:spacing w:after="0" w:line="180"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 Loans and leases that are inadequately protected by the current financial condition and paying capacity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obligor or by any collateral pledged. Loans and leases so classified must have a well-defined weakness or weaknesses that jeopardize the collection of the debt. They are characterized by the distinct possibility that the bank may sustain some loss if the deficiencies are not corrected.</w:t>
      </w:r>
    </w:p>
    <w:p>
      <w:pPr>
        <w:spacing w:after="0" w:line="180" w:lineRule="exact"/>
        <w:rPr>
          <w:sz w:val="20"/>
          <w:szCs w:val="20"/>
          <w:color w:val="auto"/>
        </w:rPr>
      </w:pPr>
    </w:p>
    <w:p>
      <w:pPr>
        <w:jc w:val="both"/>
        <w:ind w:lef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 Loans and leases that have weaknesses found in substandard borrowers with the added provision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make collection of debt in full, on the basis of currently existing facts, conditions, and values, highly questionable and improbable.</w:t>
      </w:r>
    </w:p>
    <w:p>
      <w:pPr>
        <w:spacing w:after="0" w:line="173"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 Loans and leases classified as loss are considered uncollectible and of such little value that their continuance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is not warranted. This classification does not mean that the loan or lease has absolutely no recovery or salvage value, but rather that it is not practical or desirable to defer writing off this basically worthless asset even though partial recovery may be effected in the future.</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that are primarily monitored for credit quality using FICO scores include: residential mortgage loans, home equity lines and consumer loans. FICO scores are calculated primarily based on a consideration of payment history, the current amount of debt, the length of credit history available, a recent history of new sources of credit and the mix of credit type. FICO scores are updated on a monthly, quarterly or bi-annual basis, depending on the product type.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basis by year of origination and credit quality indicator of the Company’s loans and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Term</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0"/>
                <w:szCs w:val="10"/>
                <w:color w:val="auto"/>
              </w:rPr>
            </w:pPr>
          </w:p>
        </w:tc>
        <w:tc>
          <w:tcPr>
            <w:tcW w:w="5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6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Lending</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202,063</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241,039</w:t>
            </w:r>
          </w:p>
        </w:tc>
        <w:tc>
          <w:tcPr>
            <w:tcW w:w="40" w:type="dxa"/>
            <w:vAlign w:val="bottom"/>
          </w:tcPr>
          <w:p>
            <w:pPr>
              <w:spacing w:after="0"/>
              <w:rPr>
                <w:sz w:val="12"/>
                <w:szCs w:val="12"/>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149,553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57,135</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51,359</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289,563</w:t>
            </w:r>
          </w:p>
        </w:tc>
        <w:tc>
          <w:tcPr>
            <w:tcW w:w="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1,146,313</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28,352</w:t>
            </w:r>
          </w:p>
        </w:tc>
        <w:tc>
          <w:tcPr>
            <w:tcW w:w="4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2,165,377</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6,318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14,993</w:t>
            </w:r>
          </w:p>
        </w:tc>
        <w:tc>
          <w:tcPr>
            <w:tcW w:w="0" w:type="dxa"/>
            <w:vAlign w:val="bottom"/>
          </w:tcPr>
          <w:p>
            <w:pPr>
              <w:spacing w:after="0"/>
              <w:rPr>
                <w:sz w:val="1"/>
                <w:szCs w:val="1"/>
                <w:color w:val="auto"/>
              </w:rPr>
            </w:pPr>
          </w:p>
        </w:tc>
      </w:tr>
      <w:tr>
        <w:trPr>
          <w:trHeight w:val="148"/>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2,908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27,618</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13,451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6,347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52,254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96,579</w:t>
            </w:r>
          </w:p>
        </w:tc>
        <w:tc>
          <w:tcPr>
            <w:tcW w:w="0" w:type="dxa"/>
            <w:vAlign w:val="bottom"/>
          </w:tcPr>
          <w:p>
            <w:pPr>
              <w:spacing w:after="0"/>
              <w:rPr>
                <w:sz w:val="1"/>
                <w:szCs w:val="1"/>
                <w:color w:val="auto"/>
              </w:rPr>
            </w:pPr>
          </w:p>
        </w:tc>
      </w:tr>
      <w:tr>
        <w:trPr>
          <w:trHeight w:val="128"/>
        </w:trPr>
        <w:tc>
          <w:tcPr>
            <w:tcW w:w="234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219,900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258,215</w:t>
            </w: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156,949</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62,041</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58,415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310,510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1,210,185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28,352</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2,304,567</w:t>
            </w:r>
          </w:p>
        </w:tc>
        <w:tc>
          <w:tcPr>
            <w:tcW w:w="0" w:type="dxa"/>
            <w:vAlign w:val="bottom"/>
          </w:tcPr>
          <w:p>
            <w:pPr>
              <w:spacing w:after="0"/>
              <w:rPr>
                <w:sz w:val="1"/>
                <w:szCs w:val="1"/>
                <w:color w:val="auto"/>
              </w:rPr>
            </w:pPr>
          </w:p>
        </w:tc>
      </w:tr>
      <w:tr>
        <w:trPr>
          <w:trHeight w:val="128"/>
        </w:trPr>
        <w:tc>
          <w:tcPr>
            <w:tcW w:w="23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3,214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10,312</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538,756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723,291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364,311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391,394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585,898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1,643,436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114,656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6,267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4,368,009</w:t>
            </w:r>
          </w:p>
        </w:tc>
        <w:tc>
          <w:tcPr>
            <w:tcW w:w="0" w:type="dxa"/>
            <w:vAlign w:val="bottom"/>
          </w:tcPr>
          <w:p>
            <w:pPr>
              <w:spacing w:after="0"/>
              <w:rPr>
                <w:sz w:val="1"/>
                <w:szCs w:val="1"/>
                <w:color w:val="auto"/>
              </w:rPr>
            </w:pPr>
          </w:p>
        </w:tc>
      </w:tr>
      <w:tr>
        <w:trPr>
          <w:trHeight w:val="148"/>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171,581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48,290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226,506</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5,287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37,464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61,603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119,872</w:t>
            </w:r>
          </w:p>
        </w:tc>
        <w:tc>
          <w:tcPr>
            <w:tcW w:w="0" w:type="dxa"/>
            <w:vAlign w:val="bottom"/>
          </w:tcPr>
          <w:p>
            <w:pPr>
              <w:spacing w:after="0"/>
              <w:rPr>
                <w:sz w:val="1"/>
                <w:szCs w:val="1"/>
                <w:color w:val="auto"/>
              </w:rPr>
            </w:pPr>
          </w:p>
        </w:tc>
      </w:tr>
      <w:tr>
        <w:trPr>
          <w:trHeight w:val="148"/>
        </w:trPr>
        <w:tc>
          <w:tcPr>
            <w:tcW w:w="2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115</w:t>
            </w: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540,064</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723,291</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373,206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393,727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794,943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1,753,444</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129,560</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6,267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4,714,502</w:t>
            </w:r>
          </w:p>
        </w:tc>
        <w:tc>
          <w:tcPr>
            <w:tcW w:w="0" w:type="dxa"/>
            <w:vAlign w:val="bottom"/>
          </w:tcPr>
          <w:p>
            <w:pPr>
              <w:spacing w:after="0"/>
              <w:rPr>
                <w:sz w:val="1"/>
                <w:szCs w:val="1"/>
                <w:color w:val="auto"/>
              </w:rPr>
            </w:pPr>
          </w:p>
        </w:tc>
      </w:tr>
      <w:tr>
        <w:trPr>
          <w:trHeight w:val="129"/>
        </w:trPr>
        <w:tc>
          <w:tcPr>
            <w:tcW w:w="23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12,465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12,465</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64,419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174,295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235,743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53,119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148,418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11,369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690,942</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22,591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22,591</w:t>
            </w:r>
          </w:p>
        </w:tc>
        <w:tc>
          <w:tcPr>
            <w:tcW w:w="0" w:type="dxa"/>
            <w:vAlign w:val="bottom"/>
          </w:tcPr>
          <w:p>
            <w:pPr>
              <w:spacing w:after="0"/>
              <w:rPr>
                <w:sz w:val="1"/>
                <w:szCs w:val="1"/>
                <w:color w:val="auto"/>
              </w:rPr>
            </w:pPr>
          </w:p>
        </w:tc>
      </w:tr>
      <w:tr>
        <w:trPr>
          <w:trHeight w:val="149"/>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904</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8,669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2,805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25,094</w:t>
            </w:r>
          </w:p>
        </w:tc>
        <w:tc>
          <w:tcPr>
            <w:tcW w:w="0" w:type="dxa"/>
            <w:vAlign w:val="bottom"/>
          </w:tcPr>
          <w:p>
            <w:pPr>
              <w:spacing w:after="0"/>
              <w:rPr>
                <w:sz w:val="1"/>
                <w:szCs w:val="1"/>
                <w:color w:val="auto"/>
              </w:rPr>
            </w:pPr>
          </w:p>
        </w:tc>
      </w:tr>
      <w:tr>
        <w:trPr>
          <w:trHeight w:val="128"/>
        </w:trPr>
        <w:tc>
          <w:tcPr>
            <w:tcW w:w="234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Construction</w:t>
            </w: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69,159</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182,964</w:t>
            </w: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240,462</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55,924</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172,728</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14,040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4,254</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739,531</w:t>
            </w:r>
          </w:p>
        </w:tc>
        <w:tc>
          <w:tcPr>
            <w:tcW w:w="0" w:type="dxa"/>
            <w:vAlign w:val="bottom"/>
          </w:tcPr>
          <w:p>
            <w:pPr>
              <w:spacing w:after="0"/>
              <w:rPr>
                <w:sz w:val="1"/>
                <w:szCs w:val="1"/>
                <w:color w:val="auto"/>
              </w:rPr>
            </w:pPr>
          </w:p>
        </w:tc>
      </w:tr>
      <w:tr>
        <w:trPr>
          <w:trHeight w:val="129"/>
        </w:trPr>
        <w:tc>
          <w:tcPr>
            <w:tcW w:w="23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Lease Financing</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118,981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61,372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75,171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82,562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32,936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89,720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460,742</w:t>
            </w:r>
          </w:p>
        </w:tc>
        <w:tc>
          <w:tcPr>
            <w:tcW w:w="0" w:type="dxa"/>
            <w:vAlign w:val="bottom"/>
          </w:tcPr>
          <w:p>
            <w:pPr>
              <w:spacing w:after="0"/>
              <w:rPr>
                <w:sz w:val="1"/>
                <w:szCs w:val="1"/>
                <w:color w:val="auto"/>
              </w:rPr>
            </w:pPr>
          </w:p>
        </w:tc>
      </w:tr>
      <w:tr>
        <w:trPr>
          <w:trHeight w:val="149"/>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507</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355</w:t>
            </w:r>
          </w:p>
        </w:tc>
        <w:tc>
          <w:tcPr>
            <w:tcW w:w="0" w:type="dxa"/>
            <w:vAlign w:val="bottom"/>
          </w:tcPr>
          <w:p>
            <w:pPr>
              <w:spacing w:after="0"/>
              <w:rPr>
                <w:sz w:val="1"/>
                <w:szCs w:val="1"/>
                <w:color w:val="auto"/>
              </w:rPr>
            </w:pPr>
          </w:p>
        </w:tc>
      </w:tr>
      <w:tr>
        <w:trPr>
          <w:trHeight w:val="128"/>
        </w:trPr>
        <w:tc>
          <w:tcPr>
            <w:tcW w:w="234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Lease Financing</w:t>
            </w: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118,981</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61,504</w:t>
            </w: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75,411</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82,995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32,993</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89,720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461,604</w:t>
            </w:r>
          </w:p>
        </w:tc>
        <w:tc>
          <w:tcPr>
            <w:tcW w:w="0" w:type="dxa"/>
            <w:vAlign w:val="bottom"/>
          </w:tcPr>
          <w:p>
            <w:pPr>
              <w:spacing w:after="0"/>
              <w:rPr>
                <w:sz w:val="1"/>
                <w:szCs w:val="1"/>
                <w:color w:val="auto"/>
              </w:rPr>
            </w:pPr>
          </w:p>
        </w:tc>
      </w:tr>
      <w:tr>
        <w:trPr>
          <w:trHeight w:val="129"/>
        </w:trPr>
        <w:tc>
          <w:tcPr>
            <w:tcW w:w="23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4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Commercial Lending</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948,104</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1,225,974</w:t>
            </w:r>
          </w:p>
        </w:tc>
        <w:tc>
          <w:tcPr>
            <w:tcW w:w="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846,028</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594,687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1,059,079</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2,167,714</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1,343,999</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34,619</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8,220,204</w:t>
            </w:r>
          </w:p>
        </w:tc>
        <w:tc>
          <w:tcPr>
            <w:tcW w:w="0" w:type="dxa"/>
            <w:vAlign w:val="bottom"/>
          </w:tcPr>
          <w:p>
            <w:pPr>
              <w:spacing w:after="0"/>
              <w:rPr>
                <w:sz w:val="1"/>
                <w:szCs w:val="1"/>
                <w:color w:val="auto"/>
              </w:rPr>
            </w:pPr>
          </w:p>
        </w:tc>
      </w:tr>
      <w:tr>
        <w:trPr>
          <w:trHeight w:val="106"/>
        </w:trPr>
        <w:tc>
          <w:tcPr>
            <w:tcW w:w="234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2"/>
                <w:szCs w:val="12"/>
                <w:color w:val="auto"/>
              </w:rPr>
              <w:t>Current period gross charge-offs</w:t>
            </w:r>
          </w:p>
        </w:tc>
        <w:tc>
          <w:tcPr>
            <w:tcW w:w="140" w:type="dxa"/>
            <w:vAlign w:val="bottom"/>
          </w:tcPr>
          <w:p>
            <w:pPr>
              <w:jc w:val="right"/>
              <w:ind w:right="28"/>
              <w:spacing w:after="0" w:line="10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120" w:type="dxa"/>
            <w:vAlign w:val="bottom"/>
          </w:tcPr>
          <w:p>
            <w:pPr>
              <w:jc w:val="right"/>
              <w:ind w:right="8"/>
              <w:spacing w:after="0" w:line="10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129</w:t>
            </w:r>
          </w:p>
        </w:tc>
        <w:tc>
          <w:tcPr>
            <w:tcW w:w="40" w:type="dxa"/>
            <w:vAlign w:val="bottom"/>
          </w:tcPr>
          <w:p>
            <w:pPr>
              <w:spacing w:after="0"/>
              <w:rPr>
                <w:sz w:val="9"/>
                <w:szCs w:val="9"/>
                <w:color w:val="auto"/>
              </w:rPr>
            </w:pPr>
          </w:p>
        </w:tc>
        <w:tc>
          <w:tcPr>
            <w:tcW w:w="160" w:type="dxa"/>
            <w:vAlign w:val="bottom"/>
          </w:tcPr>
          <w:p>
            <w:pPr>
              <w:jc w:val="right"/>
              <w:ind w:right="19"/>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1,870</w:t>
            </w:r>
          </w:p>
        </w:tc>
        <w:tc>
          <w:tcPr>
            <w:tcW w:w="40" w:type="dxa"/>
            <w:vAlign w:val="bottom"/>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259</w:t>
            </w:r>
          </w:p>
        </w:tc>
        <w:tc>
          <w:tcPr>
            <w:tcW w:w="4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2,180</w:t>
            </w:r>
          </w:p>
        </w:tc>
        <w:tc>
          <w:tcPr>
            <w:tcW w:w="40" w:type="dxa"/>
            <w:vAlign w:val="bottom"/>
          </w:tcPr>
          <w:p>
            <w:pPr>
              <w:spacing w:after="0"/>
              <w:rPr>
                <w:sz w:val="9"/>
                <w:szCs w:val="9"/>
                <w:color w:val="auto"/>
              </w:rPr>
            </w:pPr>
          </w:p>
        </w:tc>
        <w:tc>
          <w:tcPr>
            <w:tcW w:w="120" w:type="dxa"/>
            <w:vAlign w:val="bottom"/>
          </w:tcPr>
          <w:p>
            <w:pPr>
              <w:jc w:val="right"/>
              <w:ind w:right="8"/>
              <w:spacing w:after="0" w:line="10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15,679</w:t>
            </w:r>
          </w:p>
        </w:tc>
        <w:tc>
          <w:tcPr>
            <w:tcW w:w="40" w:type="dxa"/>
            <w:vAlign w:val="bottom"/>
          </w:tcPr>
          <w:p>
            <w:pPr>
              <w:spacing w:after="0"/>
              <w:rPr>
                <w:sz w:val="9"/>
                <w:szCs w:val="9"/>
                <w:color w:val="auto"/>
              </w:rPr>
            </w:pPr>
          </w:p>
        </w:tc>
        <w:tc>
          <w:tcPr>
            <w:tcW w:w="12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2,666</w:t>
            </w:r>
          </w:p>
        </w:tc>
        <w:tc>
          <w:tcPr>
            <w:tcW w:w="4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120" w:type="dxa"/>
            <w:vAlign w:val="bottom"/>
          </w:tcPr>
          <w:p>
            <w:pPr>
              <w:jc w:val="right"/>
              <w:ind w:right="3"/>
              <w:spacing w:after="0" w:line="10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22,783</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(continued)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 Lending</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Mortgage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157,553</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187,527</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127,156</w:t>
            </w:r>
          </w:p>
        </w:tc>
        <w:tc>
          <w:tcPr>
            <w:tcW w:w="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155,856</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413,991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2,176,053</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3,218,136</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22,002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15,661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67,424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275,860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423,648</w:t>
            </w:r>
          </w:p>
        </w:tc>
        <w:tc>
          <w:tcPr>
            <w:tcW w:w="0" w:type="dxa"/>
            <w:vAlign w:val="bottom"/>
          </w:tcPr>
          <w:p>
            <w:pPr>
              <w:spacing w:after="0"/>
              <w:rPr>
                <w:sz w:val="1"/>
                <w:szCs w:val="1"/>
                <w:color w:val="auto"/>
              </w:rPr>
            </w:pPr>
          </w:p>
        </w:tc>
      </w:tr>
      <w:tr>
        <w:trPr>
          <w:trHeight w:val="148"/>
        </w:trPr>
        <w:tc>
          <w:tcPr>
            <w:tcW w:w="2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8,008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8,553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18,661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69,081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112,654</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5,375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16,974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25,354</w:t>
            </w:r>
          </w:p>
        </w:tc>
        <w:tc>
          <w:tcPr>
            <w:tcW w:w="0" w:type="dxa"/>
            <w:vAlign w:val="bottom"/>
          </w:tcPr>
          <w:p>
            <w:pPr>
              <w:spacing w:after="0"/>
              <w:rPr>
                <w:sz w:val="1"/>
                <w:szCs w:val="1"/>
                <w:color w:val="auto"/>
              </w:rPr>
            </w:pPr>
          </w:p>
        </w:tc>
      </w:tr>
      <w:tr>
        <w:trPr>
          <w:trHeight w:val="148"/>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17,872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22,115</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5,511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2,887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4,728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15,250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47,394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83,620</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22,123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6,499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17,778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12,991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38,541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8,494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111,190</w:t>
            </w:r>
          </w:p>
        </w:tc>
        <w:tc>
          <w:tcPr>
            <w:tcW w:w="0" w:type="dxa"/>
            <w:vAlign w:val="bottom"/>
          </w:tcPr>
          <w:p>
            <w:pPr>
              <w:spacing w:after="0"/>
              <w:rPr>
                <w:sz w:val="1"/>
                <w:szCs w:val="1"/>
                <w:color w:val="auto"/>
              </w:rPr>
            </w:pPr>
          </w:p>
        </w:tc>
      </w:tr>
      <w:tr>
        <w:trPr>
          <w:trHeight w:val="128"/>
        </w:trPr>
        <w:tc>
          <w:tcPr>
            <w:tcW w:w="222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Residential Mortgage</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194,804</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242,897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160,756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210,497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537,494</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2,641,775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8,494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3,996,717</w:t>
            </w:r>
          </w:p>
        </w:tc>
        <w:tc>
          <w:tcPr>
            <w:tcW w:w="0" w:type="dxa"/>
            <w:vAlign w:val="bottom"/>
          </w:tcPr>
          <w:p>
            <w:pPr>
              <w:spacing w:after="0"/>
              <w:rPr>
                <w:sz w:val="1"/>
                <w:szCs w:val="1"/>
                <w:color w:val="auto"/>
              </w:rPr>
            </w:pPr>
          </w:p>
        </w:tc>
      </w:tr>
      <w:tr>
        <w:trPr>
          <w:trHeight w:val="128"/>
        </w:trPr>
        <w:tc>
          <w:tcPr>
            <w:tcW w:w="22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Home Equity Line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924,498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924,830</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179,779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181,383</w:t>
            </w:r>
          </w:p>
        </w:tc>
        <w:tc>
          <w:tcPr>
            <w:tcW w:w="0" w:type="dxa"/>
            <w:vAlign w:val="bottom"/>
          </w:tcPr>
          <w:p>
            <w:pPr>
              <w:spacing w:after="0"/>
              <w:rPr>
                <w:sz w:val="1"/>
                <w:szCs w:val="1"/>
                <w:color w:val="auto"/>
              </w:rPr>
            </w:pPr>
          </w:p>
        </w:tc>
      </w:tr>
      <w:tr>
        <w:trPr>
          <w:trHeight w:val="148"/>
        </w:trPr>
        <w:tc>
          <w:tcPr>
            <w:tcW w:w="2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47,607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48,240</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13,382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13,757</w:t>
            </w:r>
          </w:p>
        </w:tc>
        <w:tc>
          <w:tcPr>
            <w:tcW w:w="0" w:type="dxa"/>
            <w:vAlign w:val="bottom"/>
          </w:tcPr>
          <w:p>
            <w:pPr>
              <w:spacing w:after="0"/>
              <w:rPr>
                <w:sz w:val="1"/>
                <w:szCs w:val="1"/>
                <w:color w:val="auto"/>
              </w:rPr>
            </w:pPr>
          </w:p>
        </w:tc>
      </w:tr>
      <w:tr>
        <w:trPr>
          <w:trHeight w:val="149"/>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8,612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8,642</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758</w:t>
            </w:r>
          </w:p>
        </w:tc>
        <w:tc>
          <w:tcPr>
            <w:tcW w:w="0" w:type="dxa"/>
            <w:vAlign w:val="bottom"/>
          </w:tcPr>
          <w:p>
            <w:pPr>
              <w:spacing w:after="0"/>
              <w:rPr>
                <w:sz w:val="1"/>
                <w:szCs w:val="1"/>
                <w:color w:val="auto"/>
              </w:rPr>
            </w:pPr>
          </w:p>
        </w:tc>
      </w:tr>
      <w:tr>
        <w:trPr>
          <w:trHeight w:val="128"/>
        </w:trPr>
        <w:tc>
          <w:tcPr>
            <w:tcW w:w="222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Home Equity Line</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1,174,636</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2,974</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1,177,610</w:t>
            </w:r>
          </w:p>
        </w:tc>
        <w:tc>
          <w:tcPr>
            <w:tcW w:w="0" w:type="dxa"/>
            <w:vAlign w:val="bottom"/>
          </w:tcPr>
          <w:p>
            <w:pPr>
              <w:spacing w:after="0"/>
              <w:rPr>
                <w:sz w:val="1"/>
                <w:szCs w:val="1"/>
                <w:color w:val="auto"/>
              </w:rPr>
            </w:pPr>
          </w:p>
        </w:tc>
      </w:tr>
      <w:tr>
        <w:trPr>
          <w:trHeight w:val="128"/>
        </w:trPr>
        <w:tc>
          <w:tcPr>
            <w:tcW w:w="22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w:t>
            </w:r>
          </w:p>
        </w:tc>
        <w:tc>
          <w:tcPr>
            <w:tcW w:w="0" w:type="dxa"/>
            <w:vAlign w:val="bottom"/>
          </w:tcPr>
          <w:p>
            <w:pPr>
              <w:spacing w:after="0"/>
              <w:rPr>
                <w:sz w:val="1"/>
                <w:szCs w:val="1"/>
                <w:color w:val="auto"/>
              </w:rPr>
            </w:pPr>
          </w:p>
        </w:tc>
      </w:tr>
      <w:tr>
        <w:trPr>
          <w:trHeight w:val="148"/>
        </w:trPr>
        <w:tc>
          <w:tcPr>
            <w:tcW w:w="2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Residential Lending</w:t>
            </w:r>
          </w:p>
        </w:tc>
        <w:tc>
          <w:tcPr>
            <w:tcW w:w="14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194,804</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242,897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160,756</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210,497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537,494</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2,641,775</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1,183,130</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2,974</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5,174,327</w:t>
            </w:r>
          </w:p>
        </w:tc>
        <w:tc>
          <w:tcPr>
            <w:tcW w:w="0" w:type="dxa"/>
            <w:vAlign w:val="bottom"/>
          </w:tcPr>
          <w:p>
            <w:pPr>
              <w:spacing w:after="0"/>
              <w:rPr>
                <w:sz w:val="1"/>
                <w:szCs w:val="1"/>
                <w:color w:val="auto"/>
              </w:rPr>
            </w:pPr>
          </w:p>
        </w:tc>
      </w:tr>
      <w:tr>
        <w:trPr>
          <w:trHeight w:val="129"/>
        </w:trPr>
        <w:tc>
          <w:tcPr>
            <w:tcW w:w="22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w:t>
            </w:r>
          </w:p>
        </w:tc>
        <w:tc>
          <w:tcPr>
            <w:tcW w:w="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95,688</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85,965</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48,787</w:t>
            </w:r>
          </w:p>
        </w:tc>
        <w:tc>
          <w:tcPr>
            <w:tcW w:w="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29,752</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28,841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9,062</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98,607</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396,763</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76,834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67,554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14,466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5,241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302,574</w:t>
            </w:r>
          </w:p>
        </w:tc>
        <w:tc>
          <w:tcPr>
            <w:tcW w:w="0" w:type="dxa"/>
            <w:vAlign w:val="bottom"/>
          </w:tcPr>
          <w:p>
            <w:pPr>
              <w:spacing w:after="0"/>
              <w:rPr>
                <w:sz w:val="1"/>
                <w:szCs w:val="1"/>
                <w:color w:val="auto"/>
              </w:rPr>
            </w:pPr>
          </w:p>
        </w:tc>
      </w:tr>
      <w:tr>
        <w:trPr>
          <w:trHeight w:val="148"/>
        </w:trPr>
        <w:tc>
          <w:tcPr>
            <w:tcW w:w="2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46,475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34,123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8,382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7,706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50,763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166,820</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8,343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13,276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4,675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60,168</w:t>
            </w:r>
          </w:p>
        </w:tc>
        <w:tc>
          <w:tcPr>
            <w:tcW w:w="0" w:type="dxa"/>
            <w:vAlign w:val="bottom"/>
          </w:tcPr>
          <w:p>
            <w:pPr>
              <w:spacing w:after="0"/>
              <w:rPr>
                <w:sz w:val="1"/>
                <w:szCs w:val="1"/>
                <w:color w:val="auto"/>
              </w:rPr>
            </w:pPr>
          </w:p>
        </w:tc>
      </w:tr>
      <w:tr>
        <w:trPr>
          <w:trHeight w:val="148"/>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4,270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2,208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5,572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24,343</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4,376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37,409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42,290</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1,472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69,677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74,739</w:t>
            </w:r>
          </w:p>
        </w:tc>
        <w:tc>
          <w:tcPr>
            <w:tcW w:w="0" w:type="dxa"/>
            <w:vAlign w:val="bottom"/>
          </w:tcPr>
          <w:p>
            <w:pPr>
              <w:spacing w:after="0"/>
              <w:rPr>
                <w:sz w:val="1"/>
                <w:szCs w:val="1"/>
                <w:color w:val="auto"/>
              </w:rPr>
            </w:pPr>
          </w:p>
        </w:tc>
      </w:tr>
      <w:tr>
        <w:trPr>
          <w:trHeight w:val="128"/>
        </w:trPr>
        <w:tc>
          <w:tcPr>
            <w:tcW w:w="222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Consumer Lending</w:t>
            </w:r>
          </w:p>
        </w:tc>
        <w:tc>
          <w:tcPr>
            <w:tcW w:w="140" w:type="dxa"/>
            <w:vAlign w:val="bottom"/>
            <w:tcBorders>
              <w:top w:val="single" w:sz="8" w:color="auto"/>
              <w:bottom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234,277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210,084</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108,920</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63,181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58,211</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23,647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366,252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3,125</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1,067,697</w:t>
            </w:r>
          </w:p>
        </w:tc>
        <w:tc>
          <w:tcPr>
            <w:tcW w:w="0" w:type="dxa"/>
            <w:vAlign w:val="bottom"/>
          </w:tcPr>
          <w:p>
            <w:pPr>
              <w:spacing w:after="0"/>
              <w:rPr>
                <w:sz w:val="1"/>
                <w:szCs w:val="1"/>
                <w:color w:val="auto"/>
              </w:rPr>
            </w:pPr>
          </w:p>
        </w:tc>
      </w:tr>
      <w:tr>
        <w:trPr>
          <w:trHeight w:val="129"/>
        </w:trPr>
        <w:tc>
          <w:tcPr>
            <w:tcW w:w="22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525</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2,613</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1,778</w:t>
            </w:r>
          </w:p>
        </w:tc>
        <w:tc>
          <w:tcPr>
            <w:tcW w:w="4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1,435</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786</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1,772</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7,162</w:t>
            </w:r>
          </w:p>
        </w:tc>
        <w:tc>
          <w:tcPr>
            <w:tcW w:w="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544</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16,615</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4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1,377,185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1,678,955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1,115,704</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868,365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1,654,784</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4,833,136</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2,893,381</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40,718</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14,462,228</w:t>
            </w:r>
          </w:p>
        </w:tc>
        <w:tc>
          <w:tcPr>
            <w:tcW w:w="0" w:type="dxa"/>
            <w:vAlign w:val="bottom"/>
          </w:tcPr>
          <w:p>
            <w:pPr>
              <w:spacing w:after="0"/>
              <w:rPr>
                <w:sz w:val="1"/>
                <w:szCs w:val="1"/>
                <w:color w:val="auto"/>
              </w:rPr>
            </w:pPr>
          </w:p>
        </w:tc>
      </w:tr>
      <w:tr>
        <w:trPr>
          <w:trHeight w:val="116"/>
        </w:trPr>
        <w:tc>
          <w:tcPr>
            <w:tcW w:w="222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4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525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2,742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3,648</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1,694</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2,966</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17,451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9,851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544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39,421</w:t>
            </w:r>
          </w:p>
        </w:tc>
        <w:tc>
          <w:tcPr>
            <w:tcW w:w="0" w:type="dxa"/>
            <w:vAlign w:val="bottom"/>
          </w:tcPr>
          <w:p>
            <w:pPr>
              <w:spacing w:after="0"/>
              <w:rPr>
                <w:sz w:val="1"/>
                <w:szCs w:val="1"/>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line="261" w:lineRule="auto"/>
        <w:tabs>
          <w:tab w:leader="none" w:pos="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FICO scores. The majority of the loans in this population were originated to borrowers with a prime FICO score (680 and above). As of September 30, 2026, the majority of the loans in this population were current.</w:t>
      </w:r>
    </w:p>
    <w:p>
      <w:pPr>
        <w:ind w:left="320" w:hanging="315"/>
        <w:spacing w:after="0" w:line="251" w:lineRule="auto"/>
        <w:tabs>
          <w:tab w:leader="none" w:pos="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internal risk ratings. The majority of the loans in this population were graded with a “Pass” rating. As of September 30, 2026, the majority of the loans in this population were current.</w:t>
      </w:r>
    </w:p>
    <w:p>
      <w:pPr>
        <w:ind w:left="320" w:hanging="315"/>
        <w:spacing w:after="0" w:line="263" w:lineRule="auto"/>
        <w:tabs>
          <w:tab w:leader="none" w:pos="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 FICO scores are primarily related to loans and leases extended to non-residents. Loans and leases of this nature are primarily secured by collateral and/or are closely monitored for performance.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basis by year of origination and credit quality indicator of the Company’s loans and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Term</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6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Lending</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321,132</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120,082</w:t>
            </w:r>
          </w:p>
        </w:tc>
        <w:tc>
          <w:tcPr>
            <w:tcW w:w="40" w:type="dxa"/>
            <w:vAlign w:val="bottom"/>
          </w:tcPr>
          <w:p>
            <w:pPr>
              <w:spacing w:after="0"/>
              <w:rPr>
                <w:sz w:val="12"/>
                <w:szCs w:val="12"/>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99,174</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150,013</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228,890</w:t>
            </w:r>
          </w:p>
        </w:tc>
        <w:tc>
          <w:tcPr>
            <w:tcW w:w="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1,007,162</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14,182</w:t>
            </w:r>
          </w:p>
        </w:tc>
        <w:tc>
          <w:tcPr>
            <w:tcW w:w="4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2,001,993</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13,456</w:t>
            </w:r>
          </w:p>
        </w:tc>
        <w:tc>
          <w:tcPr>
            <w:tcW w:w="0" w:type="dxa"/>
            <w:vAlign w:val="bottom"/>
          </w:tcPr>
          <w:p>
            <w:pPr>
              <w:spacing w:after="0"/>
              <w:rPr>
                <w:sz w:val="1"/>
                <w:szCs w:val="1"/>
                <w:color w:val="auto"/>
              </w:rPr>
            </w:pPr>
          </w:p>
        </w:tc>
      </w:tr>
      <w:tr>
        <w:trPr>
          <w:trHeight w:val="148"/>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38,466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67,861</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49,078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88,023</w:t>
            </w:r>
          </w:p>
        </w:tc>
        <w:tc>
          <w:tcPr>
            <w:tcW w:w="0" w:type="dxa"/>
            <w:vAlign w:val="bottom"/>
          </w:tcPr>
          <w:p>
            <w:pPr>
              <w:spacing w:after="0"/>
              <w:rPr>
                <w:sz w:val="1"/>
                <w:szCs w:val="1"/>
                <w:color w:val="auto"/>
              </w:rPr>
            </w:pPr>
          </w:p>
        </w:tc>
      </w:tr>
      <w:tr>
        <w:trPr>
          <w:trHeight w:val="128"/>
        </w:trPr>
        <w:tc>
          <w:tcPr>
            <w:tcW w:w="234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344,735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129,934</w:t>
            </w: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68,672</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112,501</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151,454</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251,330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1,098,525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14,182</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2,171,333</w:t>
            </w:r>
          </w:p>
        </w:tc>
        <w:tc>
          <w:tcPr>
            <w:tcW w:w="0" w:type="dxa"/>
            <w:vAlign w:val="bottom"/>
          </w:tcPr>
          <w:p>
            <w:pPr>
              <w:spacing w:after="0"/>
              <w:rPr>
                <w:sz w:val="1"/>
                <w:szCs w:val="1"/>
                <w:color w:val="auto"/>
              </w:rPr>
            </w:pPr>
          </w:p>
        </w:tc>
      </w:tr>
      <w:tr>
        <w:trPr>
          <w:trHeight w:val="128"/>
        </w:trPr>
        <w:tc>
          <w:tcPr>
            <w:tcW w:w="23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4,731</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732,672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288,924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389,773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566,285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1,525,374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4,360,961</w:t>
            </w:r>
          </w:p>
        </w:tc>
        <w:tc>
          <w:tcPr>
            <w:tcW w:w="0" w:type="dxa"/>
            <w:vAlign w:val="bottom"/>
          </w:tcPr>
          <w:p>
            <w:pPr>
              <w:spacing w:after="0"/>
              <w:rPr>
                <w:sz w:val="1"/>
                <w:szCs w:val="1"/>
                <w:color w:val="auto"/>
              </w:rPr>
            </w:pPr>
          </w:p>
        </w:tc>
      </w:tr>
      <w:tr>
        <w:trPr>
          <w:trHeight w:val="148"/>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41,393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146,191</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83,051</w:t>
            </w:r>
          </w:p>
        </w:tc>
        <w:tc>
          <w:tcPr>
            <w:tcW w:w="0" w:type="dxa"/>
            <w:vAlign w:val="bottom"/>
          </w:tcPr>
          <w:p>
            <w:pPr>
              <w:spacing w:after="0"/>
              <w:rPr>
                <w:sz w:val="1"/>
                <w:szCs w:val="1"/>
                <w:color w:val="auto"/>
              </w:rPr>
            </w:pPr>
          </w:p>
        </w:tc>
      </w:tr>
      <w:tr>
        <w:trPr>
          <w:trHeight w:val="148"/>
        </w:trPr>
        <w:tc>
          <w:tcPr>
            <w:tcW w:w="2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29"/>
        </w:trPr>
        <w:tc>
          <w:tcPr>
            <w:tcW w:w="234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732,672</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295,152</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427,969</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838,357</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608,667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1,562,923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117,705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6,881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4,590,326</w:t>
            </w:r>
          </w:p>
        </w:tc>
        <w:tc>
          <w:tcPr>
            <w:tcW w:w="0" w:type="dxa"/>
            <w:vAlign w:val="bottom"/>
          </w:tcPr>
          <w:p>
            <w:pPr>
              <w:spacing w:after="0"/>
              <w:rPr>
                <w:sz w:val="1"/>
                <w:szCs w:val="1"/>
                <w:color w:val="auto"/>
              </w:rPr>
            </w:pPr>
          </w:p>
        </w:tc>
      </w:tr>
      <w:tr>
        <w:trPr>
          <w:trHeight w:val="128"/>
        </w:trPr>
        <w:tc>
          <w:tcPr>
            <w:tcW w:w="23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751,708</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28,093</w:t>
            </w:r>
          </w:p>
        </w:tc>
        <w:tc>
          <w:tcPr>
            <w:tcW w:w="0" w:type="dxa"/>
            <w:vAlign w:val="bottom"/>
          </w:tcPr>
          <w:p>
            <w:pPr>
              <w:spacing w:after="0"/>
              <w:rPr>
                <w:sz w:val="1"/>
                <w:szCs w:val="1"/>
                <w:color w:val="auto"/>
              </w:rPr>
            </w:pPr>
          </w:p>
        </w:tc>
      </w:tr>
      <w:tr>
        <w:trPr>
          <w:trHeight w:val="149"/>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27,570</w:t>
            </w:r>
          </w:p>
        </w:tc>
        <w:tc>
          <w:tcPr>
            <w:tcW w:w="0" w:type="dxa"/>
            <w:vAlign w:val="bottom"/>
          </w:tcPr>
          <w:p>
            <w:pPr>
              <w:spacing w:after="0"/>
              <w:rPr>
                <w:sz w:val="1"/>
                <w:szCs w:val="1"/>
                <w:color w:val="auto"/>
              </w:rPr>
            </w:pPr>
          </w:p>
        </w:tc>
      </w:tr>
      <w:tr>
        <w:trPr>
          <w:trHeight w:val="128"/>
        </w:trPr>
        <w:tc>
          <w:tcPr>
            <w:tcW w:w="234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Construction</w:t>
            </w: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90,103</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226,805</w:t>
            </w: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111,650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224,599</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77,540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49,975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27,603</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808,275</w:t>
            </w:r>
          </w:p>
        </w:tc>
        <w:tc>
          <w:tcPr>
            <w:tcW w:w="0" w:type="dxa"/>
            <w:vAlign w:val="bottom"/>
          </w:tcPr>
          <w:p>
            <w:pPr>
              <w:spacing w:after="0"/>
              <w:rPr>
                <w:sz w:val="1"/>
                <w:szCs w:val="1"/>
                <w:color w:val="auto"/>
              </w:rPr>
            </w:pPr>
          </w:p>
        </w:tc>
      </w:tr>
      <w:tr>
        <w:trPr>
          <w:trHeight w:val="129"/>
        </w:trPr>
        <w:tc>
          <w:tcPr>
            <w:tcW w:w="23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Lease Financing</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122,978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80,669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91,109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436,333</w:t>
            </w:r>
          </w:p>
        </w:tc>
        <w:tc>
          <w:tcPr>
            <w:tcW w:w="0" w:type="dxa"/>
            <w:vAlign w:val="bottom"/>
          </w:tcPr>
          <w:p>
            <w:pPr>
              <w:spacing w:after="0"/>
              <w:rPr>
                <w:sz w:val="1"/>
                <w:szCs w:val="1"/>
                <w:color w:val="auto"/>
              </w:rPr>
            </w:pPr>
          </w:p>
        </w:tc>
      </w:tr>
      <w:tr>
        <w:trPr>
          <w:trHeight w:val="149"/>
        </w:trPr>
        <w:tc>
          <w:tcPr>
            <w:tcW w:w="23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w:t>
            </w:r>
          </w:p>
        </w:tc>
        <w:tc>
          <w:tcPr>
            <w:tcW w:w="0" w:type="dxa"/>
            <w:vAlign w:val="bottom"/>
          </w:tcPr>
          <w:p>
            <w:pPr>
              <w:spacing w:after="0"/>
              <w:rPr>
                <w:sz w:val="1"/>
                <w:szCs w:val="1"/>
                <w:color w:val="auto"/>
              </w:rPr>
            </w:pPr>
          </w:p>
        </w:tc>
      </w:tr>
      <w:tr>
        <w:trPr>
          <w:trHeight w:val="128"/>
        </w:trPr>
        <w:tc>
          <w:tcPr>
            <w:tcW w:w="234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Lease Financing</w:t>
            </w: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122,978</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85,048</w:t>
            </w: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90,439</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43,269</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9,087</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91,109</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441,930</w:t>
            </w:r>
          </w:p>
        </w:tc>
        <w:tc>
          <w:tcPr>
            <w:tcW w:w="0" w:type="dxa"/>
            <w:vAlign w:val="bottom"/>
          </w:tcPr>
          <w:p>
            <w:pPr>
              <w:spacing w:after="0"/>
              <w:rPr>
                <w:sz w:val="1"/>
                <w:szCs w:val="1"/>
                <w:color w:val="auto"/>
              </w:rPr>
            </w:pPr>
          </w:p>
        </w:tc>
      </w:tr>
      <w:tr>
        <w:trPr>
          <w:trHeight w:val="129"/>
        </w:trPr>
        <w:tc>
          <w:tcPr>
            <w:tcW w:w="23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662</w:t>
            </w: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Commercial Lending</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1,290,488</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736,939</w:t>
            </w:r>
          </w:p>
        </w:tc>
        <w:tc>
          <w:tcPr>
            <w:tcW w:w="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698,730</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1,218,726</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846,748</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1,955,337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1,243,833</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21,063</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8,011,864</w:t>
            </w:r>
          </w:p>
        </w:tc>
        <w:tc>
          <w:tcPr>
            <w:tcW w:w="0" w:type="dxa"/>
            <w:vAlign w:val="bottom"/>
          </w:tcPr>
          <w:p>
            <w:pPr>
              <w:spacing w:after="0"/>
              <w:rPr>
                <w:sz w:val="1"/>
                <w:szCs w:val="1"/>
                <w:color w:val="auto"/>
              </w:rPr>
            </w:pPr>
          </w:p>
        </w:tc>
      </w:tr>
      <w:tr>
        <w:trPr>
          <w:trHeight w:val="106"/>
        </w:trPr>
        <w:tc>
          <w:tcPr>
            <w:tcW w:w="234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2"/>
                <w:szCs w:val="12"/>
                <w:color w:val="auto"/>
              </w:rPr>
              <w:t>Current period gross charge-offs</w:t>
            </w:r>
          </w:p>
        </w:tc>
        <w:tc>
          <w:tcPr>
            <w:tcW w:w="120" w:type="dxa"/>
            <w:vAlign w:val="bottom"/>
          </w:tcPr>
          <w:p>
            <w:pPr>
              <w:jc w:val="right"/>
              <w:ind w:right="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9"/>
                <w:szCs w:val="9"/>
                <w:color w:val="auto"/>
              </w:rPr>
            </w:pPr>
          </w:p>
        </w:tc>
        <w:tc>
          <w:tcPr>
            <w:tcW w:w="120" w:type="dxa"/>
            <w:vAlign w:val="bottom"/>
          </w:tcPr>
          <w:p>
            <w:pPr>
              <w:jc w:val="right"/>
              <w:ind w:right="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832</w:t>
            </w:r>
          </w:p>
        </w:tc>
        <w:tc>
          <w:tcPr>
            <w:tcW w:w="40" w:type="dxa"/>
            <w:vAlign w:val="bottom"/>
          </w:tcPr>
          <w:p>
            <w:pPr>
              <w:spacing w:after="0"/>
              <w:rPr>
                <w:sz w:val="9"/>
                <w:szCs w:val="9"/>
                <w:color w:val="auto"/>
              </w:rPr>
            </w:pPr>
          </w:p>
        </w:tc>
        <w:tc>
          <w:tcPr>
            <w:tcW w:w="160" w:type="dxa"/>
            <w:vAlign w:val="bottom"/>
          </w:tcPr>
          <w:p>
            <w:pPr>
              <w:jc w:val="right"/>
              <w:ind w:right="19"/>
              <w:spacing w:after="0" w:line="106"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775</w:t>
            </w:r>
          </w:p>
        </w:tc>
        <w:tc>
          <w:tcPr>
            <w:tcW w:w="4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547</w:t>
            </w:r>
          </w:p>
        </w:tc>
        <w:tc>
          <w:tcPr>
            <w:tcW w:w="40" w:type="dxa"/>
            <w:vAlign w:val="bottom"/>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407</w:t>
            </w:r>
          </w:p>
        </w:tc>
        <w:tc>
          <w:tcPr>
            <w:tcW w:w="40" w:type="dxa"/>
            <w:vAlign w:val="bottom"/>
          </w:tcPr>
          <w:p>
            <w:pPr>
              <w:spacing w:after="0"/>
              <w:rPr>
                <w:sz w:val="9"/>
                <w:szCs w:val="9"/>
                <w:color w:val="auto"/>
              </w:rPr>
            </w:pPr>
          </w:p>
        </w:tc>
        <w:tc>
          <w:tcPr>
            <w:tcW w:w="120" w:type="dxa"/>
            <w:vAlign w:val="bottom"/>
          </w:tcPr>
          <w:p>
            <w:pPr>
              <w:jc w:val="right"/>
              <w:ind w:right="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2,800</w:t>
            </w:r>
          </w:p>
        </w:tc>
        <w:tc>
          <w:tcPr>
            <w:tcW w:w="40" w:type="dxa"/>
            <w:vAlign w:val="bottom"/>
          </w:tcPr>
          <w:p>
            <w:pPr>
              <w:spacing w:after="0"/>
              <w:rPr>
                <w:sz w:val="9"/>
                <w:szCs w:val="9"/>
                <w:color w:val="auto"/>
              </w:rPr>
            </w:pPr>
          </w:p>
        </w:tc>
        <w:tc>
          <w:tcPr>
            <w:tcW w:w="12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31</w:t>
            </w:r>
          </w:p>
        </w:tc>
        <w:tc>
          <w:tcPr>
            <w:tcW w:w="4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9"/>
                <w:szCs w:val="9"/>
                <w:color w:val="auto"/>
              </w:rPr>
            </w:pPr>
          </w:p>
        </w:tc>
        <w:tc>
          <w:tcPr>
            <w:tcW w:w="120" w:type="dxa"/>
            <w:vAlign w:val="bottom"/>
          </w:tcPr>
          <w:p>
            <w:pPr>
              <w:jc w:val="right"/>
              <w:ind w:right="3"/>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5,393</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(continued)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 Lending</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Mortgage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196,591</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146,779</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188,885</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455,130</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881,320</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1,479,533</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3,348,238</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390,349</w:t>
            </w:r>
          </w:p>
        </w:tc>
        <w:tc>
          <w:tcPr>
            <w:tcW w:w="0" w:type="dxa"/>
            <w:vAlign w:val="bottom"/>
          </w:tcPr>
          <w:p>
            <w:pPr>
              <w:spacing w:after="0"/>
              <w:rPr>
                <w:sz w:val="1"/>
                <w:szCs w:val="1"/>
                <w:color w:val="auto"/>
              </w:rPr>
            </w:pPr>
          </w:p>
        </w:tc>
      </w:tr>
      <w:tr>
        <w:trPr>
          <w:trHeight w:val="148"/>
        </w:trPr>
        <w:tc>
          <w:tcPr>
            <w:tcW w:w="2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115,251</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25,833</w:t>
            </w:r>
          </w:p>
        </w:tc>
        <w:tc>
          <w:tcPr>
            <w:tcW w:w="0" w:type="dxa"/>
            <w:vAlign w:val="bottom"/>
          </w:tcPr>
          <w:p>
            <w:pPr>
              <w:spacing w:after="0"/>
              <w:rPr>
                <w:sz w:val="1"/>
                <w:szCs w:val="1"/>
                <w:color w:val="auto"/>
              </w:rPr>
            </w:pPr>
          </w:p>
        </w:tc>
      </w:tr>
      <w:tr>
        <w:trPr>
          <w:trHeight w:val="148"/>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19,923</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44,549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88,460</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108,246</w:t>
            </w:r>
          </w:p>
        </w:tc>
        <w:tc>
          <w:tcPr>
            <w:tcW w:w="0" w:type="dxa"/>
            <w:vAlign w:val="bottom"/>
          </w:tcPr>
          <w:p>
            <w:pPr>
              <w:spacing w:after="0"/>
              <w:rPr>
                <w:sz w:val="1"/>
                <w:szCs w:val="1"/>
                <w:color w:val="auto"/>
              </w:rPr>
            </w:pPr>
          </w:p>
        </w:tc>
      </w:tr>
      <w:tr>
        <w:trPr>
          <w:trHeight w:val="128"/>
        </w:trPr>
        <w:tc>
          <w:tcPr>
            <w:tcW w:w="222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Residential Mortgage</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253,090</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183,476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239,997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572,691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1,033,915</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1,803,747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9,384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4,096,300</w:t>
            </w:r>
          </w:p>
        </w:tc>
        <w:tc>
          <w:tcPr>
            <w:tcW w:w="0" w:type="dxa"/>
            <w:vAlign w:val="bottom"/>
          </w:tcPr>
          <w:p>
            <w:pPr>
              <w:spacing w:after="0"/>
              <w:rPr>
                <w:sz w:val="1"/>
                <w:szCs w:val="1"/>
                <w:color w:val="auto"/>
              </w:rPr>
            </w:pPr>
          </w:p>
        </w:tc>
      </w:tr>
      <w:tr>
        <w:trPr>
          <w:trHeight w:val="128"/>
        </w:trPr>
        <w:tc>
          <w:tcPr>
            <w:tcW w:w="22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Home Equity Line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939,884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940,952</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171,306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172,826</w:t>
            </w:r>
          </w:p>
        </w:tc>
        <w:tc>
          <w:tcPr>
            <w:tcW w:w="0" w:type="dxa"/>
            <w:vAlign w:val="bottom"/>
          </w:tcPr>
          <w:p>
            <w:pPr>
              <w:spacing w:after="0"/>
              <w:rPr>
                <w:sz w:val="1"/>
                <w:szCs w:val="1"/>
                <w:color w:val="auto"/>
              </w:rPr>
            </w:pPr>
          </w:p>
        </w:tc>
      </w:tr>
      <w:tr>
        <w:trPr>
          <w:trHeight w:val="148"/>
        </w:trPr>
        <w:tc>
          <w:tcPr>
            <w:tcW w:w="2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41,565</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14,307</w:t>
            </w:r>
          </w:p>
        </w:tc>
        <w:tc>
          <w:tcPr>
            <w:tcW w:w="0" w:type="dxa"/>
            <w:vAlign w:val="bottom"/>
          </w:tcPr>
          <w:p>
            <w:pPr>
              <w:spacing w:after="0"/>
              <w:rPr>
                <w:sz w:val="1"/>
                <w:szCs w:val="1"/>
                <w:color w:val="auto"/>
              </w:rPr>
            </w:pPr>
          </w:p>
        </w:tc>
      </w:tr>
      <w:tr>
        <w:trPr>
          <w:trHeight w:val="149"/>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8,140</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0" w:type="dxa"/>
            <w:vAlign w:val="bottom"/>
          </w:tcPr>
          <w:p>
            <w:pPr>
              <w:spacing w:after="0"/>
              <w:rPr>
                <w:sz w:val="1"/>
                <w:szCs w:val="1"/>
                <w:color w:val="auto"/>
              </w:rPr>
            </w:pPr>
          </w:p>
        </w:tc>
      </w:tr>
      <w:tr>
        <w:trPr>
          <w:trHeight w:val="128"/>
        </w:trPr>
        <w:tc>
          <w:tcPr>
            <w:tcW w:w="222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Home Equity Line</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1,174,388</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4,139</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1,178,527</w:t>
            </w:r>
          </w:p>
        </w:tc>
        <w:tc>
          <w:tcPr>
            <w:tcW w:w="0" w:type="dxa"/>
            <w:vAlign w:val="bottom"/>
          </w:tcPr>
          <w:p>
            <w:pPr>
              <w:spacing w:after="0"/>
              <w:rPr>
                <w:sz w:val="1"/>
                <w:szCs w:val="1"/>
                <w:color w:val="auto"/>
              </w:rPr>
            </w:pPr>
          </w:p>
        </w:tc>
      </w:tr>
      <w:tr>
        <w:trPr>
          <w:trHeight w:val="128"/>
        </w:trPr>
        <w:tc>
          <w:tcPr>
            <w:tcW w:w="22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8"/>
        </w:trPr>
        <w:tc>
          <w:tcPr>
            <w:tcW w:w="2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Residential Lending</w:t>
            </w:r>
          </w:p>
        </w:tc>
        <w:tc>
          <w:tcPr>
            <w:tcW w:w="14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253,090</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183,476</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239,997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572,691</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1,033,915</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1,803,747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1,183,772</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4,139</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5,274,827</w:t>
            </w:r>
          </w:p>
        </w:tc>
        <w:tc>
          <w:tcPr>
            <w:tcW w:w="0" w:type="dxa"/>
            <w:vAlign w:val="bottom"/>
          </w:tcPr>
          <w:p>
            <w:pPr>
              <w:spacing w:after="0"/>
              <w:rPr>
                <w:sz w:val="1"/>
                <w:szCs w:val="1"/>
                <w:color w:val="auto"/>
              </w:rPr>
            </w:pPr>
          </w:p>
        </w:tc>
      </w:tr>
      <w:tr>
        <w:trPr>
          <w:trHeight w:val="128"/>
        </w:trPr>
        <w:tc>
          <w:tcPr>
            <w:tcW w:w="22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113,519</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65,981</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42,560</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49,118</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20,240</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4,462</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102,761</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398,751</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86,088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47,861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87,662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288,779</w:t>
            </w:r>
          </w:p>
        </w:tc>
        <w:tc>
          <w:tcPr>
            <w:tcW w:w="0" w:type="dxa"/>
            <w:vAlign w:val="bottom"/>
          </w:tcPr>
          <w:p>
            <w:pPr>
              <w:spacing w:after="0"/>
              <w:rPr>
                <w:sz w:val="1"/>
                <w:szCs w:val="1"/>
                <w:color w:val="auto"/>
              </w:rPr>
            </w:pPr>
          </w:p>
        </w:tc>
      </w:tr>
      <w:tr>
        <w:trPr>
          <w:trHeight w:val="149"/>
        </w:trPr>
        <w:tc>
          <w:tcPr>
            <w:tcW w:w="2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20,455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148,327</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54,706</w:t>
            </w:r>
          </w:p>
        </w:tc>
        <w:tc>
          <w:tcPr>
            <w:tcW w:w="0" w:type="dxa"/>
            <w:vAlign w:val="bottom"/>
          </w:tcPr>
          <w:p>
            <w:pPr>
              <w:spacing w:after="0"/>
              <w:rPr>
                <w:sz w:val="1"/>
                <w:szCs w:val="1"/>
                <w:color w:val="auto"/>
              </w:rPr>
            </w:pPr>
          </w:p>
        </w:tc>
      </w:tr>
      <w:tr>
        <w:trPr>
          <w:trHeight w:val="148"/>
        </w:trPr>
        <w:tc>
          <w:tcPr>
            <w:tcW w:w="2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23,254</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36,868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38,871</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73,150</w:t>
            </w:r>
          </w:p>
        </w:tc>
        <w:tc>
          <w:tcPr>
            <w:tcW w:w="0" w:type="dxa"/>
            <w:vAlign w:val="bottom"/>
          </w:tcPr>
          <w:p>
            <w:pPr>
              <w:spacing w:after="0"/>
              <w:rPr>
                <w:sz w:val="1"/>
                <w:szCs w:val="1"/>
                <w:color w:val="auto"/>
              </w:rPr>
            </w:pPr>
          </w:p>
        </w:tc>
      </w:tr>
      <w:tr>
        <w:trPr>
          <w:trHeight w:val="128"/>
        </w:trPr>
        <w:tc>
          <w:tcPr>
            <w:tcW w:w="222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Consumer Lending</w:t>
            </w:r>
          </w:p>
        </w:tc>
        <w:tc>
          <w:tcPr>
            <w:tcW w:w="140" w:type="dxa"/>
            <w:vAlign w:val="bottom"/>
            <w:tcBorders>
              <w:top w:val="single" w:sz="8" w:color="auto"/>
              <w:bottom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262,478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147,004</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92,588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96,923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42,356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14,137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367,264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3,088</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1,025,838</w:t>
            </w:r>
          </w:p>
        </w:tc>
        <w:tc>
          <w:tcPr>
            <w:tcW w:w="0" w:type="dxa"/>
            <w:vAlign w:val="bottom"/>
          </w:tcPr>
          <w:p>
            <w:pPr>
              <w:spacing w:after="0"/>
              <w:rPr>
                <w:sz w:val="1"/>
                <w:szCs w:val="1"/>
                <w:color w:val="auto"/>
              </w:rPr>
            </w:pPr>
          </w:p>
        </w:tc>
      </w:tr>
      <w:tr>
        <w:trPr>
          <w:trHeight w:val="129"/>
        </w:trPr>
        <w:tc>
          <w:tcPr>
            <w:tcW w:w="22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802</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2,494</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1,693</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1,873</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947</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2,425</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8,367</w:t>
            </w:r>
          </w:p>
        </w:tc>
        <w:tc>
          <w:tcPr>
            <w:tcW w:w="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872</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19,473</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4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1,806,056</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1,067,419</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1,031,315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1,888,340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1,923,019</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3,773,221</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2,794,869</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28,290</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14,312,529</w:t>
            </w:r>
          </w:p>
        </w:tc>
        <w:tc>
          <w:tcPr>
            <w:tcW w:w="0" w:type="dxa"/>
            <w:vAlign w:val="bottom"/>
          </w:tcPr>
          <w:p>
            <w:pPr>
              <w:spacing w:after="0"/>
              <w:rPr>
                <w:sz w:val="1"/>
                <w:szCs w:val="1"/>
                <w:color w:val="auto"/>
              </w:rPr>
            </w:pPr>
          </w:p>
        </w:tc>
      </w:tr>
      <w:tr>
        <w:trPr>
          <w:trHeight w:val="115"/>
        </w:trPr>
        <w:tc>
          <w:tcPr>
            <w:tcW w:w="222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4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803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3,326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2,468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2,420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1,354</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5,225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8,428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872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24,896</w:t>
            </w:r>
          </w:p>
        </w:tc>
        <w:tc>
          <w:tcPr>
            <w:tcW w:w="0" w:type="dxa"/>
            <w:vAlign w:val="bottom"/>
          </w:tcPr>
          <w:p>
            <w:pPr>
              <w:spacing w:after="0"/>
              <w:rPr>
                <w:sz w:val="1"/>
                <w:szCs w:val="1"/>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line="261" w:lineRule="auto"/>
        <w:tabs>
          <w:tab w:leader="none" w:pos="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FICO scores. The majority of the loans in this population were originated to borrowers with a prime FICO score (680 and above). As of December 31, 2025, the majority of the loans in this population were current.</w:t>
      </w:r>
    </w:p>
    <w:p>
      <w:pPr>
        <w:ind w:left="320" w:hanging="315"/>
        <w:spacing w:after="0" w:line="251" w:lineRule="auto"/>
        <w:tabs>
          <w:tab w:leader="none" w:pos="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internal risk ratings. The majority of the loans in this population were graded with a “Pass” rating. As of December 31, 2025, the majority of the loans in this population were current.</w:t>
      </w:r>
    </w:p>
    <w:p>
      <w:pPr>
        <w:ind w:left="320" w:hanging="315"/>
        <w:spacing w:after="0" w:line="263" w:lineRule="auto"/>
        <w:tabs>
          <w:tab w:leader="none" w:pos="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 FICO scores are primarily related to loans and leases extended to non-residents. Loans and leases of this nature are primarily secured by collateral and/or are closely monitored for performance.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loans and leases graded as Doubtful or Loss as of both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Past-Due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continually updates its aging analysis for loans and leases to monitor the migration of loans and leases into past due categories. The Company considers loans and leases that are delinquent for 30 days or more to be past due. As of September 30, 2026 and December 31, 2025, the aging analysis of the amortized cost basis of the Company’s past due loans and leases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329"/>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Greater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Leases Past</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30-59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60-89</w:t>
            </w:r>
          </w:p>
        </w:tc>
        <w:tc>
          <w:tcPr>
            <w:tcW w:w="10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Than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Due 90 Days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Equal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More and</w:t>
            </w:r>
          </w:p>
        </w:tc>
        <w:tc>
          <w:tcPr>
            <w:tcW w:w="0" w:type="dxa"/>
            <w:vAlign w:val="bottom"/>
          </w:tcPr>
          <w:p>
            <w:pPr>
              <w:spacing w:after="0"/>
              <w:rPr>
                <w:sz w:val="1"/>
                <w:szCs w:val="1"/>
                <w:color w:val="auto"/>
              </w:rPr>
            </w:pPr>
          </w:p>
        </w:tc>
      </w:tr>
      <w:tr>
        <w:trPr>
          <w:trHeight w:val="148"/>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90 Days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Still Accruing</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80" w:type="dxa"/>
            <w:vAlign w:val="bottom"/>
          </w:tcPr>
          <w:p>
            <w:pPr>
              <w:spacing w:after="0"/>
              <w:rPr>
                <w:sz w:val="15"/>
                <w:szCs w:val="15"/>
                <w:color w:val="auto"/>
              </w:rPr>
            </w:pPr>
          </w:p>
        </w:tc>
        <w:tc>
          <w:tcPr>
            <w:tcW w:w="8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2,300,380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2,304,567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32,492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37,578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4,676,924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4,714,502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1,690</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3,956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735,575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739,531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461,604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461,604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27,081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65,260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3,931,457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3,996,717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14,963</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1,162,645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1,177,610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12,904</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3,585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18,659</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1,049,038</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1,067,697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2,171</w:t>
            </w:r>
          </w:p>
        </w:tc>
        <w:tc>
          <w:tcPr>
            <w:tcW w:w="0" w:type="dxa"/>
            <w:vAlign w:val="bottom"/>
          </w:tcPr>
          <w:p>
            <w:pPr>
              <w:spacing w:after="0"/>
              <w:rPr>
                <w:sz w:val="1"/>
                <w:szCs w:val="1"/>
                <w:color w:val="auto"/>
              </w:rPr>
            </w:pPr>
          </w:p>
        </w:tc>
      </w:tr>
      <w:tr>
        <w:trPr>
          <w:trHeight w:val="142"/>
        </w:trPr>
        <w:tc>
          <w:tcPr>
            <w:tcW w:w="3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85,751</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19,266</w:t>
            </w:r>
          </w:p>
        </w:tc>
        <w:tc>
          <w:tcPr>
            <w:tcW w:w="100" w:type="dxa"/>
            <w:vAlign w:val="bottom"/>
          </w:tcPr>
          <w:p>
            <w:pPr>
              <w:spacing w:after="0"/>
              <w:rPr>
                <w:sz w:val="12"/>
                <w:szCs w:val="12"/>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39,588</w:t>
            </w:r>
          </w:p>
        </w:tc>
        <w:tc>
          <w:tcPr>
            <w:tcW w:w="12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$ 144,605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14,317,623</w:t>
            </w:r>
          </w:p>
        </w:tc>
        <w:tc>
          <w:tcPr>
            <w:tcW w:w="10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$ 14,462,228</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19,227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329"/>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Greater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Leases Past</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30-59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60-89</w:t>
            </w:r>
          </w:p>
        </w:tc>
        <w:tc>
          <w:tcPr>
            <w:tcW w:w="10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Than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Due 90 Days</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Equal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More and</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90 Days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Still Accruing</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80" w:type="dxa"/>
            <w:vAlign w:val="bottom"/>
          </w:tcPr>
          <w:p>
            <w:pPr>
              <w:spacing w:after="0"/>
              <w:rPr>
                <w:sz w:val="15"/>
                <w:szCs w:val="15"/>
                <w:color w:val="auto"/>
              </w:rPr>
            </w:pPr>
          </w:p>
        </w:tc>
        <w:tc>
          <w:tcPr>
            <w:tcW w:w="8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2,159,883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2,171,333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4,589,074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4,590,326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804,790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808,275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441,195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441,930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4,063,258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4,096,300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1,166,079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1,178,527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1,004,924</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1,025,838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0" w:type="dxa"/>
            <w:vAlign w:val="bottom"/>
          </w:tcPr>
          <w:p>
            <w:pPr>
              <w:spacing w:after="0"/>
              <w:rPr>
                <w:sz w:val="1"/>
                <w:szCs w:val="1"/>
                <w:color w:val="auto"/>
              </w:rPr>
            </w:pPr>
          </w:p>
        </w:tc>
      </w:tr>
      <w:tr>
        <w:trPr>
          <w:trHeight w:val="142"/>
        </w:trPr>
        <w:tc>
          <w:tcPr>
            <w:tcW w:w="3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44,612</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19,963</w:t>
            </w:r>
          </w:p>
        </w:tc>
        <w:tc>
          <w:tcPr>
            <w:tcW w:w="100" w:type="dxa"/>
            <w:vAlign w:val="bottom"/>
          </w:tcPr>
          <w:p>
            <w:pPr>
              <w:spacing w:after="0"/>
              <w:rPr>
                <w:sz w:val="12"/>
                <w:szCs w:val="12"/>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18,751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83,326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14,229,203</w:t>
            </w:r>
          </w:p>
        </w:tc>
        <w:tc>
          <w:tcPr>
            <w:tcW w:w="10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$ 14,312,529</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Nonaccrual Loans and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generally places a loan or lease on nonaccrual status when management believes that collection of principal or interest has become doubtful or when a loan or lease becomes 90 days past due as to principal or interest, unless it is well secured and in the process of collection. The Company charges off a loan or lease when facts indicate that the loan or lease is considered uncollectible.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amortized cost basis of loans and leases on nonaccrual status as of September 30, 2026 and December 31, 2025 and the amortized cost basis of loans and leases on nonaccrual status with no ACL as of September 30, 2026 and December 31, 2025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Leases</w:t>
            </w:r>
          </w:p>
        </w:tc>
        <w:tc>
          <w:tcPr>
            <w:tcW w:w="220" w:type="dxa"/>
            <w:vAlign w:val="bottom"/>
          </w:tcPr>
          <w:p>
            <w:pPr>
              <w:spacing w:after="0"/>
              <w:rPr>
                <w:sz w:val="12"/>
                <w:szCs w:val="12"/>
                <w:color w:val="auto"/>
              </w:rPr>
            </w:pPr>
          </w:p>
        </w:tc>
        <w:tc>
          <w:tcPr>
            <w:tcW w:w="12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2"/>
                <w:szCs w:val="12"/>
                <w:color w:val="auto"/>
              </w:rPr>
            </w:pPr>
          </w:p>
        </w:tc>
        <w:tc>
          <w:tcPr>
            <w:tcW w:w="12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220" w:type="dxa"/>
            <w:vAlign w:val="bottom"/>
          </w:tcPr>
          <w:p>
            <w:pPr>
              <w:spacing w:after="0"/>
              <w:rPr>
                <w:sz w:val="15"/>
                <w:szCs w:val="15"/>
                <w:color w:val="auto"/>
              </w:rPr>
            </w:pPr>
          </w:p>
        </w:tc>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0" w:type="dxa"/>
            <w:vAlign w:val="bottom"/>
          </w:tcPr>
          <w:p>
            <w:pPr>
              <w:spacing w:after="0"/>
              <w:rPr>
                <w:sz w:val="1"/>
                <w:szCs w:val="1"/>
                <w:color w:val="auto"/>
              </w:rPr>
            </w:pPr>
          </w:p>
        </w:tc>
      </w:tr>
      <w:tr>
        <w:trPr>
          <w:trHeight w:val="142"/>
        </w:trPr>
        <w:tc>
          <w:tcPr>
            <w:tcW w:w="5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1,688</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13,263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13,833</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1,064</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10,234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19,244</w:t>
            </w:r>
          </w:p>
        </w:tc>
        <w:tc>
          <w:tcPr>
            <w:tcW w:w="0" w:type="dxa"/>
            <w:vAlign w:val="bottom"/>
          </w:tcPr>
          <w:p>
            <w:pPr>
              <w:spacing w:after="0"/>
              <w:rPr>
                <w:sz w:val="1"/>
                <w:szCs w:val="1"/>
                <w:color w:val="auto"/>
              </w:rPr>
            </w:pPr>
          </w:p>
        </w:tc>
      </w:tr>
      <w:tr>
        <w:trPr>
          <w:trHeight w:val="149"/>
        </w:trPr>
        <w:tc>
          <w:tcPr>
            <w:tcW w:w="59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1,338</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10,030</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 and Leases</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25,740</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45,974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Leases</w:t>
            </w:r>
          </w:p>
        </w:tc>
        <w:tc>
          <w:tcPr>
            <w:tcW w:w="220" w:type="dxa"/>
            <w:vAlign w:val="bottom"/>
          </w:tcPr>
          <w:p>
            <w:pPr>
              <w:spacing w:after="0"/>
              <w:rPr>
                <w:sz w:val="12"/>
                <w:szCs w:val="12"/>
                <w:color w:val="auto"/>
              </w:rPr>
            </w:pPr>
          </w:p>
        </w:tc>
        <w:tc>
          <w:tcPr>
            <w:tcW w:w="12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2"/>
                <w:szCs w:val="12"/>
                <w:color w:val="auto"/>
              </w:rPr>
            </w:pPr>
          </w:p>
        </w:tc>
        <w:tc>
          <w:tcPr>
            <w:tcW w:w="12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220" w:type="dxa"/>
            <w:vAlign w:val="bottom"/>
          </w:tcPr>
          <w:p>
            <w:pPr>
              <w:spacing w:after="0"/>
              <w:rPr>
                <w:sz w:val="15"/>
                <w:szCs w:val="15"/>
                <w:color w:val="auto"/>
              </w:rPr>
            </w:pPr>
          </w:p>
        </w:tc>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0" w:type="dxa"/>
            <w:vAlign w:val="bottom"/>
          </w:tcPr>
          <w:p>
            <w:pPr>
              <w:spacing w:after="0"/>
              <w:rPr>
                <w:sz w:val="1"/>
                <w:szCs w:val="1"/>
                <w:color w:val="auto"/>
              </w:rPr>
            </w:pPr>
          </w:p>
        </w:tc>
      </w:tr>
      <w:tr>
        <w:trPr>
          <w:trHeight w:val="142"/>
        </w:trPr>
        <w:tc>
          <w:tcPr>
            <w:tcW w:w="5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8,805</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16,423</w:t>
            </w:r>
          </w:p>
        </w:tc>
        <w:tc>
          <w:tcPr>
            <w:tcW w:w="0" w:type="dxa"/>
            <w:vAlign w:val="bottom"/>
          </w:tcPr>
          <w:p>
            <w:pPr>
              <w:spacing w:after="0"/>
              <w:rPr>
                <w:sz w:val="1"/>
                <w:szCs w:val="1"/>
                <w:color w:val="auto"/>
              </w:rPr>
            </w:pPr>
          </w:p>
        </w:tc>
      </w:tr>
      <w:tr>
        <w:trPr>
          <w:trHeight w:val="148"/>
        </w:trPr>
        <w:tc>
          <w:tcPr>
            <w:tcW w:w="59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 and Leases</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10,583</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recognized interest income of $0.5 million and $0.8 million, respectively, on nonaccrual loans and leases. For the three and nine months ended September 30, 2025, the Company recognized interest income of $0.6 million and $1.3 million, respectively, on nonaccrual loans and leases. Furthermore, for the three and nine months ended September 30, 2026, the amount of accrued interest receivables written off by reversing interest income was $0.7 million and $1.4 million, respectively, and for the three and nine months ended September 30, 2025, the amount of accrued interest receivables written off by reversing interest income was $0.3 million and $1.0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Collateral-Dependent Loans and 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Collateral-dependent loans and leases are those for which repayment (on the basis of the Company’s assessment as of the reporting date) is expected to be provided substantially through the operation or sale of the collateral and the borrower is experiencing financial difficulty. As of September 30, 2026 and December 31, 2025, the amortized cost basis of collateral-dependent loans were $81.2 million and $37.7 million, respectively. As of September 30, 2026, these loans were primarily collateralized by residential real estate property and commercial real estate property. Of the $81.2 million collateral-dependent loans as of September 30, 2026, $24.7 million were secured by collateral whose fair values were below the amortized cost basis of the loan, and the fair value of collateral on the remaining collateral-dependent loans were significantly in excess of their amortized cost basis. As of December 31, 2025, these loans were primarily collateralized by residential real estate property, commercial real estate property and borrower assets and the fair value of collateral on substantially all collateral-dependent loans were significantly in excess of their amortized cost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 to Borrowers Experiencing Financial Difficulty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Commercial and industrial loans with a borrower experiencing financial difficulty may be modified through interest rate reductions, term extensions, and converting revolving credit lines to term loans. Modifications of commercial real estate and construction loans with a borrower experiencing financial difficulty may involve reducing the interest rate for the remaining term of the loan or extending the maturity date at an interest rate lower than the current market rate for new debt with similar risk. Modifications of construction loans with a borrower experiencing financial difficulty may also involve extending the interest-only payment period. Interest continues to accrue on the missed payments and as a result, the effective yield on the loan remains unchanged. Modifications of residential real estate loans with a borrower experiencing financial difficulty may be comprised of loans where monthly payments are lowered to accommodate the borrowers' financial needs for a period of time, including extended interest-only periods and reamortization of the balance. Modifications of consumer loans with a borrower experiencing financial difficulty may involve interest rate reductions and term extensions.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Loans modified with a borrower experiencing financial difficulty, whether in default or not, may already be on nonaccrual status and in some cases, partial charge-offs may have already been taken against the outstanding loan balance. Loans modified with a borrower experiencing financial difficulty are evaluated for impairment. As a result, this may have a financial effect of impacting the specific ACL associated with the loan. An ACL for impaired commercial loans, including commercial real estate and construction loans, is measured based on the present value of expected future cash flows discounted at the loan's effective interest rate or if the loan is collateral-dependent, the estimated fair value of the collateral, less any selling costs. An ACL for impaired residential real estate loans is measured based on the estimated fair value of the collateral, less any selling costs. Management exercises significant judgment in developing these estimates.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by class of financing receivable and type of modification granted, the amortized cost basis as of September 30, 2026 and 2025, related to loans modified to borrowers experiencing financial difficulty during the three and nine months ended September 30, 2026 and 2025,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Interest Rate Reduction</w:t>
            </w:r>
          </w:p>
        </w:tc>
        <w:tc>
          <w:tcPr>
            <w:tcW w:w="1660" w:type="dxa"/>
            <w:vAlign w:val="bottom"/>
            <w:tcBorders>
              <w:bottom w:val="single" w:sz="8" w:color="auto"/>
            </w:tcBorders>
          </w:tcPr>
          <w:p>
            <w:pPr>
              <w:spacing w:after="0"/>
              <w:rPr>
                <w:sz w:val="15"/>
                <w:szCs w:val="15"/>
                <w:color w:val="auto"/>
              </w:rPr>
            </w:pPr>
          </w:p>
        </w:tc>
      </w:tr>
      <w:tr>
        <w:trPr>
          <w:trHeight w:val="117"/>
        </w:trPr>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80" w:type="dxa"/>
            <w:vAlign w:val="bottom"/>
            <w:gridSpan w:val="3"/>
          </w:tcPr>
          <w:p>
            <w:pPr>
              <w:jc w:val="right"/>
              <w:ind w:right="96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00" w:type="dxa"/>
            <w:vAlign w:val="bottom"/>
            <w:gridSpan w:val="3"/>
          </w:tcPr>
          <w:p>
            <w:pPr>
              <w:ind w:left="78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3"/>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26"/>
        </w:trPr>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60" w:type="dxa"/>
            <w:vAlign w:val="bottom"/>
          </w:tcPr>
          <w:p>
            <w:pPr>
              <w:jc w:val="right"/>
              <w:ind w:right="328"/>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60" w:type="dxa"/>
            <w:vAlign w:val="bottom"/>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r>
      <w:tr>
        <w:trPr>
          <w:trHeight w:val="178"/>
        </w:trPr>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5"/>
                <w:szCs w:val="15"/>
                <w:color w:val="auto"/>
              </w:rPr>
            </w:pPr>
          </w:p>
        </w:tc>
        <w:tc>
          <w:tcPr>
            <w:tcW w:w="142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4"/>
                <w:szCs w:val="14"/>
                <w:b w:val="1"/>
                <w:bCs w:val="1"/>
                <w:color w:val="auto"/>
              </w:rPr>
              <w:t>Cost Basis</w:t>
            </w:r>
            <w:r>
              <w:rPr>
                <w:rFonts w:ascii="Times New Roman" w:cs="Times New Roman" w:eastAsia="Times New Roman" w:hAnsi="Times New Roman"/>
                <w:sz w:val="20"/>
                <w:szCs w:val="20"/>
                <w:b w:val="1"/>
                <w:bCs w:val="1"/>
                <w:color w:val="auto"/>
                <w:vertAlign w:val="superscript"/>
              </w:rPr>
              <w:t>(1)</w:t>
            </w: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6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r>
      <w:tr>
        <w:trPr>
          <w:trHeight w:val="142"/>
        </w:trPr>
        <w:tc>
          <w:tcPr>
            <w:tcW w:w="2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440</w:t>
            </w:r>
          </w:p>
        </w:tc>
        <w:tc>
          <w:tcPr>
            <w:tcW w:w="14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0.04 %</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1,128</w:t>
            </w:r>
          </w:p>
        </w:tc>
        <w:tc>
          <w:tcPr>
            <w:tcW w:w="1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bottom w:val="single" w:sz="8" w:color="auto"/>
            </w:tcBorders>
            <w:shd w:val="clear" w:color="auto" w:fill="CCEEFF"/>
          </w:tcPr>
          <w:p>
            <w:pPr>
              <w:ind w:left="1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0.11 %</w:t>
            </w:r>
          </w:p>
        </w:tc>
      </w:tr>
      <w:tr>
        <w:trPr>
          <w:trHeight w:val="142"/>
        </w:trPr>
        <w:tc>
          <w:tcPr>
            <w:tcW w:w="23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440</w:t>
            </w:r>
          </w:p>
        </w:tc>
        <w:tc>
          <w:tcPr>
            <w:tcW w:w="140" w:type="dxa"/>
            <w:vAlign w:val="bottom"/>
          </w:tcPr>
          <w:p>
            <w:pPr>
              <w:spacing w:after="0"/>
              <w:rPr>
                <w:sz w:val="12"/>
                <w:szCs w:val="12"/>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1,128</w:t>
            </w:r>
          </w:p>
        </w:tc>
        <w:tc>
          <w:tcPr>
            <w:tcW w:w="120" w:type="dxa"/>
            <w:vAlign w:val="bottom"/>
          </w:tcPr>
          <w:p>
            <w:pPr>
              <w:spacing w:after="0"/>
              <w:rPr>
                <w:sz w:val="12"/>
                <w:szCs w:val="12"/>
                <w:color w:val="auto"/>
              </w:rPr>
            </w:pPr>
          </w:p>
        </w:tc>
        <w:tc>
          <w:tcPr>
            <w:tcW w:w="1660" w:type="dxa"/>
            <w:vAlign w:val="bottom"/>
            <w:tcBorders>
              <w:bottom w:val="single" w:sz="8" w:color="auto"/>
            </w:tcBorders>
          </w:tcPr>
          <w:p>
            <w:pPr>
              <w:ind w:left="1220"/>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r>
      <w:tr>
        <w:trPr>
          <w:trHeight w:val="20"/>
        </w:trPr>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88"/>
        </w:trPr>
        <w:tc>
          <w:tcPr>
            <w:tcW w:w="2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20" w:right="20" w:hanging="315"/>
        <w:spacing w:after="0" w:line="258" w:lineRule="auto"/>
        <w:tabs>
          <w:tab w:leader="none" w:pos="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Interest Rate Reduction</w:t>
            </w:r>
          </w:p>
        </w:tc>
        <w:tc>
          <w:tcPr>
            <w:tcW w:w="1660" w:type="dxa"/>
            <w:vAlign w:val="bottom"/>
            <w:tcBorders>
              <w:bottom w:val="single" w:sz="8" w:color="auto"/>
            </w:tcBorders>
          </w:tcPr>
          <w:p>
            <w:pPr>
              <w:spacing w:after="0"/>
              <w:rPr>
                <w:sz w:val="15"/>
                <w:szCs w:val="15"/>
                <w:color w:val="auto"/>
              </w:rPr>
            </w:pPr>
          </w:p>
        </w:tc>
      </w:tr>
      <w:tr>
        <w:trPr>
          <w:trHeight w:val="117"/>
        </w:trPr>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80" w:type="dxa"/>
            <w:vAlign w:val="bottom"/>
            <w:gridSpan w:val="3"/>
          </w:tcPr>
          <w:p>
            <w:pPr>
              <w:jc w:val="right"/>
              <w:ind w:right="94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100" w:type="dxa"/>
            <w:vAlign w:val="bottom"/>
            <w:gridSpan w:val="3"/>
          </w:tcPr>
          <w:p>
            <w:pPr>
              <w:jc w:val="right"/>
              <w:ind w:right="100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3"/>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26"/>
        </w:trPr>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40" w:type="dxa"/>
            <w:vAlign w:val="bottom"/>
          </w:tcPr>
          <w:p>
            <w:pPr>
              <w:jc w:val="right"/>
              <w:ind w:right="308"/>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60" w:type="dxa"/>
            <w:vAlign w:val="bottom"/>
          </w:tcPr>
          <w:p>
            <w:pPr>
              <w:jc w:val="right"/>
              <w:ind w:right="308"/>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r>
      <w:tr>
        <w:trPr>
          <w:trHeight w:val="178"/>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5"/>
                <w:szCs w:val="15"/>
                <w:color w:val="auto"/>
              </w:rPr>
            </w:pPr>
          </w:p>
        </w:tc>
        <w:tc>
          <w:tcPr>
            <w:tcW w:w="144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4"/>
                <w:szCs w:val="14"/>
                <w:b w:val="1"/>
                <w:bCs w:val="1"/>
                <w:color w:val="auto"/>
              </w:rPr>
              <w:t>Cost Basis</w:t>
            </w:r>
            <w:r>
              <w:rPr>
                <w:rFonts w:ascii="Times New Roman" w:cs="Times New Roman" w:eastAsia="Times New Roman" w:hAnsi="Times New Roman"/>
                <w:sz w:val="20"/>
                <w:szCs w:val="20"/>
                <w:b w:val="1"/>
                <w:bCs w:val="1"/>
                <w:color w:val="auto"/>
                <w:vertAlign w:val="superscript"/>
              </w:rPr>
              <w:t>(1)</w:t>
            </w:r>
          </w:p>
        </w:tc>
        <w:tc>
          <w:tcPr>
            <w:tcW w:w="16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w:t>
            </w:r>
          </w:p>
        </w:tc>
        <w:tc>
          <w:tcPr>
            <w:tcW w:w="14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0.03 %</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w:t>
            </w:r>
          </w:p>
        </w:tc>
        <w:tc>
          <w:tcPr>
            <w:tcW w:w="1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0.12 %</w:t>
            </w:r>
          </w:p>
        </w:tc>
      </w:tr>
      <w:tr>
        <w:trPr>
          <w:trHeight w:val="142"/>
        </w:trPr>
        <w:tc>
          <w:tcPr>
            <w:tcW w:w="230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w:t>
            </w:r>
          </w:p>
        </w:tc>
        <w:tc>
          <w:tcPr>
            <w:tcW w:w="14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n/m %</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w:t>
            </w:r>
          </w:p>
        </w:tc>
        <w:tc>
          <w:tcPr>
            <w:tcW w:w="120" w:type="dxa"/>
            <w:vAlign w:val="bottom"/>
          </w:tcPr>
          <w:p>
            <w:pPr>
              <w:spacing w:after="0"/>
              <w:rPr>
                <w:sz w:val="12"/>
                <w:szCs w:val="12"/>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n/m %</w:t>
            </w: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80" w:right="20" w:hanging="375"/>
        <w:spacing w:after="0" w:line="258" w:lineRule="auto"/>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w w:val="99"/>
              </w:rPr>
              <w:t>Term Extension</w:t>
            </w: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17"/>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920" w:type="dxa"/>
            <w:vAlign w:val="bottom"/>
            <w:gridSpan w:val="3"/>
          </w:tcPr>
          <w:p>
            <w:pPr>
              <w:ind w:left="60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3"/>
        </w:trPr>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26"/>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jc w:val="right"/>
              <w:ind w:right="29"/>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ind w:left="260"/>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gridSpan w:val="2"/>
          </w:tcPr>
          <w:p>
            <w:pPr>
              <w:jc w:val="center"/>
              <w:ind w:right="46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80" w:type="dxa"/>
            <w:vAlign w:val="bottom"/>
          </w:tcPr>
          <w:p>
            <w:pPr>
              <w:ind w:left="260"/>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r>
      <w:tr>
        <w:trPr>
          <w:trHeight w:val="178"/>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4"/>
                <w:szCs w:val="14"/>
                <w:b w:val="1"/>
                <w:bCs w:val="1"/>
                <w:color w:val="auto"/>
              </w:rPr>
              <w:t>Cost Basis</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44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r>
      <w:tr>
        <w:trPr>
          <w:trHeight w:val="142"/>
        </w:trPr>
        <w:tc>
          <w:tcPr>
            <w:tcW w:w="2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ind w:right="11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w:t>
            </w:r>
          </w:p>
        </w:tc>
        <w:tc>
          <w:tcPr>
            <w:tcW w:w="1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ind w:left="1220"/>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328</w:t>
            </w:r>
          </w:p>
        </w:tc>
        <w:tc>
          <w:tcPr>
            <w:tcW w:w="12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ind w:left="1220"/>
              <w:spacing w:after="0" w:line="142" w:lineRule="exact"/>
              <w:rPr>
                <w:sz w:val="20"/>
                <w:szCs w:val="20"/>
                <w:color w:val="auto"/>
              </w:rPr>
            </w:pPr>
            <w:r>
              <w:rPr>
                <w:rFonts w:ascii="Times New Roman" w:cs="Times New Roman" w:eastAsia="Times New Roman" w:hAnsi="Times New Roman"/>
                <w:sz w:val="14"/>
                <w:szCs w:val="14"/>
                <w:b w:val="1"/>
                <w:bCs w:val="1"/>
                <w:color w:val="auto"/>
              </w:rPr>
              <w:t>0.01 %</w:t>
            </w:r>
          </w:p>
        </w:tc>
      </w:tr>
      <w:tr>
        <w:trPr>
          <w:trHeight w:val="149"/>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28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243</w:t>
            </w:r>
          </w:p>
        </w:tc>
        <w:tc>
          <w:tcPr>
            <w:tcW w:w="120" w:type="dxa"/>
            <w:vAlign w:val="bottom"/>
          </w:tcPr>
          <w:p>
            <w:pPr>
              <w:spacing w:after="0"/>
              <w:rPr>
                <w:sz w:val="12"/>
                <w:szCs w:val="12"/>
                <w:color w:val="auto"/>
              </w:rPr>
            </w:pPr>
          </w:p>
        </w:tc>
        <w:tc>
          <w:tcPr>
            <w:tcW w:w="168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b w:val="1"/>
                <w:bCs w:val="1"/>
                <w:color w:val="auto"/>
              </w:rPr>
              <w:t>n/m</w:t>
            </w:r>
          </w:p>
        </w:tc>
      </w:tr>
      <w:tr>
        <w:trPr>
          <w:trHeight w:val="148"/>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2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ind w:left="1220"/>
              <w:spacing w:after="0" w:line="149" w:lineRule="exact"/>
              <w:rPr>
                <w:sz w:val="20"/>
                <w:szCs w:val="20"/>
                <w:color w:val="auto"/>
              </w:rPr>
            </w:pPr>
            <w:r>
              <w:rPr>
                <w:rFonts w:ascii="Times New Roman" w:cs="Times New Roman" w:eastAsia="Times New Roman" w:hAnsi="Times New Roman"/>
                <w:sz w:val="14"/>
                <w:szCs w:val="14"/>
                <w:b w:val="1"/>
                <w:bCs w:val="1"/>
                <w:color w:val="auto"/>
              </w:rPr>
              <w:t>n/m</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142</w:t>
            </w:r>
          </w:p>
        </w:tc>
        <w:tc>
          <w:tcPr>
            <w:tcW w:w="120" w:type="dxa"/>
            <w:vAlign w:val="bottom"/>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ind w:left="1220"/>
              <w:spacing w:after="0" w:line="149" w:lineRule="exact"/>
              <w:rPr>
                <w:sz w:val="20"/>
                <w:szCs w:val="20"/>
                <w:color w:val="auto"/>
              </w:rPr>
            </w:pPr>
            <w:r>
              <w:rPr>
                <w:rFonts w:ascii="Times New Roman" w:cs="Times New Roman" w:eastAsia="Times New Roman" w:hAnsi="Times New Roman"/>
                <w:sz w:val="14"/>
                <w:szCs w:val="14"/>
                <w:b w:val="1"/>
                <w:bCs w:val="1"/>
                <w:color w:val="auto"/>
              </w:rPr>
              <w:t>0.01</w:t>
            </w:r>
          </w:p>
        </w:tc>
      </w:tr>
      <w:tr>
        <w:trPr>
          <w:trHeight w:val="142"/>
        </w:trPr>
        <w:tc>
          <w:tcPr>
            <w:tcW w:w="230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right"/>
              <w:ind w:right="11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w:t>
            </w:r>
          </w:p>
        </w:tc>
        <w:tc>
          <w:tcPr>
            <w:tcW w:w="120" w:type="dxa"/>
            <w:vAlign w:val="bottom"/>
          </w:tcPr>
          <w:p>
            <w:pPr>
              <w:spacing w:after="0"/>
              <w:rPr>
                <w:sz w:val="12"/>
                <w:szCs w:val="12"/>
                <w:color w:val="auto"/>
              </w:rPr>
            </w:pPr>
          </w:p>
        </w:tc>
        <w:tc>
          <w:tcPr>
            <w:tcW w:w="1660" w:type="dxa"/>
            <w:vAlign w:val="bottom"/>
            <w:tcBorders>
              <w:bottom w:val="single" w:sz="8" w:color="auto"/>
            </w:tcBorders>
          </w:tcPr>
          <w:p>
            <w:pPr>
              <w:ind w:left="1220"/>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713</w:t>
            </w:r>
          </w:p>
        </w:tc>
        <w:tc>
          <w:tcPr>
            <w:tcW w:w="120" w:type="dxa"/>
            <w:vAlign w:val="bottom"/>
          </w:tcPr>
          <w:p>
            <w:pPr>
              <w:spacing w:after="0"/>
              <w:rPr>
                <w:sz w:val="12"/>
                <w:szCs w:val="12"/>
                <w:color w:val="auto"/>
              </w:rPr>
            </w:pPr>
          </w:p>
        </w:tc>
        <w:tc>
          <w:tcPr>
            <w:tcW w:w="1680" w:type="dxa"/>
            <w:vAlign w:val="bottom"/>
            <w:tcBorders>
              <w:bottom w:val="single" w:sz="8" w:color="auto"/>
            </w:tcBorders>
          </w:tcPr>
          <w:p>
            <w:pPr>
              <w:ind w:left="1240"/>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20" w:right="20" w:hanging="315"/>
        <w:spacing w:after="0" w:line="278" w:lineRule="auto"/>
        <w:tabs>
          <w:tab w:leader="none" w:pos="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17"/>
        </w:trPr>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gridSpan w:val="4"/>
          </w:tcPr>
          <w:p>
            <w:pPr>
              <w:jc w:val="right"/>
              <w:ind w:right="94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760" w:type="dxa"/>
            <w:vAlign w:val="bottom"/>
            <w:gridSpan w:val="3"/>
          </w:tcPr>
          <w:p>
            <w:pPr>
              <w:ind w:left="60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0"/>
                <w:szCs w:val="10"/>
                <w:color w:val="auto"/>
              </w:rPr>
            </w:pPr>
          </w:p>
        </w:tc>
      </w:tr>
      <w:tr>
        <w:trPr>
          <w:trHeight w:val="173"/>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bottom w:val="single" w:sz="8" w:color="auto"/>
            </w:tcBorders>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r>
      <w:tr>
        <w:trPr>
          <w:trHeight w:val="126"/>
        </w:trPr>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jc w:val="right"/>
              <w:ind w:right="9"/>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jc w:val="right"/>
              <w:ind w:right="308"/>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gridSpan w:val="2"/>
          </w:tcPr>
          <w:p>
            <w:pPr>
              <w:jc w:val="center"/>
              <w:ind w:right="46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520" w:type="dxa"/>
            <w:vAlign w:val="bottom"/>
          </w:tcPr>
          <w:p>
            <w:pPr>
              <w:ind w:left="260"/>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c>
          <w:tcPr>
            <w:tcW w:w="140" w:type="dxa"/>
            <w:vAlign w:val="bottom"/>
          </w:tcPr>
          <w:p>
            <w:pPr>
              <w:spacing w:after="0"/>
              <w:rPr>
                <w:sz w:val="10"/>
                <w:szCs w:val="10"/>
                <w:color w:val="auto"/>
              </w:rPr>
            </w:pPr>
          </w:p>
        </w:tc>
      </w:tr>
      <w:tr>
        <w:trPr>
          <w:trHeight w:val="178"/>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4"/>
                <w:szCs w:val="14"/>
                <w:b w:val="1"/>
                <w:bCs w:val="1"/>
                <w:color w:val="auto"/>
              </w:rPr>
              <w:t>Cost Basis</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48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140" w:type="dxa"/>
            <w:vAlign w:val="bottom"/>
          </w:tcPr>
          <w:p>
            <w:pPr>
              <w:spacing w:after="0"/>
              <w:rPr>
                <w:sz w:val="15"/>
                <w:szCs w:val="15"/>
                <w:color w:val="auto"/>
              </w:rPr>
            </w:pP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ind w:right="11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14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n/m %</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8,380</w:t>
            </w:r>
          </w:p>
        </w:tc>
        <w:tc>
          <w:tcPr>
            <w:tcW w:w="12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ind w:left="1220"/>
              <w:spacing w:after="0" w:line="142" w:lineRule="exact"/>
              <w:rPr>
                <w:sz w:val="20"/>
                <w:szCs w:val="20"/>
                <w:color w:val="auto"/>
              </w:rPr>
            </w:pPr>
            <w:r>
              <w:rPr>
                <w:rFonts w:ascii="Times New Roman" w:cs="Times New Roman" w:eastAsia="Times New Roman" w:hAnsi="Times New Roman"/>
                <w:sz w:val="14"/>
                <w:szCs w:val="14"/>
                <w:color w:val="auto"/>
              </w:rPr>
              <w:t>0.41</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28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20" w:type="dxa"/>
            <w:vAlign w:val="bottom"/>
          </w:tcPr>
          <w:p>
            <w:pPr>
              <w:spacing w:after="0"/>
              <w:rPr>
                <w:sz w:val="12"/>
                <w:szCs w:val="12"/>
                <w:color w:val="auto"/>
              </w:rPr>
            </w:pPr>
          </w:p>
        </w:tc>
        <w:tc>
          <w:tcPr>
            <w:tcW w:w="1520" w:type="dxa"/>
            <w:vAlign w:val="bottom"/>
          </w:tcPr>
          <w:p>
            <w:pPr>
              <w:ind w:left="122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spacing w:after="0"/>
              <w:rPr>
                <w:sz w:val="12"/>
                <w:szCs w:val="12"/>
                <w:color w:val="auto"/>
              </w:rPr>
            </w:pPr>
          </w:p>
        </w:tc>
      </w:tr>
      <w:tr>
        <w:trPr>
          <w:trHeight w:val="149"/>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122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140" w:type="dxa"/>
            <w:vAlign w:val="bottom"/>
            <w:shd w:val="clear" w:color="auto" w:fill="CCEEFF"/>
          </w:tcPr>
          <w:p>
            <w:pPr>
              <w:spacing w:after="0"/>
              <w:rPr>
                <w:sz w:val="12"/>
                <w:szCs w:val="12"/>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28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120" w:type="dxa"/>
            <w:vAlign w:val="bottom"/>
          </w:tcPr>
          <w:p>
            <w:pPr>
              <w:spacing w:after="0"/>
              <w:rPr>
                <w:sz w:val="12"/>
                <w:szCs w:val="12"/>
                <w:color w:val="auto"/>
              </w:rPr>
            </w:pPr>
          </w:p>
        </w:tc>
        <w:tc>
          <w:tcPr>
            <w:tcW w:w="1520" w:type="dxa"/>
            <w:vAlign w:val="bottom"/>
          </w:tcPr>
          <w:p>
            <w:pPr>
              <w:ind w:left="122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2"/>
                <w:szCs w:val="12"/>
                <w:color w:val="auto"/>
              </w:rPr>
            </w:pPr>
          </w:p>
        </w:tc>
      </w:tr>
      <w:tr>
        <w:trPr>
          <w:trHeight w:val="148"/>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2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ind w:left="122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140" w:type="dxa"/>
            <w:vAlign w:val="bottom"/>
            <w:tcBorders>
              <w:bottom w:val="single" w:sz="8" w:color="auto"/>
            </w:tcBorders>
            <w:shd w:val="clear" w:color="auto" w:fill="CCEEFF"/>
          </w:tcPr>
          <w:p>
            <w:pPr>
              <w:spacing w:after="0"/>
              <w:rPr>
                <w:sz w:val="12"/>
                <w:szCs w:val="12"/>
                <w:color w:val="auto"/>
              </w:rPr>
            </w:pPr>
          </w:p>
        </w:tc>
      </w:tr>
      <w:tr>
        <w:trPr>
          <w:trHeight w:val="142"/>
        </w:trPr>
        <w:tc>
          <w:tcPr>
            <w:tcW w:w="230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right"/>
              <w:ind w:right="11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627</w:t>
            </w:r>
          </w:p>
        </w:tc>
        <w:tc>
          <w:tcPr>
            <w:tcW w:w="14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n/m %</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11,650</w:t>
            </w:r>
          </w:p>
        </w:tc>
        <w:tc>
          <w:tcPr>
            <w:tcW w:w="120" w:type="dxa"/>
            <w:vAlign w:val="bottom"/>
          </w:tcPr>
          <w:p>
            <w:pPr>
              <w:spacing w:after="0"/>
              <w:rPr>
                <w:sz w:val="12"/>
                <w:szCs w:val="12"/>
                <w:color w:val="auto"/>
              </w:rPr>
            </w:pPr>
          </w:p>
        </w:tc>
        <w:tc>
          <w:tcPr>
            <w:tcW w:w="1660" w:type="dxa"/>
            <w:vAlign w:val="bottom"/>
            <w:tcBorders>
              <w:bottom w:val="single" w:sz="8" w:color="auto"/>
            </w:tcBorders>
            <w:gridSpan w:val="2"/>
          </w:tcPr>
          <w:p>
            <w:pPr>
              <w:ind w:left="1220"/>
              <w:spacing w:after="0" w:line="142" w:lineRule="exact"/>
              <w:rPr>
                <w:sz w:val="20"/>
                <w:szCs w:val="20"/>
                <w:color w:val="auto"/>
              </w:rPr>
            </w:pPr>
            <w:r>
              <w:rPr>
                <w:rFonts w:ascii="Times New Roman" w:cs="Times New Roman" w:eastAsia="Times New Roman" w:hAnsi="Times New Roman"/>
                <w:sz w:val="14"/>
                <w:szCs w:val="14"/>
                <w:color w:val="auto"/>
              </w:rPr>
              <w:t>0.08 %</w:t>
            </w: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80" w:right="20" w:hanging="375"/>
        <w:spacing w:after="0" w:line="278"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Other-Than-Insignificant Payment Delay</w:t>
            </w:r>
          </w:p>
        </w:tc>
        <w:tc>
          <w:tcPr>
            <w:tcW w:w="1660" w:type="dxa"/>
            <w:vAlign w:val="bottom"/>
            <w:tcBorders>
              <w:bottom w:val="single" w:sz="8" w:color="auto"/>
            </w:tcBorders>
          </w:tcPr>
          <w:p>
            <w:pPr>
              <w:spacing w:after="0"/>
              <w:rPr>
                <w:sz w:val="15"/>
                <w:szCs w:val="15"/>
                <w:color w:val="auto"/>
              </w:rPr>
            </w:pPr>
          </w:p>
        </w:tc>
      </w:tr>
      <w:tr>
        <w:trPr>
          <w:trHeight w:val="117"/>
        </w:trPr>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gridSpan w:val="4"/>
          </w:tcPr>
          <w:p>
            <w:pPr>
              <w:jc w:val="right"/>
              <w:ind w:right="94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100" w:type="dxa"/>
            <w:vAlign w:val="bottom"/>
            <w:gridSpan w:val="3"/>
          </w:tcPr>
          <w:p>
            <w:pPr>
              <w:ind w:left="80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3"/>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bottom w:val="single" w:sz="8" w:color="auto"/>
            </w:tcBorders>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26"/>
        </w:trPr>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jc w:val="right"/>
              <w:ind w:right="9"/>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jc w:val="right"/>
              <w:ind w:right="308"/>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6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 of Total Class</w:t>
            </w:r>
          </w:p>
        </w:tc>
      </w:tr>
      <w:tr>
        <w:trPr>
          <w:trHeight w:val="178"/>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4"/>
                <w:szCs w:val="14"/>
                <w:b w:val="1"/>
                <w:bCs w:val="1"/>
                <w:color w:val="auto"/>
              </w:rPr>
              <w:t>Cost Basis</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ind w:right="11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w:t>
            </w:r>
          </w:p>
        </w:tc>
        <w:tc>
          <w:tcPr>
            <w:tcW w:w="1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ind w:left="1220"/>
              <w:spacing w:after="0" w:line="142" w:lineRule="exact"/>
              <w:rPr>
                <w:sz w:val="20"/>
                <w:szCs w:val="20"/>
                <w:color w:val="auto"/>
              </w:rPr>
            </w:pPr>
            <w:r>
              <w:rPr>
                <w:rFonts w:ascii="Times New Roman" w:cs="Times New Roman" w:eastAsia="Times New Roman" w:hAnsi="Times New Roman"/>
                <w:sz w:val="14"/>
                <w:szCs w:val="14"/>
                <w:color w:val="auto"/>
              </w:rPr>
              <w:t>0.02 %</w:t>
            </w:r>
          </w:p>
        </w:tc>
      </w:tr>
      <w:tr>
        <w:trPr>
          <w:trHeight w:val="148"/>
        </w:trPr>
        <w:tc>
          <w:tcPr>
            <w:tcW w:w="230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4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1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ind w:left="1220"/>
              <w:spacing w:after="0" w:line="149" w:lineRule="exact"/>
              <w:rPr>
                <w:sz w:val="20"/>
                <w:szCs w:val="20"/>
                <w:color w:val="auto"/>
              </w:rPr>
            </w:pPr>
            <w:r>
              <w:rPr>
                <w:rFonts w:ascii="Times New Roman" w:cs="Times New Roman" w:eastAsia="Times New Roman" w:hAnsi="Times New Roman"/>
                <w:sz w:val="14"/>
                <w:szCs w:val="14"/>
                <w:color w:val="auto"/>
              </w:rPr>
              <w:t>0.04</w:t>
            </w:r>
          </w:p>
        </w:tc>
      </w:tr>
      <w:tr>
        <w:trPr>
          <w:trHeight w:val="142"/>
        </w:trPr>
        <w:tc>
          <w:tcPr>
            <w:tcW w:w="2300" w:type="dxa"/>
            <w:vAlign w:val="bottom"/>
            <w:tcBorders>
              <w:bottom w:val="single" w:sz="8" w:color="CCEEFF"/>
            </w:tcBorders>
            <w:gridSpan w:val="3"/>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shd w:val="clear" w:color="auto" w:fill="CCEEFF"/>
          </w:tcPr>
          <w:p>
            <w:pPr>
              <w:jc w:val="right"/>
              <w:ind w:right="11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475</w:t>
            </w:r>
          </w:p>
        </w:tc>
        <w:tc>
          <w:tcPr>
            <w:tcW w:w="14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n/m %</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2,672</w:t>
            </w:r>
          </w:p>
        </w:tc>
        <w:tc>
          <w:tcPr>
            <w:tcW w:w="12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ind w:left="1220"/>
              <w:spacing w:after="0" w:line="142" w:lineRule="exact"/>
              <w:rPr>
                <w:sz w:val="20"/>
                <w:szCs w:val="20"/>
                <w:color w:val="auto"/>
              </w:rPr>
            </w:pPr>
            <w:r>
              <w:rPr>
                <w:rFonts w:ascii="Times New Roman" w:cs="Times New Roman" w:eastAsia="Times New Roman" w:hAnsi="Times New Roman"/>
                <w:sz w:val="14"/>
                <w:szCs w:val="14"/>
                <w:color w:val="auto"/>
              </w:rPr>
              <w:t>0.02 %</w:t>
            </w: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80" w:right="20" w:hanging="375"/>
        <w:spacing w:after="0" w:line="258"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2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loan modifications to borrowers experiencing financial difficulty for which the Company had modified the terms of the loans in the form of an other-than-insignificant payment delay during both the three and nine months ended September 30, 2026.</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describe, by class of financing receivable and type of modification granted, the financial effect of the modifications made to borrowers experiencing financial difficulty during the three and nine months ended September 30, 2026 and 2025, respectively: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Consumer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Consumer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Commercial and industrial Residential mortgage Consumer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Commercial and industrial</w:t>
      </w:r>
    </w:p>
    <w:p>
      <w:pPr>
        <w:spacing w:after="0" w:line="226" w:lineRule="auto"/>
        <w:rPr>
          <w:sz w:val="20"/>
          <w:szCs w:val="20"/>
          <w:color w:val="auto"/>
        </w:rPr>
      </w:pPr>
      <w:r>
        <w:rPr>
          <w:rFonts w:ascii="Times New Roman" w:cs="Times New Roman" w:eastAsia="Times New Roman" w:hAnsi="Times New Roman"/>
          <w:sz w:val="14"/>
          <w:szCs w:val="14"/>
          <w:color w:val="auto"/>
        </w:rPr>
        <w:t>Commercial real estate</w:t>
      </w:r>
    </w:p>
    <w:p>
      <w:pPr>
        <w:spacing w:after="0" w:line="222" w:lineRule="auto"/>
        <w:rPr>
          <w:sz w:val="20"/>
          <w:szCs w:val="20"/>
          <w:color w:val="auto"/>
        </w:rPr>
      </w:pPr>
      <w:r>
        <w:rPr>
          <w:rFonts w:ascii="Times New Roman" w:cs="Times New Roman" w:eastAsia="Times New Roman" w:hAnsi="Times New Roman"/>
          <w:sz w:val="14"/>
          <w:szCs w:val="14"/>
          <w:color w:val="auto"/>
        </w:rPr>
        <w:t>Construction</w:t>
      </w:r>
    </w:p>
    <w:p>
      <w:pPr>
        <w:spacing w:after="0" w:line="221" w:lineRule="auto"/>
        <w:rPr>
          <w:sz w:val="20"/>
          <w:szCs w:val="20"/>
          <w:color w:val="auto"/>
        </w:rPr>
      </w:pPr>
      <w:r>
        <w:rPr>
          <w:rFonts w:ascii="Times New Roman" w:cs="Times New Roman" w:eastAsia="Times New Roman" w:hAnsi="Times New Roman"/>
          <w:sz w:val="14"/>
          <w:szCs w:val="14"/>
          <w:color w:val="auto"/>
        </w:rPr>
        <w:t>Residential mortgage</w:t>
      </w:r>
    </w:p>
    <w:p>
      <w:pPr>
        <w:spacing w:after="0"/>
        <w:rPr>
          <w:sz w:val="20"/>
          <w:szCs w:val="20"/>
          <w:color w:val="auto"/>
        </w:rPr>
      </w:pPr>
      <w:r>
        <w:rPr>
          <w:rFonts w:ascii="Times New Roman" w:cs="Times New Roman" w:eastAsia="Times New Roman" w:hAnsi="Times New Roman"/>
          <w:sz w:val="14"/>
          <w:szCs w:val="14"/>
          <w:color w:val="auto"/>
        </w:rPr>
        <w:t>Consumer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Commercial real estate Residential mortgage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Reduction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4594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ind w:left="460"/>
        <w:spacing w:after="0"/>
        <w:tabs>
          <w:tab w:leader="none" w:pos="4160" w:val="left"/>
        </w:tabs>
        <w:rPr>
          <w:sz w:val="20"/>
          <w:szCs w:val="20"/>
          <w:color w:val="auto"/>
        </w:rPr>
      </w:pPr>
      <w:r>
        <w:rPr>
          <w:rFonts w:ascii="Times New Roman" w:cs="Times New Roman" w:eastAsia="Times New Roman" w:hAnsi="Times New Roman"/>
          <w:sz w:val="14"/>
          <w:szCs w:val="14"/>
          <w:b w:val="1"/>
          <w:bCs w:val="1"/>
          <w:color w:val="auto"/>
        </w:rPr>
        <w:t>Three Months Ended September 30, 2026</w:t>
      </w:r>
      <w:r>
        <w:rPr>
          <w:sz w:val="20"/>
          <w:szCs w:val="20"/>
          <w:color w:val="auto"/>
        </w:rPr>
        <w:tab/>
      </w:r>
      <w:r>
        <w:rPr>
          <w:rFonts w:ascii="Times New Roman" w:cs="Times New Roman" w:eastAsia="Times New Roman" w:hAnsi="Times New Roman"/>
          <w:sz w:val="14"/>
          <w:szCs w:val="14"/>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-3175</wp:posOffset>
            </wp:positionV>
            <wp:extent cx="57861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6120" cy="102870"/>
                    </a:xfrm>
                    <a:prstGeom prst="rect">
                      <a:avLst/>
                    </a:prstGeom>
                    <a:noFill/>
                  </pic:spPr>
                </pic:pic>
              </a:graphicData>
            </a:graphic>
          </wp:anchor>
        </w:drawing>
      </w:r>
    </w:p>
    <w:p>
      <w:pPr>
        <w:spacing w:after="0"/>
        <w:tabs>
          <w:tab w:leader="none" w:pos="3560" w:val="left"/>
        </w:tabs>
        <w:rPr>
          <w:sz w:val="20"/>
          <w:szCs w:val="20"/>
          <w:color w:val="auto"/>
        </w:rPr>
      </w:pPr>
      <w:r>
        <w:rPr>
          <w:rFonts w:ascii="Times New Roman" w:cs="Times New Roman" w:eastAsia="Times New Roman" w:hAnsi="Times New Roman"/>
          <w:sz w:val="13"/>
          <w:szCs w:val="13"/>
          <w:b w:val="1"/>
          <w:bCs w:val="1"/>
          <w:color w:val="auto"/>
        </w:rPr>
        <w:t>Reduced weighted-average contractual interest rate by 13.16%.</w:t>
      </w:r>
      <w:r>
        <w:rPr>
          <w:sz w:val="20"/>
          <w:szCs w:val="20"/>
          <w:color w:val="auto"/>
        </w:rPr>
        <w:tab/>
      </w:r>
      <w:r>
        <w:rPr>
          <w:rFonts w:ascii="Times New Roman" w:cs="Times New Roman" w:eastAsia="Times New Roman" w:hAnsi="Times New Roman"/>
          <w:sz w:val="12"/>
          <w:szCs w:val="12"/>
          <w:b w:val="1"/>
          <w:bCs w:val="1"/>
          <w:color w:val="auto"/>
        </w:rPr>
        <w:t>Reduced weighted-average contractual interest rate by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Reduction</w:t>
      </w:r>
    </w:p>
    <w:p>
      <w:pPr>
        <w:jc w:val="center"/>
        <w:spacing w:after="0"/>
        <w:rPr>
          <w:sz w:val="20"/>
          <w:szCs w:val="20"/>
          <w:color w:val="auto"/>
        </w:rPr>
      </w:pPr>
      <w:r>
        <w:rPr>
          <w:rFonts w:ascii="Times New Roman" w:cs="Times New Roman" w:eastAsia="Times New Roman" w:hAnsi="Times New Roman"/>
          <w:sz w:val="14"/>
          <w:szCs w:val="14"/>
          <w:b w:val="1"/>
          <w:bCs w:val="1"/>
          <w:color w:val="auto"/>
        </w:rPr>
        <w:t>Financial Effect</w:t>
      </w:r>
    </w:p>
    <w:tbl>
      <w:tblPr>
        <w:tblLayout w:type="fixed"/>
        <w:tblInd w:w="0" w:type="dxa"/>
        <w:tblCellMar>
          <w:top w:w="0" w:type="dxa"/>
          <w:left w:w="0" w:type="dxa"/>
          <w:bottom w:w="0" w:type="dxa"/>
          <w:right w:w="0" w:type="dxa"/>
        </w:tblCellMar>
      </w:tblPr>
      <w:tr>
        <w:trPr>
          <w:trHeight w:val="142"/>
        </w:trPr>
        <w:tc>
          <w:tcPr>
            <w:tcW w:w="3580" w:type="dxa"/>
            <w:vAlign w:val="bottom"/>
            <w:tcBorders>
              <w:top w:val="single" w:sz="8" w:color="auto"/>
            </w:tcBorders>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660" w:type="dxa"/>
            <w:vAlign w:val="bottom"/>
            <w:tcBorders>
              <w:top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158"/>
        </w:trPr>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Reduced weighted-average contractual interest rate by 13.44%.</w:t>
            </w:r>
          </w:p>
        </w:tc>
        <w:tc>
          <w:tcPr>
            <w:tcW w:w="120" w:type="dxa"/>
            <w:vAlign w:val="bottom"/>
          </w:tcPr>
          <w:p>
            <w:pPr>
              <w:spacing w:after="0"/>
              <w:rPr>
                <w:sz w:val="13"/>
                <w:szCs w:val="13"/>
                <w:color w:val="auto"/>
              </w:rPr>
            </w:pPr>
          </w:p>
        </w:tc>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Reduced weighted-average contractual interest rate by 13.10%.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-112395</wp:posOffset>
            </wp:positionV>
            <wp:extent cx="57861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6120" cy="10287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4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Term Extension</w:t>
            </w:r>
          </w:p>
        </w:tc>
      </w:tr>
      <w:tr>
        <w:trPr>
          <w:trHeight w:val="173"/>
        </w:trPr>
        <w:tc>
          <w:tcPr>
            <w:tcW w:w="306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Effect</w:t>
            </w:r>
          </w:p>
        </w:tc>
      </w:tr>
      <w:tr>
        <w:trPr>
          <w:trHeight w:val="142"/>
        </w:trPr>
        <w:tc>
          <w:tcPr>
            <w:tcW w:w="306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Borders>
              <w:bottom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135"/>
        </w:trPr>
        <w:tc>
          <w:tcPr>
            <w:tcW w:w="30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9"/>
              </w:rPr>
              <w:t>Added a weighted-average 5.0 years to the life of loans.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Added a weighted-average 4.9 years to the life of loans.</w:t>
            </w:r>
          </w:p>
        </w:tc>
      </w:tr>
      <w:tr>
        <w:trPr>
          <w:trHeight w:val="14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Added a weighted-average 2.0 years to the life of loans.</w:t>
            </w: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9"/>
              </w:rPr>
              <w:t>Added a weighted-average 4.0 years to the life of loans.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Added a weighted-average 4.9 years to the life of loans.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-100965</wp:posOffset>
            </wp:positionV>
            <wp:extent cx="578612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6120" cy="93980"/>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-297815</wp:posOffset>
            </wp:positionV>
            <wp:extent cx="57861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6120" cy="10287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4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Term Extension</w:t>
            </w:r>
          </w:p>
        </w:tc>
      </w:tr>
      <w:tr>
        <w:trPr>
          <w:trHeight w:val="173"/>
        </w:trPr>
        <w:tc>
          <w:tcPr>
            <w:tcW w:w="306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Effect</w:t>
            </w:r>
          </w:p>
        </w:tc>
      </w:tr>
      <w:tr>
        <w:trPr>
          <w:trHeight w:val="142"/>
        </w:trPr>
        <w:tc>
          <w:tcPr>
            <w:tcW w:w="306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Borders>
              <w:bottom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135"/>
        </w:trPr>
        <w:tc>
          <w:tcPr>
            <w:tcW w:w="30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Added a weighted-average 4.8 years to the life of loans.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Added a weighted-average 0.7 years to the life of loans.</w:t>
            </w:r>
          </w:p>
        </w:tc>
      </w:tr>
      <w:tr>
        <w:trPr>
          <w:trHeight w:val="148"/>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Added a weighted-average 0.4 years to the life of loans.</w:t>
            </w:r>
          </w:p>
        </w:tc>
      </w:tr>
      <w:tr>
        <w:trPr>
          <w:trHeight w:val="14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Added a weighted-average 0.3 years to the life of loans.</w:t>
            </w:r>
          </w:p>
        </w:tc>
      </w:tr>
      <w:tr>
        <w:trPr>
          <w:trHeight w:val="150"/>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Added a weighted-average 0.3 years to the life of loans.</w:t>
            </w:r>
          </w:p>
        </w:tc>
      </w:tr>
      <w:tr>
        <w:trPr>
          <w:trHeight w:val="164"/>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Added a weighted-average 0.5 years to the life of loans.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Added a weighted-average 0.9 years to the life of loans.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-288925</wp:posOffset>
            </wp:positionV>
            <wp:extent cx="578612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6120" cy="93980"/>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-100330</wp:posOffset>
            </wp:positionV>
            <wp:extent cx="578612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6120" cy="93980"/>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-486410</wp:posOffset>
            </wp:positionV>
            <wp:extent cx="57861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6120" cy="10287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Other-Than-Insignificant Payment Delay</w:t>
      </w:r>
    </w:p>
    <w:p>
      <w:pPr>
        <w:jc w:val="center"/>
        <w:spacing w:after="0"/>
        <w:rPr>
          <w:sz w:val="20"/>
          <w:szCs w:val="20"/>
          <w:color w:val="auto"/>
        </w:rPr>
      </w:pPr>
      <w:r>
        <w:rPr>
          <w:rFonts w:ascii="Times New Roman" w:cs="Times New Roman" w:eastAsia="Times New Roman" w:hAnsi="Times New Roman"/>
          <w:sz w:val="14"/>
          <w:szCs w:val="14"/>
          <w:b w:val="1"/>
          <w:bCs w:val="1"/>
          <w:color w:val="auto"/>
        </w:rPr>
        <w:t>Financial Effect</w:t>
      </w:r>
    </w:p>
    <w:tbl>
      <w:tblPr>
        <w:tblLayout w:type="fixed"/>
        <w:tblInd w:w="0" w:type="dxa"/>
        <w:tblCellMar>
          <w:top w:w="0" w:type="dxa"/>
          <w:left w:w="0" w:type="dxa"/>
          <w:bottom w:w="0" w:type="dxa"/>
          <w:right w:w="0" w:type="dxa"/>
        </w:tblCellMar>
      </w:tblPr>
      <w:tr>
        <w:trPr>
          <w:trHeight w:val="142"/>
        </w:trPr>
        <w:tc>
          <w:tcPr>
            <w:tcW w:w="3580" w:type="dxa"/>
            <w:vAlign w:val="bottom"/>
            <w:tcBorders>
              <w:top w:val="single" w:sz="8" w:color="auto"/>
            </w:tcBorders>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660" w:type="dxa"/>
            <w:vAlign w:val="bottom"/>
            <w:tcBorders>
              <w:top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137"/>
        </w:trPr>
        <w:tc>
          <w:tcPr>
            <w:tcW w:w="34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36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Deferred a weighted-average of $209 thousand in loan payments.</w:t>
            </w:r>
          </w:p>
        </w:tc>
      </w:tr>
      <w:tr>
        <w:trPr>
          <w:trHeight w:val="164"/>
        </w:trPr>
        <w:tc>
          <w:tcPr>
            <w:tcW w:w="3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a weighted-average of $26 thousand in loan payments.</w:t>
            </w:r>
          </w:p>
        </w:tc>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Deferred a weighted-average of $54 thousand in loan 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-203835</wp:posOffset>
            </wp:positionV>
            <wp:extent cx="57861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6120" cy="10287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1540" w:space="340"/>
            <w:col w:w="7240"/>
          </w:cols>
          <w:pgMar w:left="1380" w:top="513" w:right="139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present, by class of financing receivable and type of modification granted, the amortized cost basis, as of September 30, 2026 and 2025, of loans that had a payment default during the three and nine months ended September 30, 2026 and 2025, respectively, and were modified in the 12 months before default to borrowers experiencing financial difficulty. The Company is reporting these defaulted loans based on a payment default definition of 30 days past due: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 Basis of Modified Loans That Subsequently Defaulted</w:t>
            </w:r>
            <w:r>
              <w:rPr>
                <w:rFonts w:ascii="Times New Roman" w:cs="Times New Roman" w:eastAsia="Times New Roman" w:hAnsi="Times New Roman"/>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9"/>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380" w:type="dxa"/>
            <w:vAlign w:val="bottom"/>
            <w:tcBorders>
              <w:bottom w:val="single" w:sz="8" w:color="auto"/>
            </w:tcBorders>
            <w:gridSpan w:val="7"/>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Other-Than-</w:t>
            </w: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Other-Than-</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Reduction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0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Insignificant</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Insignificant</w:t>
            </w:r>
          </w:p>
        </w:tc>
        <w:tc>
          <w:tcPr>
            <w:tcW w:w="0" w:type="dxa"/>
            <w:vAlign w:val="bottom"/>
          </w:tcPr>
          <w:p>
            <w:pPr>
              <w:spacing w:after="0"/>
              <w:rPr>
                <w:sz w:val="1"/>
                <w:szCs w:val="1"/>
                <w:color w:val="auto"/>
              </w:rPr>
            </w:pPr>
          </w:p>
        </w:tc>
      </w:tr>
      <w:tr>
        <w:trPr>
          <w:trHeight w:val="173"/>
        </w:trPr>
        <w:tc>
          <w:tcPr>
            <w:tcW w:w="1640" w:type="dxa"/>
            <w:vAlign w:val="bottom"/>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Delay Interest Rate Reduction Term Extension</w:t>
            </w:r>
          </w:p>
        </w:tc>
        <w:tc>
          <w:tcPr>
            <w:tcW w:w="80" w:type="dxa"/>
            <w:vAlign w:val="bottom"/>
          </w:tcPr>
          <w:p>
            <w:pPr>
              <w:spacing w:after="0"/>
              <w:rPr>
                <w:sz w:val="15"/>
                <w:szCs w:val="15"/>
                <w:color w:val="auto"/>
              </w:rPr>
            </w:pPr>
          </w:p>
        </w:tc>
        <w:tc>
          <w:tcPr>
            <w:tcW w:w="10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16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top w:val="single" w:sz="8" w:color="auto"/>
            </w:tcBorders>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60" w:type="dxa"/>
            <w:vAlign w:val="bottom"/>
            <w:tcBorders>
              <w:top w:val="single" w:sz="8" w:color="auto"/>
            </w:tcBorders>
            <w:gridSpan w:val="3"/>
            <w:shd w:val="clear" w:color="auto" w:fill="CCEEFF"/>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1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3"/>
          </w:tcPr>
          <w:p>
            <w:pPr>
              <w:jc w:val="right"/>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3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427</w:t>
            </w: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6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530</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top w:val="single" w:sz="8" w:color="auto"/>
              <w:bottom w:val="single" w:sz="8" w:color="auto"/>
            </w:tcBorders>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427</w:t>
            </w: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1,325</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82" w:lineRule="auto"/>
        <w:tabs>
          <w:tab w:leader="none" w:pos="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 Basis of Modified Loans That Subsequently Defaulted</w:t>
            </w:r>
            <w:r>
              <w:rPr>
                <w:rFonts w:ascii="Times New Roman" w:cs="Times New Roman" w:eastAsia="Times New Roman" w:hAnsi="Times New Roman"/>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7"/>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380" w:type="dxa"/>
            <w:vAlign w:val="bottom"/>
            <w:tcBorders>
              <w:bottom w:val="single" w:sz="8" w:color="auto"/>
            </w:tcBorders>
            <w:gridSpan w:val="7"/>
          </w:tcPr>
          <w:p>
            <w:pPr>
              <w:jc w:val="right"/>
              <w:ind w:right="569"/>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Other-Than-</w:t>
            </w: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Other-Than-</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Reduction</w:t>
            </w: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0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Insignificant</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80" w:type="dxa"/>
            <w:vAlign w:val="bottom"/>
          </w:tcPr>
          <w:p>
            <w:pPr>
              <w:spacing w:after="0"/>
              <w:rPr>
                <w:sz w:val="12"/>
                <w:szCs w:val="12"/>
                <w:color w:val="auto"/>
              </w:rPr>
            </w:pPr>
          </w:p>
        </w:tc>
        <w:tc>
          <w:tcPr>
            <w:tcW w:w="102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Insignificant</w:t>
            </w:r>
          </w:p>
        </w:tc>
        <w:tc>
          <w:tcPr>
            <w:tcW w:w="0" w:type="dxa"/>
            <w:vAlign w:val="bottom"/>
          </w:tcPr>
          <w:p>
            <w:pPr>
              <w:spacing w:after="0"/>
              <w:rPr>
                <w:sz w:val="1"/>
                <w:szCs w:val="1"/>
                <w:color w:val="auto"/>
              </w:rPr>
            </w:pPr>
          </w:p>
        </w:tc>
      </w:tr>
      <w:tr>
        <w:trPr>
          <w:trHeight w:val="173"/>
        </w:trPr>
        <w:tc>
          <w:tcPr>
            <w:tcW w:w="1640" w:type="dxa"/>
            <w:vAlign w:val="bottom"/>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Delay Interest Rate Reduction</w:t>
            </w:r>
          </w:p>
        </w:tc>
        <w:tc>
          <w:tcPr>
            <w:tcW w:w="11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16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2"/>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40" w:type="dxa"/>
            <w:vAlign w:val="bottom"/>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48"/>
        </w:trPr>
        <w:tc>
          <w:tcPr>
            <w:tcW w:w="16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258</w:t>
            </w:r>
          </w:p>
        </w:tc>
        <w:tc>
          <w:tcPr>
            <w:tcW w:w="50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w:t>
            </w: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0" w:hanging="375"/>
        <w:spacing w:after="0" w:line="282"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Performance of the loans that are modified to borrowers experiencing financial difficulty is monitored to understand the effectiveness of the Company’s modification efforts. As of September 30, 2026 and 2025, the aging analysis of the amortized cost basis of the performance of loans that have been modified in the last 12 months related to borrowers experiencing financial difficulty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8"/>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Equal to</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6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56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1,391</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56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gridSpan w:val="2"/>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2,643</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8"/>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 Equal to</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6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8,465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8,465</w:t>
            </w:r>
          </w:p>
        </w:tc>
        <w:tc>
          <w:tcPr>
            <w:tcW w:w="0" w:type="dxa"/>
            <w:vAlign w:val="bottom"/>
          </w:tcPr>
          <w:p>
            <w:pPr>
              <w:spacing w:after="0"/>
              <w:rPr>
                <w:sz w:val="1"/>
                <w:szCs w:val="1"/>
                <w:color w:val="auto"/>
              </w:rPr>
            </w:pPr>
          </w:p>
        </w:tc>
      </w:tr>
      <w:tr>
        <w:trPr>
          <w:trHeight w:val="148"/>
        </w:trPr>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149"/>
        </w:trPr>
        <w:tc>
          <w:tcPr>
            <w:tcW w:w="1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0" w:type="dxa"/>
            <w:vAlign w:val="bottom"/>
          </w:tcPr>
          <w:p>
            <w:pPr>
              <w:spacing w:after="0"/>
              <w:rPr>
                <w:sz w:val="1"/>
                <w:szCs w:val="1"/>
                <w:color w:val="auto"/>
              </w:rPr>
            </w:pPr>
          </w:p>
        </w:tc>
      </w:tr>
      <w:tr>
        <w:trPr>
          <w:trHeight w:val="148"/>
        </w:trPr>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3,450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3,749</w:t>
            </w:r>
          </w:p>
        </w:tc>
        <w:tc>
          <w:tcPr>
            <w:tcW w:w="0" w:type="dxa"/>
            <w:vAlign w:val="bottom"/>
          </w:tcPr>
          <w:p>
            <w:pPr>
              <w:spacing w:after="0"/>
              <w:rPr>
                <w:sz w:val="1"/>
                <w:szCs w:val="1"/>
                <w:color w:val="auto"/>
              </w:rPr>
            </w:pPr>
          </w:p>
        </w:tc>
      </w:tr>
      <w:tr>
        <w:trPr>
          <w:trHeight w:val="149"/>
        </w:trPr>
        <w:tc>
          <w:tcPr>
            <w:tcW w:w="1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w w:val="85"/>
              </w:rPr>
              <w:t>71</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1,979</w:t>
            </w:r>
          </w:p>
        </w:tc>
        <w:tc>
          <w:tcPr>
            <w:tcW w:w="0" w:type="dxa"/>
            <w:vAlign w:val="bottom"/>
          </w:tcPr>
          <w:p>
            <w:pPr>
              <w:spacing w:after="0"/>
              <w:rPr>
                <w:sz w:val="1"/>
                <w:szCs w:val="1"/>
                <w:color w:val="auto"/>
              </w:rPr>
            </w:pPr>
          </w:p>
        </w:tc>
      </w:tr>
      <w:tr>
        <w:trPr>
          <w:trHeight w:val="142"/>
        </w:trPr>
        <w:tc>
          <w:tcPr>
            <w:tcW w:w="168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ind w:left="800"/>
              <w:spacing w:after="0" w:line="142" w:lineRule="exact"/>
              <w:rPr>
                <w:sz w:val="20"/>
                <w:szCs w:val="20"/>
                <w:color w:val="auto"/>
              </w:rPr>
            </w:pPr>
            <w:r>
              <w:rPr>
                <w:rFonts w:ascii="Times New Roman" w:cs="Times New Roman" w:eastAsia="Times New Roman" w:hAnsi="Times New Roman"/>
                <w:sz w:val="14"/>
                <w:szCs w:val="14"/>
                <w:color w:val="auto"/>
                <w:w w:val="85"/>
              </w:rPr>
              <w:t>71</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1,267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1,481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15,331</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16,812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had commitments to extend credit, standby letters of credit, and commercial letters of credit totaling $6.9 billion as of both September 30, 2026 and December 31, 2025. Of the $6.9 billion at September 30, 2026 and December 31, 2025, there were no commitments to lend additional funds to borrowers experiencing financial difficulty for which the Company had modified the terms of the loans in the form of an interest rate reduction, term extension, or other-than-insignificant payment delay during the nine months ended September 30, 2026 and during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Foreclosed Property</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both September 30, 2026 and December 31, 2025, there were no residential real estate properties held from foreclosed residential mortgage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Bank-Owned Life Insurance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2026 and 2025, the Company entered into noncash exchanges of certain bank-owned life insurance (“BOLI”) policies in accordance with Internal Revenue Code (“IRC”) Section 1035. Cash surrender value of nil and $2.2 million were transferred into new policies during the three and nine months ended September 30, 2026, respectively. Cash surrender value of nil and $81.7 million were transferred into new policies during the three and nine months ended September 30, 2025, respectively. No gain or loss was recognized as part of these exchanges.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Mortgage servicing activities include collecting principal, interest, tax and insurance payments from borrowers while accounting for and remitting payments to investors, taxing authorities and insurance companies. The Company also monitors delinquencies and administers foreclosure proceedings.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Mortgage loan servicing income is recorded in noninterest income as a part of other service charges and fees and amortization of the servicing assets is recorded in noninterest income as part of other income. The Company’s maximum potential exposure to repurchases is limited to the unpaid principal amount of residential real estate loans serviced for others, which were $1.0 billion and $1.1 billion as of September 30, 2026 and December 31, 2025, respectively. Servicing fees include contractually specified fees, late charges and ancillary fees and were $0.4 million and $0.7 million for the three months ended September 30, 2026 and 2025, respectively, and $1.8 million and $2.2 million for the nine months ended September 30, 2026 and 2025, respectively.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mortgage servicing rights (“MSRs”) were $0.2 million and $0.1 million for the three months ended September 30, 2026 and 2025, respectively, and $0.6 million and $0.5 million for the nine months ended September 30, 2026 and 2025, respectively. The estimated future amortization expenses for MSRs over the next five years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one year</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two years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to three years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to four years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to five years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0" w:type="dxa"/>
            <w:vAlign w:val="bottom"/>
          </w:tcPr>
          <w:p>
            <w:pPr>
              <w:spacing w:after="0"/>
              <w:rPr>
                <w:sz w:val="1"/>
                <w:szCs w:val="1"/>
                <w:color w:val="auto"/>
              </w:rPr>
            </w:pPr>
          </w:p>
        </w:tc>
      </w:tr>
      <w:tr>
        <w:trPr>
          <w:trHeight w:val="432"/>
        </w:trPr>
        <w:tc>
          <w:tcPr>
            <w:tcW w:w="6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details of the Company’s MSRs are presented below:</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7"/>
                <w:szCs w:val="17"/>
                <w:color w:val="auto"/>
              </w:rPr>
            </w:pPr>
          </w:p>
        </w:tc>
        <w:tc>
          <w:tcPr>
            <w:tcW w:w="12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70,096</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66,097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65,458</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amortized MSRs for the three and nine months ended September 30, 2026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460" w:type="dxa"/>
            <w:vAlign w:val="bottom"/>
            <w:gridSpan w:val="2"/>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34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4,164</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Fair value of amortized MSRs at beginning of period</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12,216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13,042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12,364</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13,404</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amortized MSRs at end of period</w:t>
            </w: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12,176</w:t>
            </w: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12,554</w:t>
            </w:r>
          </w:p>
        </w:tc>
        <w:tc>
          <w:tcPr>
            <w:tcW w:w="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12,176</w:t>
            </w:r>
          </w:p>
        </w:tc>
        <w:tc>
          <w:tcPr>
            <w:tcW w:w="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MSRs are evaluated for impairment if events and circumstances indicate a possible impairment. No impairment of MSRs was recorded for the three and nine months ended September 30, 2026 and 2025.</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quantitative assumptions used in determining the lower of cost or fair value of the Company’s MSRs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21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60" w:type="dxa"/>
            <w:vAlign w:val="bottom"/>
            <w:vMerge w:val="restart"/>
          </w:tcPr>
          <w:p>
            <w:pPr>
              <w:ind w:left="4520"/>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8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
        </w:trPr>
        <w:tc>
          <w:tcPr>
            <w:tcW w:w="456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5.97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16.77 </w:t>
            </w:r>
            <w:r>
              <w:rPr>
                <w:rFonts w:ascii="Times New Roman" w:cs="Times New Roman" w:eastAsia="Times New Roman" w:hAnsi="Times New Roman"/>
                <w:sz w:val="35"/>
                <w:szCs w:val="35"/>
                <w:b w:val="1"/>
                <w:bCs w:val="1"/>
                <w:color w:val="auto"/>
                <w:vertAlign w:val="subscript"/>
              </w:rPr>
              <w:t>%</w:t>
            </w:r>
          </w:p>
        </w:tc>
        <w:tc>
          <w:tcPr>
            <w:tcW w:w="1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 xml:space="preserve">6.45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5"/>
                <w:szCs w:val="35"/>
                <w:color w:val="auto"/>
                <w:vertAlign w:val="subscript"/>
              </w:rPr>
              <w:t>% -</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7.00 </w:t>
            </w:r>
            <w:r>
              <w:rPr>
                <w:rFonts w:ascii="Times New Roman" w:cs="Times New Roman" w:eastAsia="Times New Roman" w:hAnsi="Times New Roman"/>
                <w:sz w:val="35"/>
                <w:szCs w:val="35"/>
                <w:color w:val="auto"/>
                <w:vertAlign w:val="subscript"/>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6.83 </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r>
        <w:trPr>
          <w:trHeight w:val="43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Life in years (of the MSR)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7.06</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2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35"/>
                <w:szCs w:val="35"/>
                <w:color w:val="auto"/>
                <w:vertAlign w:val="sub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coupon rate</w:t>
            </w:r>
          </w:p>
        </w:tc>
        <w:tc>
          <w:tcPr>
            <w:tcW w:w="9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35"/>
                <w:szCs w:val="35"/>
                <w:b w:val="1"/>
                <w:bCs w:val="1"/>
                <w:color w:val="auto"/>
                <w:vertAlign w:val="subscript"/>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0"/>
              </w:rPr>
              <w:t xml:space="preserve">5.68 </w:t>
            </w:r>
            <w:r>
              <w:rPr>
                <w:rFonts w:ascii="Times New Roman" w:cs="Times New Roman" w:eastAsia="Times New Roman" w:hAnsi="Times New Roman"/>
                <w:sz w:val="35"/>
                <w:szCs w:val="35"/>
                <w:b w:val="1"/>
                <w:bCs w:val="1"/>
                <w:color w:val="auto"/>
                <w:w w:val="90"/>
                <w:vertAlign w:val="subscript"/>
              </w:rPr>
              <w:t>%</w:t>
            </w:r>
          </w:p>
        </w:tc>
        <w:tc>
          <w:tcPr>
            <w:tcW w:w="1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 xml:space="preserve">3.85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5"/>
                <w:szCs w:val="35"/>
                <w:color w:val="auto"/>
                <w:vertAlign w:val="subscript"/>
              </w:rPr>
              <w:t>% -</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35"/>
                <w:szCs w:val="35"/>
                <w:color w:val="auto"/>
                <w:vertAlign w:val="subscript"/>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3.84 </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r>
        <w:trPr>
          <w:trHeight w:val="47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xml:space="preserve">10.27 </w:t>
            </w:r>
            <w:r>
              <w:rPr>
                <w:rFonts w:ascii="Times New Roman" w:cs="Times New Roman" w:eastAsia="Times New Roman" w:hAnsi="Times New Roman"/>
                <w:sz w:val="35"/>
                <w:szCs w:val="35"/>
                <w:b w:val="1"/>
                <w:bCs w:val="1"/>
                <w:color w:val="auto"/>
                <w:w w:val="96"/>
                <w:vertAlign w:val="subscript"/>
              </w:rPr>
              <w:t>% -</w:t>
            </w:r>
            <w:r>
              <w:rPr>
                <w:rFonts w:ascii="Times New Roman" w:cs="Times New Roman" w:eastAsia="Times New Roman" w:hAnsi="Times New Roman"/>
                <w:sz w:val="18"/>
                <w:szCs w:val="18"/>
                <w:b w:val="1"/>
                <w:bCs w:val="1"/>
                <w:color w:val="auto"/>
                <w:w w:val="96"/>
              </w:rPr>
              <w:t xml:space="preserve"> 10.54 </w:t>
            </w:r>
            <w:r>
              <w:rPr>
                <w:rFonts w:ascii="Times New Roman" w:cs="Times New Roman" w:eastAsia="Times New Roman" w:hAnsi="Times New Roman"/>
                <w:sz w:val="35"/>
                <w:szCs w:val="35"/>
                <w:b w:val="1"/>
                <w:bCs w:val="1"/>
                <w:color w:val="auto"/>
                <w:w w:val="96"/>
                <w:vertAlign w:val="subscript"/>
              </w:rPr>
              <w:t>%</w:t>
            </w:r>
          </w:p>
        </w:tc>
        <w:tc>
          <w:tcPr>
            <w:tcW w:w="166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 xml:space="preserve">10.44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5"/>
                <w:szCs w:val="35"/>
                <w:color w:val="auto"/>
                <w:vertAlign w:val="subscript"/>
              </w:rPr>
              <w:t>%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9"/>
              </w:rPr>
              <w:t xml:space="preserve">10.45 </w:t>
            </w:r>
            <w:r>
              <w:rPr>
                <w:rFonts w:ascii="Times New Roman" w:cs="Times New Roman" w:eastAsia="Times New Roman" w:hAnsi="Times New Roman"/>
                <w:sz w:val="35"/>
                <w:szCs w:val="35"/>
                <w:color w:val="auto"/>
                <w:w w:val="89"/>
                <w:vertAlign w:val="subscript"/>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10.40 </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sensitivities surrounding MSRs are expected to have an immaterial impact on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Low-Income Housing Tax Credit 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a limited partnership interest or is a member in a limited liability company (“LLC”) in several low-income housing partnerships. These partnerships or LLCs provide funds for the construction and operation of apartment complexes that provide affordable housing to that segment of the population with lower family income. If these developments successfully attract a specified percentage of residents falling in that lower income range, state and/or federal income tax credits are made available to the partners or members. The tax credits are generally recognized over 5 or 10 years. In order to continue receiving the tax credits each year over the life of the partnership or LLC, the low-income residency targets must be maintained.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generally accounts for its interests in these low-income housing partnerships using the proportional amortization method. The Company had $312.2 million and $302.3 million in affordable housing and other tax credit investment partnership interests as of September 30, 2026 and December 31, 2025, respectively, included in other assets on the unaudited interim consolidated balance sheets. The amount of amortization of such investments reported in the provision for income taxes was $8.9 million and $7.6 million during the three months ended September 30, 2026 and 2025, respectively, and $26.8 million and $22.8 million during the nine months ended September 30, 2026 and 2025, respectively. The affordable housing tax credits and other benefits recognized were $12.0 million and $9.6 million during the three months ended September 30, 2026 and 2025, respectively, and $35.9 million and $28.9 million during the nine months ended September 30, 2026 and 2025, respectively, and were included in the provision for income taxes on the unaudited interim consolidated statements of income and net income on the unaudited interim consolidated statements of cash flows.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Unfunded commitments to fund these investments were $163.7 million and $153.3 million as of September 30, 2026 and December 31, 2025, respectively. These unfunded commitments are unconditional and legally binding and are recorded in other liabilities in the unaudited interim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Transfers of Financial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transfers of financial assets with continuing interest may include pledges of collateral to secure public deposits and repurchase agreements, FHLB and FRB borrowing capacity and interest rate derivatives.</w:t>
      </w:r>
    </w:p>
    <w:p>
      <w:pPr>
        <w:sectPr>
          <w:pgSz w:w="11900" w:h="16838" w:orient="portrait"/>
          <w:cols w:equalWidth="0" w:num="1">
            <w:col w:w="9120"/>
          </w:cols>
          <w:pgMar w:left="1380" w:top="513" w:right="1399" w:bottom="731"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731"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public deposits and repurchase agreements, the Company enters into bilateral agreements with the entity to pledge investment securities as collateral in the event of default. The right of setoff for a repurchase agreement resembles a secured borrowing, whereby the collateral pledged by the Company would be used to settle the fair value of the repurchase agreement should the Company be in default. The counterparty has the right to sell or repledge the investment securities. The Company is required by the counterparty to maintain adequate collateral levels. In the event the collateral fair value falls below stipulated levels, the Company will pledge additional investment securities. For transfers of assets with the FHLB and the FRB, the Company enters into bilateral agreements to pledge loans and/or securities as collateral to secure borrowing capacity. For interest rate derivatives, the Company enters into bilateral agreements to pledge collateral when either party is in a negative fair value position to mitigate counterparty credit risk. Counterparties to certain interest rate derivatives, the FHLB and the FRB do not have the right to sell or repledge the collateral.</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of the assets pledged as collateral to secure public deposits and borrowing capacity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September 30, 2026</w:t>
            </w: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deposits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1,580,039</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5,128,821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4,891,682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Reserve Bank</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3,798,636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3,970,029</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10,507,496</w:t>
            </w:r>
          </w:p>
        </w:tc>
        <w:tc>
          <w:tcPr>
            <w:tcW w:w="14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10,652,893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the borrowing capacity with the FHLB was $3.6 billion and $3.3 billion, respectively. The FHLB borrowing capacity was secured by commercial real estate and residential real estate loan collateral as of both September 30, 2026 and December 31, 2025. As of September 30, 2026 and December 31, 2025, the Company had an undrawn line of credit of $3.1 billion and $3.3 billion, respectively, available from the FRB. The borrowing capacity with the FRB was secured by consumer, commercial and industrial, commercial real estate, residential real estate loans and pledged securities as of both September 30, 2026 and December 31, 2025.</w:t>
      </w:r>
    </w:p>
    <w:p>
      <w:pPr>
        <w:spacing w:after="0" w:line="187" w:lineRule="exact"/>
        <w:rPr>
          <w:sz w:val="20"/>
          <w:szCs w:val="20"/>
          <w:color w:val="auto"/>
        </w:rPr>
      </w:pPr>
    </w:p>
    <w:p>
      <w:pPr>
        <w:ind w:left="40" w:firstLine="279"/>
        <w:spacing w:after="0" w:line="282" w:lineRule="auto"/>
        <w:rPr>
          <w:sz w:val="20"/>
          <w:szCs w:val="20"/>
          <w:color w:val="auto"/>
        </w:rPr>
      </w:pPr>
      <w:r>
        <w:rPr>
          <w:rFonts w:ascii="Times New Roman" w:cs="Times New Roman" w:eastAsia="Times New Roman" w:hAnsi="Times New Roman"/>
          <w:sz w:val="18"/>
          <w:szCs w:val="18"/>
          <w:color w:val="auto"/>
        </w:rPr>
        <w:t>As the Company did not enter into reverse repurchase agreements or repurchase agreements, no collateral was accepted as of September 30, 2026 and December 31, 2025. In addition, no debt was extinguished by in-substance defeasance.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Deposits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deposits were categorized as interest-bearing or noninterest-bearing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5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September 30, 2026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w:t>
            </w:r>
          </w:p>
        </w:tc>
        <w:tc>
          <w:tcPr>
            <w:tcW w:w="38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12,220,002</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5,606,481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1,583,662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Noninterest-bearing</w:t>
            </w:r>
          </w:p>
        </w:tc>
        <w:tc>
          <w:tcPr>
            <w:tcW w:w="3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794,425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3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20,204,570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50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maturity distribution of time certificates of deposit as of September 30, 2026: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Under</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9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4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or less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725,680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554,847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$ 1,280,527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809,484</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610,712</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1,420,196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304,179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One to two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16,981</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4,483</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to three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Three to four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to five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$ 1,884,732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$ 1,356,461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$ 3,241,193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Time certificates of deposit in denominations of $250,000 or more, in the aggregate, were $1.4 billion and $1.5 billion as of September 30, 2026 and December 31, 2025, respectively. Overdrawn deposit accounts are classified as loans and totaled $4.0 million and $3.2 million as of September 30,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Loss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(loss) is defined as the revenues, expenses, gains and losses that are included in comprehensive income (loss), but excluded from net income. The Company’s significant items of accumulated other comprehensive income (loss) are pension and other benefits, net unrealized gains or losses on investment securities and net unrealized gains or losses on cash flow derivative hedges. The Company utilizes a security-by-security approach to releasing income tax effects from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Changes in accumulated other comprehensive income (loss) for the three and nine months ended September 30, 2026 and 2025 are presented below:</w:t>
      </w:r>
    </w:p>
    <w:p>
      <w:pPr>
        <w:ind w:left="7460"/>
        <w:spacing w:after="0" w:line="231" w:lineRule="auto"/>
        <w:rPr>
          <w:sz w:val="20"/>
          <w:szCs w:val="20"/>
          <w:color w:val="auto"/>
        </w:rPr>
      </w:pPr>
      <w:r>
        <w:rPr>
          <w:rFonts w:ascii="Times New Roman" w:cs="Times New Roman" w:eastAsia="Times New Roman" w:hAnsi="Times New Roman"/>
          <w:sz w:val="14"/>
          <w:szCs w:val="14"/>
          <w:b w:val="1"/>
          <w:bCs w:val="1"/>
          <w:color w:val="auto"/>
        </w:rPr>
        <w:t>Income</w:t>
      </w:r>
    </w:p>
    <w:p>
      <w:pPr>
        <w:ind w:left="7600"/>
        <w:spacing w:after="0"/>
        <w:rPr>
          <w:sz w:val="20"/>
          <w:szCs w:val="20"/>
          <w:color w:val="auto"/>
        </w:rPr>
      </w:pPr>
      <w:r>
        <w:rPr>
          <w:rFonts w:ascii="Times New Roman" w:cs="Times New Roman" w:eastAsia="Times New Roman" w:hAnsi="Times New Roman"/>
          <w:sz w:val="14"/>
          <w:szCs w:val="14"/>
          <w:b w:val="1"/>
          <w:bCs w:val="1"/>
          <w:color w:val="auto"/>
        </w:rPr>
        <w:t>Tax</w:t>
      </w:r>
    </w:p>
    <w:tbl>
      <w:tblPr>
        <w:tblLayout w:type="fixed"/>
        <w:tblInd w:w="0" w:type="dxa"/>
        <w:tblCellMar>
          <w:top w:w="0" w:type="dxa"/>
          <w:left w:w="0" w:type="dxa"/>
          <w:bottom w:w="0" w:type="dxa"/>
          <w:right w:w="0" w:type="dxa"/>
        </w:tblCellMar>
      </w:tblPr>
      <w:tr>
        <w:trPr>
          <w:trHeight w:val="145"/>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tcPr>
          <w:p>
            <w:pPr>
              <w:spacing w:after="0"/>
              <w:rPr>
                <w:sz w:val="12"/>
                <w:szCs w:val="12"/>
                <w:color w:val="auto"/>
              </w:rPr>
            </w:pPr>
          </w:p>
        </w:tc>
        <w:tc>
          <w:tcPr>
            <w:tcW w:w="82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of</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0" w:type="dxa"/>
            <w:vAlign w:val="bottom"/>
          </w:tcPr>
          <w:p>
            <w:pPr>
              <w:spacing w:after="0"/>
              <w:rPr>
                <w:sz w:val="1"/>
                <w:szCs w:val="1"/>
                <w:color w:val="auto"/>
              </w:rPr>
            </w:pPr>
          </w:p>
        </w:tc>
      </w:tr>
      <w:tr>
        <w:trPr>
          <w:trHeight w:val="209"/>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at June 30, 2026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(490,733)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$ 130,940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(359,793)</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losses arising during the period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(60,987)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(44,718)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net losses to net income: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unrealized holding losses on held-to-maturity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6,975</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(37,743)</w:t>
            </w:r>
          </w:p>
        </w:tc>
        <w:tc>
          <w:tcPr>
            <w:tcW w:w="0" w:type="dxa"/>
            <w:vAlign w:val="bottom"/>
          </w:tcPr>
          <w:p>
            <w:pPr>
              <w:spacing w:after="0"/>
              <w:rPr>
                <w:sz w:val="1"/>
                <w:szCs w:val="1"/>
                <w:color w:val="auto"/>
              </w:rPr>
            </w:pPr>
          </w:p>
        </w:tc>
      </w:tr>
      <w:tr>
        <w:trPr>
          <w:trHeight w:val="209"/>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net losses arising during the period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(5,622)</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net gains included in net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excluded from the assessment of hedge effectiveness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(6,290)</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(44,033)</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at September 30, 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(550,860)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$ 147,034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(403,826)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continue"/>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at December 31, 2025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(502,104)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$ 133,964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(368,140)</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losses arising during the period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(71,642)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(52,531)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net losses to net income: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unrealized holding losses on held-to-maturity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(8,838)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24,293</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(38,511)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(28,238)</w:t>
            </w:r>
          </w:p>
        </w:tc>
        <w:tc>
          <w:tcPr>
            <w:tcW w:w="0" w:type="dxa"/>
            <w:vAlign w:val="bottom"/>
          </w:tcPr>
          <w:p>
            <w:pPr>
              <w:spacing w:after="0"/>
              <w:rPr>
                <w:sz w:val="1"/>
                <w:szCs w:val="1"/>
                <w:color w:val="auto"/>
              </w:rPr>
            </w:pPr>
          </w:p>
        </w:tc>
      </w:tr>
      <w:tr>
        <w:trPr>
          <w:trHeight w:val="209"/>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net losses arising during the period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(7,808)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(5,677)</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net gains included in net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excluded from the assessment of hedge effectiveness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(7,448)</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(48,756)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(35,686)</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at September 30, 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(550,860)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$ 147,034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(403,826)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continue"/>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0" w:type="dxa"/>
            <w:vAlign w:val="bottom"/>
          </w:tcPr>
          <w:p>
            <w:pPr>
              <w:spacing w:after="0"/>
              <w:rPr>
                <w:sz w:val="1"/>
                <w:szCs w:val="1"/>
                <w:color w:val="auto"/>
              </w:rPr>
            </w:pPr>
          </w:p>
        </w:tc>
      </w:tr>
      <w:tr>
        <w:trPr>
          <w:trHeight w:val="209"/>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at June 30, 2025</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(555,078)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$ 148,070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(407,008)</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gains arising during the period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net losses to net income: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unrealized holding losses on held-to-maturity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09"/>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net gains arising during the period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excluded from the assessment of hedge effectiveness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at September 30, 2025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(529,360)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$ 141,211</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(388,149)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Income</w:t>
      </w:r>
    </w:p>
    <w:p>
      <w:pPr>
        <w:spacing w:after="0" w:line="6"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Tax</w:t>
      </w:r>
    </w:p>
    <w:tbl>
      <w:tblPr>
        <w:tblLayout w:type="fixed"/>
        <w:tblInd w:w="0" w:type="dxa"/>
        <w:tblCellMar>
          <w:top w:w="0" w:type="dxa"/>
          <w:left w:w="0" w:type="dxa"/>
          <w:bottom w:w="0" w:type="dxa"/>
          <w:right w:w="0" w:type="dxa"/>
        </w:tblCellMar>
      </w:tblPr>
      <w:tr>
        <w:trPr>
          <w:trHeight w:val="13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40" w:type="dxa"/>
            <w:vAlign w:val="bottom"/>
          </w:tcPr>
          <w:p>
            <w:pPr>
              <w:jc w:val="right"/>
              <w:ind w:right="115"/>
              <w:spacing w:after="0" w:line="132" w:lineRule="exact"/>
              <w:rPr>
                <w:sz w:val="20"/>
                <w:szCs w:val="20"/>
                <w:color w:val="auto"/>
              </w:rPr>
            </w:pPr>
            <w:r>
              <w:rPr>
                <w:rFonts w:ascii="Times New Roman" w:cs="Times New Roman" w:eastAsia="Times New Roman" w:hAnsi="Times New Roman"/>
                <w:sz w:val="14"/>
                <w:szCs w:val="14"/>
                <w:b w:val="1"/>
                <w:bCs w:val="1"/>
                <w:color w:val="auto"/>
              </w:rPr>
              <w:t>Pre-tax</w:t>
            </w:r>
          </w:p>
        </w:tc>
        <w:tc>
          <w:tcPr>
            <w:tcW w:w="180" w:type="dxa"/>
            <w:vAlign w:val="bottom"/>
          </w:tcPr>
          <w:p>
            <w:pPr>
              <w:spacing w:after="0"/>
              <w:rPr>
                <w:sz w:val="11"/>
                <w:szCs w:val="11"/>
                <w:color w:val="auto"/>
              </w:rPr>
            </w:pPr>
          </w:p>
        </w:tc>
        <w:tc>
          <w:tcPr>
            <w:tcW w:w="94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4"/>
                <w:szCs w:val="14"/>
                <w:b w:val="1"/>
                <w:bCs w:val="1"/>
                <w:color w:val="auto"/>
              </w:rPr>
              <w:t>Benefit</w:t>
            </w:r>
          </w:p>
        </w:tc>
        <w:tc>
          <w:tcPr>
            <w:tcW w:w="40" w:type="dxa"/>
            <w:vAlign w:val="bottom"/>
          </w:tcPr>
          <w:p>
            <w:pPr>
              <w:spacing w:after="0"/>
              <w:rPr>
                <w:sz w:val="11"/>
                <w:szCs w:val="11"/>
                <w:color w:val="auto"/>
              </w:rPr>
            </w:pPr>
          </w:p>
        </w:tc>
        <w:tc>
          <w:tcPr>
            <w:tcW w:w="840" w:type="dxa"/>
            <w:vAlign w:val="bottom"/>
          </w:tcPr>
          <w:p>
            <w:pPr>
              <w:jc w:val="right"/>
              <w:ind w:right="155"/>
              <w:spacing w:after="0" w:line="132" w:lineRule="exact"/>
              <w:rPr>
                <w:sz w:val="20"/>
                <w:szCs w:val="20"/>
                <w:color w:val="auto"/>
              </w:rPr>
            </w:pPr>
            <w:r>
              <w:rPr>
                <w:rFonts w:ascii="Times New Roman" w:cs="Times New Roman" w:eastAsia="Times New Roman" w:hAnsi="Times New Roman"/>
                <w:sz w:val="14"/>
                <w:szCs w:val="14"/>
                <w:b w:val="1"/>
                <w:bCs w:val="1"/>
                <w:color w:val="auto"/>
              </w:rPr>
              <w:t>Net of</w:t>
            </w:r>
          </w:p>
        </w:tc>
        <w:tc>
          <w:tcPr>
            <w:tcW w:w="0" w:type="dxa"/>
            <w:vAlign w:val="bottom"/>
          </w:tcPr>
          <w:p>
            <w:pPr>
              <w:spacing w:after="0"/>
              <w:rPr>
                <w:sz w:val="1"/>
                <w:szCs w:val="1"/>
                <w:color w:val="auto"/>
              </w:rPr>
            </w:pPr>
          </w:p>
        </w:tc>
      </w:tr>
      <w:tr>
        <w:trPr>
          <w:trHeight w:val="173"/>
        </w:trPr>
        <w:tc>
          <w:tcPr>
            <w:tcW w:w="60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(Expense)  ​</w:t>
            </w:r>
          </w:p>
        </w:tc>
        <w:tc>
          <w:tcPr>
            <w:tcW w:w="40" w:type="dxa"/>
            <w:vAlign w:val="bottom"/>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at December 31, 2024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(632,793)</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$ 168,799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net gains arising during the period</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net losses to net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unrealized holding losses on held-to-maturity securities</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net gains to net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securities gains, net</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net gains arising during the period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excluded from the assessment of hedge effectiveness</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103,433</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at September 30, 2025</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(529,360)</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$ 141,211</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(388,149)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changes in accumulated other comprehensive income (loss), net of tax, for the periods indicated:</w:t>
      </w: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Pensions</w:t>
            </w:r>
          </w:p>
        </w:tc>
        <w:tc>
          <w:tcPr>
            <w:tcW w:w="80" w:type="dxa"/>
            <w:vAlign w:val="bottom"/>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80" w:type="dxa"/>
            <w:vAlign w:val="bottom"/>
          </w:tcPr>
          <w:p>
            <w:pPr>
              <w:spacing w:after="0"/>
              <w:rPr>
                <w:sz w:val="11"/>
                <w:szCs w:val="11"/>
                <w:color w:val="auto"/>
              </w:rPr>
            </w:pPr>
          </w:p>
        </w:tc>
        <w:tc>
          <w:tcPr>
            <w:tcW w:w="9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Benefits</w:t>
            </w:r>
          </w:p>
        </w:tc>
        <w:tc>
          <w:tcPr>
            <w:tcW w:w="220" w:type="dxa"/>
            <w:vAlign w:val="bottom"/>
            <w:gridSpan w:val="2"/>
            <w:vMerge w:val="continue"/>
          </w:tcPr>
          <w:p>
            <w:pPr>
              <w:spacing w:after="0"/>
              <w:rPr>
                <w:sz w:val="15"/>
                <w:szCs w:val="15"/>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20" w:type="dxa"/>
            <w:vAlign w:val="bottom"/>
            <w:gridSpan w:val="2"/>
            <w:vMerge w:val="continue"/>
          </w:tcPr>
          <w:p>
            <w:pPr>
              <w:spacing w:after="0"/>
              <w:rPr>
                <w:sz w:val="15"/>
                <w:szCs w:val="15"/>
                <w:color w:val="auto"/>
              </w:rPr>
            </w:pP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(4,290)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(132,820)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(220,982)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(44,718)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(44,033)</w:t>
            </w:r>
          </w:p>
        </w:tc>
        <w:tc>
          <w:tcPr>
            <w:tcW w:w="0" w:type="dxa"/>
            <w:vAlign w:val="bottom"/>
          </w:tcPr>
          <w:p>
            <w:pPr>
              <w:spacing w:after="0"/>
              <w:rPr>
                <w:sz w:val="1"/>
                <w:szCs w:val="1"/>
                <w:color w:val="auto"/>
              </w:rPr>
            </w:pPr>
          </w:p>
        </w:tc>
      </w:tr>
      <w:tr>
        <w:trPr>
          <w:trHeight w:val="25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(4,290)</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(177,538)</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(214,007)</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(7,991)</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(403,826)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(4,290)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(238,300)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(52,531)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24,293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(4,290)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(214,007)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0" w:type="dxa"/>
            <w:vAlign w:val="bottom"/>
          </w:tcPr>
          <w:p>
            <w:pPr>
              <w:spacing w:after="0"/>
              <w:rPr>
                <w:sz w:val="1"/>
                <w:szCs w:val="1"/>
                <w:color w:val="auto"/>
              </w:rPr>
            </w:pPr>
          </w:p>
        </w:tc>
      </w:tr>
      <w:tr>
        <w:trPr>
          <w:trHeight w:val="25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(1,879)</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(140,326)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(245,694)</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Regulatory Capital Requirements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Federal and state laws and regulations limit the amount of dividends the Company may declare or pay. The Company depends primarily on dividends from FHB as the source of funds for the Company’s payment of dividends.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imposed by federal banking agencies. Failure to meet minimum capital requirements can initiate certain mandatory, and possibly additional discretionary, actions by regulators that, if undertaken, could have a direct material effect on the Company’s and the Bank’s operating activities and financial condition. Under capital adequacy guidelines and the regulatory framework for prompt corrective action, the Company and Bank must meet specific capital guidelines that involve quantitative measures of its assets and certain off-balance sheet items. The capital amounts and classifications are also subject to qualitative judgments by the regulators about components, risk weightings and other factors.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Bank to maintain minimum amounts and ratios of Common Equity Tier 1 (“CET1”) capital, Tier 1 capital and total capital to risk-weighted assets, as well as a minimum leverage ratio.</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sets forth those ratios at September 30, 2026 and December 31, 2025: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First Hawaiian, Inc.</w:t>
            </w:r>
          </w:p>
        </w:tc>
        <w:tc>
          <w:tcPr>
            <w:tcW w:w="2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First Hawaiian</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Well-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Bank</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0" w:type="dxa"/>
            <w:vAlign w:val="bottom"/>
          </w:tcPr>
          <w:p>
            <w:pPr>
              <w:spacing w:after="0"/>
              <w:rPr>
                <w:sz w:val="1"/>
                <w:szCs w:val="1"/>
                <w:color w:val="auto"/>
              </w:rPr>
            </w:pPr>
          </w:p>
        </w:tc>
      </w:tr>
      <w:tr>
        <w:trPr>
          <w:trHeight w:val="149"/>
        </w:trPr>
        <w:tc>
          <w:tcPr>
            <w:tcW w:w="3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5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Ratio</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 Ratio</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2"/>
                <w:szCs w:val="12"/>
                <w:b w:val="1"/>
                <w:bCs w:val="1"/>
                <w:color w:val="auto"/>
              </w:rPr>
              <w:t>Ratio</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 xml:space="preserve">   ​</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2"/>
                <w:szCs w:val="12"/>
                <w:b w:val="1"/>
                <w:bCs w:val="1"/>
                <w:color w:val="auto"/>
              </w:rPr>
              <w:t>Ratio</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$ 2,224,060</w:t>
            </w:r>
          </w:p>
        </w:tc>
        <w:tc>
          <w:tcPr>
            <w:tcW w:w="17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13.50 % $ 2,218,746</w:t>
            </w: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13.47 %</w:t>
            </w:r>
          </w:p>
        </w:tc>
        <w:tc>
          <w:tcPr>
            <w:tcW w:w="9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4.50 %</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6.50 %</w:t>
            </w:r>
          </w:p>
        </w:tc>
        <w:tc>
          <w:tcPr>
            <w:tcW w:w="0" w:type="dxa"/>
            <w:vAlign w:val="bottom"/>
          </w:tcPr>
          <w:p>
            <w:pPr>
              <w:spacing w:after="0"/>
              <w:rPr>
                <w:sz w:val="1"/>
                <w:szCs w:val="1"/>
                <w:color w:val="auto"/>
              </w:rPr>
            </w:pP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gridSpan w:val="2"/>
            <w:vMerge w:val="continue"/>
          </w:tcPr>
          <w:p>
            <w:pPr>
              <w:spacing w:after="0"/>
              <w:rPr>
                <w:sz w:val="20"/>
                <w:szCs w:val="20"/>
                <w:color w:val="auto"/>
              </w:rPr>
            </w:pPr>
          </w:p>
        </w:tc>
        <w:tc>
          <w:tcPr>
            <w:tcW w:w="1780" w:type="dxa"/>
            <w:vAlign w:val="bottom"/>
            <w:gridSpan w:val="5"/>
            <w:vMerge w:val="continue"/>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2,224,060</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13.50 %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2,218,746</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13.47 %</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6.00 %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2,428,148</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14.74 %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2,422,834</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14.71 %</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8.00 %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 (leverage ratio)</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2,224,060</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9.61 %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2,218,746</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9.59 %</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4.00 %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$ 2,142,013</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13.17 %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$ 2,129,855</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13.10 %</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4.50 %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2,142,013</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13.17 %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2,129,855</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13.10 %</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6.00 %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2,345,269</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14.42 %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2,333,149</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14.35 %</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8.00 %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 (leverage ratio)</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2,142,013</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9.27 %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2,129,855</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9.22 %</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4.00 %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right="20" w:hanging="315"/>
        <w:spacing w:after="0" w:line="302" w:lineRule="auto"/>
        <w:tabs>
          <w:tab w:leader="none" w:pos="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 defined by the regulations issued by the Board of Governors of the Federal Reserve System, the Office of the Comptroller of the Currency, and Federal Deposit Insurance Corporation (“FDIC”).</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Federal regulations require a 2.5% capital conservation buffer designed to absorb losses during periods of economic stress. The capital conservation buffer is composed entirely of CET1, on top of these minimum risk weighted asset ratios, effectively resulting in minimum ratios of (i) 7% CET1 to risk-weighted assets, (ii) 8.5% Tier 1 capital to risk-weighted assets, and (iii) 10.5% total capital to risk-weighted assets. As of September 30, 2026, under the bank regulatory capital guidelines, the Company and Bank were both classified as well-capitalized. Management is not aware of any conditions or events that have occurred since September 30, 2026, to change the capital adequacy category of the Company or the Bank.</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2026, the Company announced a stock repurchase program for up to $250.0 million of its outstanding common stock during 2026. Under this plan, the Company repurchased 1,307,738 shares at a total cost of $32.0 million during the nine months ended September 30, 2026. The timing and exact amount of stock repurchases, if any, will be subject to management’s discretion and various factors, including the Company’s capital position and financial performance, as well as market conditions. The stock repurchase program may be suspended, terminated or modified at any time for any reason.</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2026, the Company’s Board of Directors declared a quarterly cash dividend of $0.26 per share on our outstanding shares. The dividend is to be paid on November 27, 2026 to shareholders of record at the close of business on November 16,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firstLine="311"/>
        <w:spacing w:after="0" w:line="277" w:lineRule="auto"/>
        <w:rPr>
          <w:sz w:val="20"/>
          <w:szCs w:val="20"/>
          <w:color w:val="auto"/>
        </w:rPr>
      </w:pPr>
      <w:r>
        <w:rPr>
          <w:rFonts w:ascii="Times New Roman" w:cs="Times New Roman" w:eastAsia="Times New Roman" w:hAnsi="Times New Roman"/>
          <w:sz w:val="17"/>
          <w:szCs w:val="17"/>
          <w:color w:val="auto"/>
        </w:rPr>
        <w:t>On April 1, 2016, a series of reorganization transactions were undertaken to facilitate FHI’s initial public offering (“Reorganization Transactions”). FHI distributed its interest in BancWest Holding Inc. (“BWHI”), including Bank of the West (“BOW”), to BNP Paribas (“BNPP”) so that BWHI was held directly by BNPP. As a result, various tax or other contingent liabilities could arise related to the business of BOW, or related to the Company’s operations prior to the Reorganization Transactions when it was known as BancWest Corporation, including its then wholly owned subsidiary, BOW.</w:t>
      </w:r>
    </w:p>
    <w:p>
      <w:pPr>
        <w:spacing w:after="0" w:line="168"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discussed above, the Company recorded unrecognized tax benefits and interest and penalties of $121.4 million and $7.0 million, respectively. Included in the balance of the unrecognized tax benefits as of December 31, 2025, was $141.2 million attributable to tax refund claims with respect to tax years 2005 through 2013 and 2015 in the State of California. Such refund claims were filed by the Company in 2015, 2019 and 2021, on behalf of the Company and its affiliates, including BOW, concerning the determination of taxes for which no benefit is currently recognized.</w:t>
      </w:r>
    </w:p>
    <w:p>
      <w:pPr>
        <w:spacing w:after="0" w:line="187" w:lineRule="exact"/>
        <w:rPr>
          <w:sz w:val="20"/>
          <w:szCs w:val="20"/>
          <w:color w:val="auto"/>
        </w:rPr>
      </w:pPr>
    </w:p>
    <w:p>
      <w:pPr>
        <w:jc w:val="both"/>
        <w:ind w:firstLine="311"/>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2026, a settlement agreement related to tax years 2005-2013 was approved by the California Franchise Tax Board in the amount of $90.3 million. The Company, as agent for BNPP, fully remitted the $90.3 million tax settlement to BNPP pursuant to a tax sharing agreement. The Company also concluded that it had no control over the funds and that BNPP is the owner of such funds. As such, the settlement amount was excluded from the consolidated statements of cash flows for the nine months ended September 30, 2026. However, the settlement resolved certain unrecognized tax benefits of $31.2 million and indemnified tax receivables of $24.3 million for the Company. As a result, the Company recorded $24.3 million to other noninterest expense and an income tax benefit of $31.2 million during the three and nine months ended September 30, 2026, which is reflected in the Company’s unaudited interim consolidated financial statements as of and for the three and nine months ended September 30, 2026. The tax refund claim with respect to the 2015 tax year is $20.4 million and was still included in the balance of the unrecognized tax benefits as of September 30, 2026.</w:t>
      </w:r>
    </w:p>
    <w:p>
      <w:pPr>
        <w:spacing w:after="0" w:line="194" w:lineRule="exact"/>
        <w:rPr>
          <w:sz w:val="20"/>
          <w:szCs w:val="20"/>
          <w:color w:val="auto"/>
        </w:rPr>
      </w:pPr>
    </w:p>
    <w:p>
      <w:pPr>
        <w:jc w:val="both"/>
        <w:ind w:firstLine="311"/>
        <w:spacing w:after="0" w:line="282" w:lineRule="auto"/>
        <w:rPr>
          <w:sz w:val="20"/>
          <w:szCs w:val="20"/>
          <w:color w:val="auto"/>
        </w:rPr>
      </w:pPr>
      <w:r>
        <w:rPr>
          <w:rFonts w:ascii="Times New Roman" w:cs="Times New Roman" w:eastAsia="Times New Roman" w:hAnsi="Times New Roman"/>
          <w:sz w:val="18"/>
          <w:szCs w:val="18"/>
          <w:color w:val="auto"/>
        </w:rPr>
        <w:t>Due to the significant tax settlement described above, the Company updated the following reconciliation of the Federal statutory income tax rate to the effective income tax rate for the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p>
        </w:tc>
        <w:tc>
          <w:tcPr>
            <w:tcW w:w="60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expense and rate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34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reconciling items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Low-income housing tax credits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(5,690)</w:t>
            </w:r>
          </w:p>
        </w:tc>
        <w:tc>
          <w:tcPr>
            <w:tcW w:w="60" w:type="dxa"/>
            <w:vAlign w:val="bottom"/>
          </w:tcPr>
          <w:p>
            <w:pPr>
              <w:spacing w:after="0"/>
              <w:rPr>
                <w:sz w:val="18"/>
                <w:szCs w:val="18"/>
                <w:color w:val="auto"/>
              </w:rPr>
            </w:pPr>
          </w:p>
        </w:tc>
        <w:tc>
          <w:tcPr>
            <w:tcW w:w="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(3,828)</w:t>
            </w:r>
          </w:p>
        </w:tc>
        <w:tc>
          <w:tcPr>
            <w:tcW w:w="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 credits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(3,636)</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credits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indemnification tax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BOLI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(3,339)</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Cross-border tax laws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(321)</w:t>
            </w:r>
          </w:p>
        </w:tc>
        <w:tc>
          <w:tcPr>
            <w:tcW w:w="60" w:type="dxa"/>
            <w:vAlign w:val="bottom"/>
          </w:tcPr>
          <w:p>
            <w:pPr>
              <w:spacing w:after="0"/>
              <w:rPr>
                <w:sz w:val="18"/>
                <w:szCs w:val="18"/>
                <w:color w:val="auto"/>
              </w:rPr>
            </w:pPr>
          </w:p>
        </w:tc>
        <w:tc>
          <w:tcPr>
            <w:tcW w:w="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State and local taxes, net of federal income tax benefit</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(23,290)</w:t>
            </w:r>
          </w:p>
        </w:tc>
        <w:tc>
          <w:tcPr>
            <w:tcW w:w="60" w:type="dxa"/>
            <w:vAlign w:val="bottom"/>
          </w:tcPr>
          <w:p>
            <w:pPr>
              <w:spacing w:after="0"/>
              <w:rPr>
                <w:sz w:val="18"/>
                <w:szCs w:val="18"/>
                <w:color w:val="auto"/>
              </w:rPr>
            </w:pPr>
          </w:p>
        </w:tc>
        <w:tc>
          <w:tcPr>
            <w:tcW w:w="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 and effective income tax rate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w:t>
            </w:r>
          </w:p>
        </w:tc>
        <w:tc>
          <w:tcPr>
            <w:tcW w:w="34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State taxes in Hawaii and California made up the majority (greater than 50 percent) of the tax effect in this category.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1"/>
        <w:spacing w:after="0" w:line="282" w:lineRule="auto"/>
        <w:rPr>
          <w:sz w:val="20"/>
          <w:szCs w:val="20"/>
          <w:color w:val="auto"/>
        </w:rPr>
      </w:pPr>
      <w:r>
        <w:rPr>
          <w:rFonts w:ascii="Times New Roman" w:cs="Times New Roman" w:eastAsia="Times New Roman" w:hAnsi="Times New Roman"/>
          <w:sz w:val="18"/>
          <w:szCs w:val="18"/>
          <w:color w:val="auto"/>
        </w:rPr>
        <w:t>In addition, the Company also updated the following reconciliation of the amount of unrecognized tax benefits for the nine months ended September 30,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0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58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Tax</w:t>
            </w:r>
          </w:p>
        </w:tc>
        <w:tc>
          <w:tcPr>
            <w:tcW w:w="40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58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42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Penalties</w:t>
            </w:r>
          </w:p>
        </w:tc>
        <w:tc>
          <w:tcPr>
            <w:tcW w:w="5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180,112</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31,052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211,164</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current year tax positions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for Reorganization Transactions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prior years' tax positions: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Accrual of interest and penalties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Reductions for prior years' tax positions: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Expiration of statute of limitations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(997)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(997)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Resolutions with tax authorities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(137,832)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(20,896)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(158,728)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41,665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53,790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for the nine months ended September 30, 2026 and the year ended December 31, 2025 was $26.0 million and $55.7 million, respectively, of unrecognized tax benefits that, if recognized, would impact the effective tax rate.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229"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8"/>
          <w:szCs w:val="18"/>
          <w:color w:val="auto"/>
        </w:rPr>
        <w:t>The Company enters into derivative contracts primarily to manage its interest rate risk, as well as for customer accommodation purposes. Derivatives used for risk management purposes consist of interest rate floors, swaps, and collars that are designated as either a fair value hedge or a cash flow hedge. The derivatives are recognized on the unaudited interim consolidated balance sheets as either assets or liabilities at fair value. Derivatives entered into for customer accommodation purposes consist of various free-standing interest rate derivative products and foreign exchange contracts. The Company is party to master netting arrangements with its financial institution counterparties; however, the Company does not offset assets and liabilities under these arrangements for financial statement presentation purposes.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notional amounts and fair values of derivatives held by the Company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4"/>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4"/>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5"/>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Asset</w:t>
            </w:r>
          </w:p>
        </w:tc>
        <w:tc>
          <w:tcPr>
            <w:tcW w:w="60" w:type="dxa"/>
            <w:vAlign w:val="bottom"/>
          </w:tcPr>
          <w:p>
            <w:pPr>
              <w:spacing w:after="0"/>
              <w:rPr>
                <w:sz w:val="10"/>
                <w:szCs w:val="10"/>
                <w:color w:val="auto"/>
              </w:rPr>
            </w:pPr>
          </w:p>
        </w:tc>
        <w:tc>
          <w:tcPr>
            <w:tcW w:w="800" w:type="dxa"/>
            <w:vAlign w:val="bottom"/>
          </w:tcPr>
          <w:p>
            <w:pPr>
              <w:jc w:val="right"/>
              <w:ind w:right="58"/>
              <w:spacing w:after="0" w:line="115" w:lineRule="exact"/>
              <w:rPr>
                <w:sz w:val="20"/>
                <w:szCs w:val="20"/>
                <w:color w:val="auto"/>
              </w:rPr>
            </w:pPr>
            <w:r>
              <w:rPr>
                <w:rFonts w:ascii="Times New Roman" w:cs="Times New Roman" w:eastAsia="Times New Roman" w:hAnsi="Times New Roman"/>
                <w:sz w:val="13"/>
                <w:szCs w:val="13"/>
                <w:b w:val="1"/>
                <w:bCs w:val="1"/>
                <w:color w:val="auto"/>
              </w:rPr>
              <w:t>Liability</w:t>
            </w:r>
          </w:p>
        </w:tc>
        <w:tc>
          <w:tcPr>
            <w:tcW w:w="40" w:type="dxa"/>
            <w:vAlign w:val="bottom"/>
          </w:tcPr>
          <w:p>
            <w:pPr>
              <w:spacing w:after="0"/>
              <w:rPr>
                <w:sz w:val="10"/>
                <w:szCs w:val="10"/>
                <w:color w:val="auto"/>
              </w:rPr>
            </w:pPr>
          </w:p>
        </w:tc>
        <w:tc>
          <w:tcPr>
            <w:tcW w:w="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75"/>
              <w:spacing w:after="0" w:line="115" w:lineRule="exact"/>
              <w:rPr>
                <w:sz w:val="20"/>
                <w:szCs w:val="20"/>
                <w:color w:val="auto"/>
              </w:rPr>
            </w:pPr>
            <w:r>
              <w:rPr>
                <w:rFonts w:ascii="Times New Roman" w:cs="Times New Roman" w:eastAsia="Times New Roman" w:hAnsi="Times New Roman"/>
                <w:sz w:val="13"/>
                <w:szCs w:val="13"/>
                <w:b w:val="1"/>
                <w:bCs w:val="1"/>
                <w:color w:val="auto"/>
              </w:rPr>
              <w:t>Asset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3"/>
              <w:spacing w:after="0" w:line="115" w:lineRule="exact"/>
              <w:rPr>
                <w:sz w:val="20"/>
                <w:szCs w:val="20"/>
                <w:color w:val="auto"/>
              </w:rPr>
            </w:pPr>
            <w:r>
              <w:rPr>
                <w:rFonts w:ascii="Times New Roman" w:cs="Times New Roman" w:eastAsia="Times New Roman" w:hAnsi="Times New Roman"/>
                <w:sz w:val="13"/>
                <w:szCs w:val="13"/>
                <w:b w:val="1"/>
                <w:bCs w:val="1"/>
                <w:color w:val="auto"/>
              </w:rPr>
              <w:t>Liability</w:t>
            </w:r>
          </w:p>
        </w:tc>
        <w:tc>
          <w:tcPr>
            <w:tcW w:w="0" w:type="dxa"/>
            <w:vAlign w:val="bottom"/>
          </w:tcPr>
          <w:p>
            <w:pPr>
              <w:spacing w:after="0"/>
              <w:rPr>
                <w:sz w:val="1"/>
                <w:szCs w:val="1"/>
                <w:color w:val="auto"/>
              </w:rPr>
            </w:pPr>
          </w:p>
        </w:tc>
      </w:tr>
      <w:tr>
        <w:trPr>
          <w:trHeight w:val="175"/>
        </w:trPr>
        <w:tc>
          <w:tcPr>
            <w:tcW w:w="35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4"/>
          </w:tcPr>
          <w:p>
            <w:pPr>
              <w:ind w:left="60"/>
              <w:spacing w:after="0" w:line="17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Derivatives</w:t>
            </w:r>
            <w:r>
              <w:rPr>
                <w:rFonts w:ascii="Times New Roman" w:cs="Times New Roman" w:eastAsia="Times New Roman" w:hAnsi="Times New Roman"/>
                <w:sz w:val="20"/>
                <w:szCs w:val="20"/>
                <w:b w:val="1"/>
                <w:bCs w:val="1"/>
                <w:color w:val="auto"/>
                <w:vertAlign w:val="superscript"/>
              </w:rPr>
              <w:t>(1)</w:t>
            </w:r>
          </w:p>
        </w:tc>
        <w:tc>
          <w:tcPr>
            <w:tcW w:w="90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4"/>
                <w:szCs w:val="14"/>
                <w:b w:val="1"/>
                <w:bCs w:val="1"/>
                <w:color w:val="auto"/>
              </w:rPr>
              <w:t>​Derivatives</w:t>
            </w:r>
            <w:r>
              <w:rPr>
                <w:rFonts w:ascii="Times New Roman" w:cs="Times New Roman" w:eastAsia="Times New Roman" w:hAnsi="Times New Roman"/>
                <w:sz w:val="20"/>
                <w:szCs w:val="20"/>
                <w:b w:val="1"/>
                <w:bCs w:val="1"/>
                <w:color w:val="auto"/>
                <w:vertAlign w:val="superscript"/>
              </w:rPr>
              <w:t>(2)</w:t>
            </w:r>
          </w:p>
        </w:tc>
        <w:tc>
          <w:tcPr>
            <w:tcW w:w="180" w:type="dxa"/>
            <w:vAlign w:val="bottom"/>
            <w:gridSpan w:val="2"/>
            <w:vMerge w:val="continue"/>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4"/>
                <w:szCs w:val="14"/>
                <w:color w:val="auto"/>
                <w:w w:val="98"/>
              </w:rPr>
              <w:t>​</w:t>
            </w:r>
            <w:r>
              <w:rPr>
                <w:rFonts w:ascii="Times New Roman" w:cs="Times New Roman" w:eastAsia="Times New Roman" w:hAnsi="Times New Roman"/>
                <w:sz w:val="14"/>
                <w:szCs w:val="14"/>
                <w:b w:val="1"/>
                <w:bCs w:val="1"/>
                <w:color w:val="auto"/>
                <w:w w:val="98"/>
              </w:rPr>
              <w:t>Derivatives</w:t>
            </w:r>
            <w:r>
              <w:rPr>
                <w:rFonts w:ascii="Times New Roman" w:cs="Times New Roman" w:eastAsia="Times New Roman" w:hAnsi="Times New Roman"/>
                <w:sz w:val="20"/>
                <w:szCs w:val="20"/>
                <w:b w:val="1"/>
                <w:bCs w:val="1"/>
                <w:color w:val="auto"/>
                <w:w w:val="98"/>
                <w:vertAlign w:val="superscript"/>
              </w:rPr>
              <w:t>(1)</w:t>
            </w:r>
          </w:p>
        </w:tc>
        <w:tc>
          <w:tcPr>
            <w:tcW w:w="90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4"/>
                <w:szCs w:val="14"/>
                <w:b w:val="1"/>
                <w:bCs w:val="1"/>
                <w:color w:val="auto"/>
                <w:w w:val="98"/>
              </w:rPr>
              <w:t>​Derivatives</w:t>
            </w:r>
            <w:r>
              <w:rPr>
                <w:rFonts w:ascii="Times New Roman" w:cs="Times New Roman" w:eastAsia="Times New Roman" w:hAnsi="Times New Roman"/>
                <w:sz w:val="20"/>
                <w:szCs w:val="20"/>
                <w:b w:val="1"/>
                <w:bCs w:val="1"/>
                <w:color w:val="auto"/>
                <w:w w:val="98"/>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457,188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9,272</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(7,895)</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collars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floors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2,901,820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29,482</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(29,482)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3,018,578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Visa derivative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48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51"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positive fair values of derivative assets are included in other assets.</w:t>
      </w:r>
    </w:p>
    <w:p>
      <w:pPr>
        <w:spacing w:after="0" w:line="27"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negative fair values of derivative liabilities are included in other liabilities.</w:t>
      </w:r>
    </w:p>
    <w:p>
      <w:pPr>
        <w:spacing w:after="0" w:line="222"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Certain interest rate derivatives noted above, are cleared through clearinghouses, rather than directly with counterparties. Those transactions cleared through a clearinghouse require initial margin collateral and variation margin payments depending on the contracts being in a net asset or liability position. As of both September 30, 2026 and December 31, 2025, the amount of initial margin cash collateral posted by the Company was nil. As of both September 30, 2026 and December 31, 2025, the variation margin was nil.</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pledged nil in cash and received $37.0 million in cash as collateral for interest rate derivatives. As of December 31, 2025, the Company pledged nil in cash and received $10.5 million in cash as collateral for interest rate derivatives. As of September 30, 2026 and December 31, 2025, the cash collateral includes the excess initial margin for interest rate derivatives cleared through clearinghouses and cash collateral for interest rate derivatives with financial institution counterparties.</w:t>
      </w:r>
    </w:p>
    <w:p>
      <w:pPr>
        <w:spacing w:after="0" w:line="18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received $39.0 million and $22.5 million, respectively, in securities collateral for interest rate derivatives, which is held in a custodial account and is not recorded on the Company’s unaudited interim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283" w:lineRule="exact"/>
        <w:rPr>
          <w:sz w:val="20"/>
          <w:szCs w:val="20"/>
          <w:color w:val="auto"/>
        </w:rPr>
      </w:pPr>
    </w:p>
    <w:p>
      <w:pPr>
        <w:jc w:val="both"/>
        <w:ind w:firstLine="308"/>
        <w:spacing w:after="0" w:line="261" w:lineRule="auto"/>
        <w:rPr>
          <w:sz w:val="20"/>
          <w:szCs w:val="20"/>
          <w:color w:val="auto"/>
        </w:rPr>
      </w:pPr>
      <w:r>
        <w:rPr>
          <w:rFonts w:ascii="Times New Roman" w:cs="Times New Roman" w:eastAsia="Times New Roman" w:hAnsi="Times New Roman"/>
          <w:sz w:val="18"/>
          <w:szCs w:val="18"/>
          <w:color w:val="auto"/>
        </w:rPr>
        <w:t>To manage the risk related to the Company’s net interest margin, interest rate swaps are utilized to hedge certain fixed-rate loans. These swaps have maturity, amortization and prepayment features that correspond to the loans hedged and are designated and qualify as fair value hedges. Any gain or loss on the swaps, as well as the offsetting loss or gain on the hedged item attributable to the hedged risk, is recognized in current period earnings.</w:t>
      </w:r>
    </w:p>
    <w:p>
      <w:pPr>
        <w:spacing w:after="0" w:line="180"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At September 30, 2026 and December 31, 2025, the Company carried one interest rate swap with a notional amount of $57.2 million and $60.0 million, respectively, which was designated and qualified as a fair value hedge for a commercial and industrial loan. As of September 30, 2026 and December 31, 2025, the interest rate swap had a positive fair value of $9.3 million and $7.5 million, respectively. The swap matures in 2041. The Company received a USD Federal Funds floating rate and paid a fixed rate of 2.07%.</w:t>
      </w:r>
    </w:p>
    <w:p>
      <w:pPr>
        <w:spacing w:after="0" w:line="183" w:lineRule="exact"/>
        <w:rPr>
          <w:sz w:val="20"/>
          <w:szCs w:val="20"/>
          <w:color w:val="auto"/>
        </w:rPr>
      </w:pPr>
    </w:p>
    <w:p>
      <w:pPr>
        <w:jc w:val="both"/>
        <w:ind w:firstLine="311"/>
        <w:spacing w:after="0" w:line="282" w:lineRule="auto"/>
        <w:rPr>
          <w:sz w:val="20"/>
          <w:szCs w:val="20"/>
          <w:color w:val="auto"/>
        </w:rPr>
      </w:pPr>
      <w:r>
        <w:rPr>
          <w:rFonts w:ascii="Times New Roman" w:cs="Times New Roman" w:eastAsia="Times New Roman" w:hAnsi="Times New Roman"/>
          <w:sz w:val="18"/>
          <w:szCs w:val="18"/>
          <w:color w:val="auto"/>
        </w:rPr>
        <w:t>The following table shows the gains and losses recognized in income related to derivatives in fair value hedging relationships for the three and nine months ended September 30, 2026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 (losses) recognized in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54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consolidated statements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54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of income line item</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17"/>
        </w:trPr>
        <w:tc>
          <w:tcPr>
            <w:tcW w:w="20" w:type="dxa"/>
            <w:vAlign w:val="bottom"/>
          </w:tcPr>
          <w:p>
            <w:pPr>
              <w:spacing w:after="0"/>
              <w:rPr>
                <w:sz w:val="10"/>
                <w:szCs w:val="10"/>
                <w:color w:val="auto"/>
              </w:rPr>
            </w:pPr>
          </w:p>
        </w:tc>
        <w:tc>
          <w:tcPr>
            <w:tcW w:w="33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Gains (losses) on fair value hedging relationships</w:t>
            </w:r>
          </w:p>
        </w:tc>
        <w:tc>
          <w:tcPr>
            <w:tcW w:w="18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recognized in interest income:</w:t>
            </w:r>
          </w:p>
        </w:tc>
        <w:tc>
          <w:tcPr>
            <w:tcW w:w="1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Recognized on interest rate swap</w:t>
            </w:r>
          </w:p>
        </w:tc>
        <w:tc>
          <w:tcPr>
            <w:tcW w:w="1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 and lease financing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1,803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Recognized on hedged item</w:t>
            </w: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Loans and lease financing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following amounts were recorded in the unaudited interim consolidated balance sheets related to the cumulative basis adjustments for fair value hedges: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Carrying Amount of the Hedged Asset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4"/>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73"/>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vMerge w:val="continue"/>
          </w:tcPr>
          <w:p>
            <w:pPr>
              <w:spacing w:after="0"/>
              <w:rPr>
                <w:sz w:val="15"/>
                <w:szCs w:val="15"/>
                <w:color w:val="auto"/>
              </w:rPr>
            </w:pP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Carrying Amount of the Hedged Asset</w:t>
            </w:r>
          </w:p>
        </w:tc>
        <w:tc>
          <w:tcPr>
            <w:tcW w:w="0" w:type="dxa"/>
            <w:vAlign w:val="bottom"/>
          </w:tcPr>
          <w:p>
            <w:pPr>
              <w:spacing w:after="0"/>
              <w:rPr>
                <w:sz w:val="1"/>
                <w:szCs w:val="1"/>
                <w:color w:val="auto"/>
              </w:rPr>
            </w:pPr>
          </w:p>
        </w:tc>
      </w:tr>
      <w:tr>
        <w:trPr>
          <w:trHeight w:val="142"/>
        </w:trPr>
        <w:tc>
          <w:tcPr>
            <w:tcW w:w="31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4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31, 2025</w:t>
            </w:r>
          </w:p>
        </w:tc>
        <w:tc>
          <w:tcPr>
            <w:tcW w:w="180" w:type="dxa"/>
            <w:vAlign w:val="bottom"/>
            <w:vMerge w:val="continue"/>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Line item in the consolidated balance sheets in</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which the hedged item is included</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47,873</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52,491</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utilized interest rate collars to manage interest rate risk and protect against downside risk in yields associated with interest payments received on a pool of floating-rate assets. The floating-rate index of the collars (Secured Overnight Financing Rate, or “SOFR”) corresponds to the floating-rate nature of the interest receipts being hedged (based on SOFR). Interest rate collars involve the payments of variable-rate amounts if the collar index exceeds the cap strike rate on the contract and receipts of variable-rate amounts if the collar index falls below the floor strike rate on the contract. No payments are required if the collar index falls between the cap and floor rates. By hedging with interest rate collars, the Company mitigates the adverse impact on interest income associated with possible future decreases in interest rates.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Company carried one interest rate collar with a notional amount of $100.0 million. As of September 30, 2026, the interest rate collar had a negative fair value of $0.1 million. As of December 31, 2025, the interest rate collar had a positive fair value of $0.1 million. The collar matures in 2027. The interest rate collar had a floor strike rate of 2.00% and a cap strike rate of 5.64%.</w:t>
      </w:r>
    </w:p>
    <w:p>
      <w:pPr>
        <w:sectPr>
          <w:pgSz w:w="11900" w:h="16838" w:orient="portrait"/>
          <w:cols w:equalWidth="0" w:num="1">
            <w:col w:w="9120"/>
          </w:cols>
          <w:pgMar w:left="1380" w:top="513" w:right="13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utilized interest rate floors to manage interest rate risk and protect against downside risk in yields associated with interest payments received on a pool of floating-rate assets. The floating-rate index of the floors (SOFR) correspond to the floating-rate nature of the interest receipts being hedged (based on SOFR). An interest rate floor involves the receipt of variable-rate amounts if the floor index falls below the floor strike rate on the contract. No payments are received if the floor index is above the floor strike rate. By hedging with interest rate floors, the Company mitigates the adverse impact on interest income associated with possible future decreases in interest rates.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carried three interest rate floors with notional amounts totaling $300.0 million and a positive fair value of $1.7 million. These interest rate floors were executed between April and September 2025 and will mature in 2028. The Company paid premiums totaling $2.9 million. These interest rate floors have floor strike rates ranging from 2.95% to 3.00%.</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executed six additional interest rate floors with notional amounts totaling $600.0 million and paid premiums totaling $3.8 million. These interest rate floors each have a floor strike rate of 3.00% and will mature in 2029. As such, as of September 30, 2026, the Company carried nine interest rate floors with notional amounts totaling $900.0 million and a positive fair value of $1.8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the Company also utilized an interest rate swap to manage interest rate risk and protect against downside risk in yields associated with interest payments received on a pool of floating-rate assets. The floating-rate index of the swap (SOFR) corresponds to the floating-rate nature of the interest receipts being hedged (based on SOFR). An interest rate swap involves exchanging or swapping interest rate cash flows, usually between floating and fixed interest rate payments. By hedging with an interest rate swap, the Company mitigates the adverse impact on interest income associated with possible future decreases in interest rates.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executed one interest rate swap with a notional amount of $400.0 million. As of September 30, 2026, the interest rate swap had a negative fair value of $7.9 million. The swap will mature in 2029. The Company received a fixed rate of 3.93% and paid 1-month CME Term SOFR.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interest rate collars, floors, and swap are designated and qualify as cash flow hedges. To the extent that the hedge is considered highly effective, the gain or loss on the interest rate collars, floors, and swap is reported as a component of other comprehensive income (“OCI”) and reclassified out of accumulated other comprehensive income (“AOCI”) into earnings in the same period that the hedged transaction affects earnings.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assessment of hedge effectiveness excludes the initial time value of the interest rate floors at inception and on an ongoing basis. This initial time value is recognized as an adjustment to OCI, with an offset to interest income, over the life of the floors through an amortization approach.</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effect of cash flow hedging relationships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8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80" w:type="dxa"/>
            <w:vAlign w:val="bottom"/>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center"/>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net (losses) gains recognized in OCI - included component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net losses recognized in OCI - excluded component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Total pretax net losses recognized in OCI on cash flow derivative hedges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(11,442)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Pretax net gains reclassified from AOCI into income - included</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40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8"/>
                <w:szCs w:val="18"/>
                <w:color w:val="auto"/>
              </w:rPr>
              <w:t>component</w:t>
            </w:r>
            <w:r>
              <w:rPr>
                <w:rFonts w:ascii="Times New Roman" w:cs="Times New Roman" w:eastAsia="Times New Roman" w:hAnsi="Times New Roman"/>
                <w:sz w:val="26"/>
                <w:szCs w:val="26"/>
                <w:color w:val="auto"/>
                <w:vertAlign w:val="superscript"/>
              </w:rPr>
              <w:t>(1)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5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Pretax net losses reclassified from AOCI into income - excluded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gridSpan w:val="2"/>
          </w:tcPr>
          <w:p>
            <w:pPr>
              <w:spacing w:after="0" w:line="242" w:lineRule="exact"/>
              <w:rPr>
                <w:sz w:val="20"/>
                <w:szCs w:val="20"/>
                <w:color w:val="auto"/>
              </w:rPr>
            </w:pPr>
            <w:r>
              <w:rPr>
                <w:rFonts w:ascii="Times New Roman" w:cs="Times New Roman" w:eastAsia="Times New Roman" w:hAnsi="Times New Roman"/>
                <w:sz w:val="18"/>
                <w:szCs w:val="18"/>
                <w:color w:val="auto"/>
              </w:rPr>
              <w:t>component</w:t>
            </w:r>
            <w:r>
              <w:rPr>
                <w:rFonts w:ascii="Times New Roman" w:cs="Times New Roman" w:eastAsia="Times New Roman" w:hAnsi="Times New Roman"/>
                <w:sz w:val="26"/>
                <w:szCs w:val="26"/>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Total pretax net losses reclassified from AOCI into income</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01"/>
        </w:trPr>
        <w:tc>
          <w:tcPr>
            <w:tcW w:w="228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60" w:hanging="355"/>
        <w:spacing w:after="0"/>
        <w:tabs>
          <w:tab w:leader="none" w:pos="36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Losses (gains) are reclassified from AOCI into interest income from loans and lease financing.</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net amount to be reclassified within the next 12 months out of AOCI into earnings is $4.2 million as a decrease to interest income from loans and lease financing. As of September 30, 2026, the maximum length of time over which forecasted transactions are hedged is approximately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Free-Standing Derivative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derivatives that are not designated as hedges, changes in fair value are reported in current period earnings. The following table summarizes the impact on pretax earnings of derivatives not designated as hedges, as reported on the unaudited interim consolidated statements of income for the three and nine months ended September 30, 2026 and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losses recognized</w:t>
            </w:r>
          </w:p>
        </w:tc>
        <w:tc>
          <w:tcPr>
            <w:tcW w:w="120" w:type="dxa"/>
            <w:vAlign w:val="bottom"/>
          </w:tcPr>
          <w:p>
            <w:pPr>
              <w:spacing w:after="0"/>
              <w:rPr>
                <w:sz w:val="13"/>
                <w:szCs w:val="13"/>
                <w:color w:val="auto"/>
              </w:rPr>
            </w:pPr>
          </w:p>
        </w:tc>
        <w:tc>
          <w:tcPr>
            <w:tcW w:w="15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5"/>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the consolidated statements</w:t>
            </w:r>
          </w:p>
        </w:tc>
        <w:tc>
          <w:tcPr>
            <w:tcW w:w="120" w:type="dxa"/>
            <w:vAlign w:val="bottom"/>
          </w:tcPr>
          <w:p>
            <w:pPr>
              <w:spacing w:after="0"/>
              <w:rPr>
                <w:sz w:val="15"/>
                <w:szCs w:val="15"/>
                <w:color w:val="auto"/>
              </w:rPr>
            </w:pPr>
          </w:p>
        </w:tc>
        <w:tc>
          <w:tcPr>
            <w:tcW w:w="15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5"/>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5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of income line item</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87"/>
        </w:trPr>
        <w:tc>
          <w:tcPr>
            <w:tcW w:w="31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6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r>
      <w:tr>
        <w:trPr>
          <w:trHeight w:val="23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6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18"/>
                <w:szCs w:val="18"/>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Visa derivative</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r>
    </w:tbl>
    <w:p>
      <w:pPr>
        <w:spacing w:after="0" w:line="19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September 30, 2026, the Company carried multiple interest rate swaps with notional amounts totaling $2.9 billion, all of which were related to the Company’s customer swap program, with a positive fair value of $29.5 million and a negative fair value of $29.5 million. The Company received floating rates ranging from 3.68% to 6.68% and paid fixed rates ranging from 2.39% to 6.67%. The swaps mature between November 2026 and August 2046. As of December 31, 2025, the Company carried multiple interest rate swaps with notional amounts totaling $3.0 billion, all of which were related to the Company’s customer swap program, with a positive fair value of $12.3 million and a negative fair value of $12.3 million. The Company received floating rates ranging from 3.87% to 6.87% and paid fixed rates ranging from 2.39% to 6.67%. These swaps resulted in net interest expense of nil during both the three and nine months ended September 30, 2026 and 2025.</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customer swap program is designed by offering customers a variable-rate loan that is swapped to fixed-rate through an interest rate swap. The Company simultaneously executes an offsetting interest rate swap with a swap dealer. Upfront fees on the dealer swap are recorded in other noninterest income and totaled $0.2 million and $1.3 million for the three months ended September 30, 2026 and 2025, respectively and $1.2 million and $1.8 million for the nine months ended September 30, 2026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Visa Class B Restricted Shares</w:t>
      </w:r>
    </w:p>
    <w:p>
      <w:pPr>
        <w:spacing w:after="0" w:line="229"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8"/>
          <w:szCs w:val="18"/>
          <w:color w:val="auto"/>
        </w:rPr>
        <w:t>In 2016, the Company recorded a $22.7 million net realized gain related to the sale of 274,000 Visa Class B restricted shares. Concurrent with the sale of the Visa Class B restricted shares, the Company entered into a funding swap agreement with the buyer that requires payment to the buyer in the event Visa reduces each member bank’s Class B conversion rate to unrestricted Class A common shares. During 2018 through 2023, Visa funded its litigation escrow account, thereby reducing each member bank’s Class B conversion rate to unrestricted Class A common shares from 1.6483 to 1.5875. Under the terms of the funding swap agreement, the Company will make monthly payments to the buyer based on Visa’s Class A stock price and the number of Visa Class B restricted shares that were sold until the date on which the covered litigation is settled. In April 2024, Visa, Inc. commenced an initial exchange offer (“Visa Exchange Offer”) for all of its outstanding Class B shares (subsequently renamed as “Class B-1 shares”), of which the buyer elected and Visa, Inc. accepted. The buyer received a combination of Visa Class B-2 shares and Visa Class C shares in exchange for the 274,000 Class B-1 shares previously owned by the Company. In April 2026, a similar Exchange Offer was initiated that allowed Visa Class B shareholders to exchange their Visa Class B-1 and/or Visa Class B-2 stock for Visa Class B-3 and Visa Class C stock, which the buyer also elected and Visa, Inc. accepted. The buyer received a combination of Visa Class B-3 and Visa Class C shares in exchange for the 137,000 Class B-2 shares remaining after the initial exchange offer. Visa Class B-3 shares and Visa Class C shares have a current conversion rate to Class A common shares of 1.4773 and 4.0000, respectively. The Company took these exchanges into consideration when valuing the derivative liability (“Visa derivative”) at September 30, 2026 and December 31, 2025. The Visa derivative of $2.3 million was included in the unaudited interim consolidated balance sheets at both September 30, 2026 and December 31, 2025, to provide for the fair value of this liability. There were no sales of these shares prior to 2016. See “Note 16. Fair Value” for more information.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Counterparty Credit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By using derivatives, the Company is exposed to counterparty credit risk if counterparties to the derivative contracts do not perform as expected. If a counterparty fails to perform, the Company’s counterparty credit risk is equal to the amount reported as a derivative asset, net of cash or other collateral received, and net of derivatives in a loss position with the same counterparty to the extent master netting arrangements exist. The Company minimizes counterparty credit risk through credit approvals, limits, monitoring procedures, executing master netting arrangements and obtaining collateral, where appropriate. Counterparty credit risk related to derivatives is considered in determining fair value.</w:t>
      </w:r>
    </w:p>
    <w:p>
      <w:pPr>
        <w:spacing w:after="0" w:line="2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interest rate derivative agreements include bilateral collateral agreements with collateral requirements, which begin with exposures in excess of $0.3 million. For each counterparty, the Company reviews the interest rate derivative collateral daily. Collateral for customer interest rate derivative agreements, calculated as the pledged asset less loan balance, requires valuation of the pledged asset. Counterparty credit risk adjustments of nil were recognized during both the three and nine months ended September 30,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 Related Contingent Features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of the Company’s derivative contracts contain provisions whereby if the Company’s credit rating were to be downgraded by certain major credit rating agencies as a result of a merger or material adverse change in the Company’s financial condition, the counterparty could require an early termination of derivative instruments. The aggregate fair value of all derivative instruments with such credit-risk related contingent features that are in a net liability position was nil at both September 30, 2026 and December 31, 2025, for which the Company posted nil in collateral in the normal course of business. If the Company’s credit rating had been downgraded as of September 30, 2026 and December 31, 2025, the Company may have been required to settle the contracts in an amount equal to their fair value.</w:t>
      </w:r>
    </w:p>
    <w:p>
      <w:pPr>
        <w:spacing w:after="0" w:line="183" w:lineRule="exact"/>
        <w:rPr>
          <w:sz w:val="20"/>
          <w:szCs w:val="20"/>
          <w:color w:val="auto"/>
        </w:rPr>
      </w:pPr>
    </w:p>
    <w:p>
      <w:pPr>
        <w:ind w:right="5700" w:firstLine="5"/>
        <w:spacing w:after="0" w:line="495" w:lineRule="auto"/>
        <w:tabs>
          <w:tab w:leader="none" w:pos="27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 Contingencies</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Various legal proceedings are pending or threatened against the Company. After consultation with legal counsel, management does not expect that the aggregate liability, if any, resulting from these proceedings would have a material effect on the Company’s unaudited interim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 Sheet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These financial instruments include commitments to extend credit and standby and commercial letters of credit which are not reflected in the unaudited interim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Unfunded Commitments to Extend Credit</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 commitment to extend credit is a legally binding agreement to lend funds to a customer, usually at a stated interest rate and for a specified purpose. Commitments are reported net of participations sold to other institutions. Such commitments have fixed expiration dates and generally require a fee. The extension of a commitment gives rise to credit risk. The actual liquidity requirements or credit risk that the Company will experience is expected to be lower than the contractual amount of commitments to extend credit because a significant portion of those commitments are expected to expire without being drawn upon. Certain commitments are subject to loan agreements containing covenants regarding the financial performance of the customer that must be met before the Company is required to fund the commitment. The Company uses the same credit policies in making commitments to extend credit as it does in making loans. In addition, the Company manages the potential credit risk in commitments to extend credit by limiting the total amount of arrangements, both by individual customer and in the aggregate, by monitoring the size and expiration structure of these portfolios and by applying the same credit standards maintained for all of its related credit activities. Commitments to extend credit are reported net of participations sold to other institutions of $35.7 million and $86.4 million at September 30, 2026 and December 31, 2025, respectively.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and Commercial Letters of Credit</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Standby letters of credit are issued on behalf of customers in connection with contracts between the customers and third parties. Under standby letters of credit, the Company assures that the third parties will receive specified funds if customers fail to meet their contractual obligations. The credit risk to the Company arises from its obligation to make payment in the event of a customer’s contractual default. Standby letters of credit are reported net of participations sold to other institutions of $6.3 million at both September 30, 2026 and December 31, 2025. The Company also had commitments for commercial and similar letters of credit. Commercial letters of credit are issued specifically to facilitate commerce whereby the commitment is typically drawn upon when the underlying transaction between the customer and a third-party is consummated. The maximum amount of potential future payments guaranteed by the Company is limited to the contractual amount of these letters. The credit risk involved in issuing letters of credit is essentially the same as that involved in extending loan facilities to customers. Collateral held supports those commitments for which collateral is deemed necessary. The commitments outstanding as of September 30, 2026 have maturities ranging from October 2026 to September 2031. Substantially all fees received from the issuance of such commitments are deferred and amortized on a straight-line basis over the term of the commitment.</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instruments with off-balance sheet risk at September 30, 2026 and December 31, 2025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6,675,022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6,635,946</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252,166</w:t>
            </w:r>
          </w:p>
        </w:tc>
      </w:tr>
      <w:tr>
        <w:trPr>
          <w:trHeight w:val="238"/>
        </w:trPr>
        <w:tc>
          <w:tcPr>
            <w:tcW w:w="20" w:type="dxa"/>
            <w:vAlign w:val="bottom"/>
          </w:tcPr>
          <w:p>
            <w:pPr>
              <w:spacing w:after="0"/>
              <w:rPr>
                <w:sz w:val="20"/>
                <w:szCs w:val="20"/>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sells residential mortgage loans in the secondary market primarily to the Federal National Mortgage Association and the Federal Home Loan Mortgage Corporation that may potentially require repurchase under certain conditions. This risk is managed through the Company’s underwriting practices. The Company services loans sold to investors and loans originated by other originators under agreements that may include repurchase remedies if certain servicing requirements are not met. This risk is managed through the Company’s quality assurance and monitoring procedures. Management does not anticipate any material losses as a result of these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forward foreign exchange contracts that represent commitments to purchase or sell foreign currencies at a future date at a specified price. The Company’s utilization of forward foreign exchange contracts is subject to the primary underlying risk of movements in foreign currency exchange rates and to additional counterparty risk should its counterparties fail to meet the terms of their contracts. Forward foreign exchange contracts are utilized to mitigate the Company’s risk to satisfy customer demand for foreign currencies and are not used for trading purposes. See “Note 11. Derivative Financial Instruments”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700" w:firstLine="5"/>
        <w:spacing w:after="0" w:line="502" w:lineRule="auto"/>
        <w:tabs>
          <w:tab w:leader="none" w:pos="27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quarter ended December 31, 2025, the Company realigned its internal organizational and management reporting structure. As a result of this change, the Company reduced its reportable operating segments from three to two. The Company’s reportable segments are now Retail Banking and Commercial Banking. Activities previously reported within the Treasury and Other segment are now included in Corporate/Other, as Treasury exists to support the Company’s operating segments. The change in reportable segments reflects how the Company’s chief operating decision maker currently evaluates performance and allocates resources. The Company has reported its selected financial information using two reportable operating segments for the three and nine months ended September 30, 2026 and 2025. See “Note 17. Reportable Operating Segments” for more information.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revenues, which includes net interest income on financial instruments and noninterest income, disaggregated by type of service and business segments and Corporate/Other,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gridSpan w:val="12"/>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20" w:type="dxa"/>
            <w:vAlign w:val="bottom"/>
          </w:tcPr>
          <w:p>
            <w:pPr>
              <w:spacing w:after="0"/>
              <w:rPr>
                <w:sz w:val="15"/>
                <w:szCs w:val="15"/>
                <w:color w:val="auto"/>
              </w:rPr>
            </w:pPr>
          </w:p>
        </w:tc>
        <w:tc>
          <w:tcPr>
            <w:tcW w:w="96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Banking</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Net interest income (expense)</w:t>
            </w:r>
            <w:r>
              <w:rPr>
                <w:rFonts w:ascii="Times New Roman" w:cs="Times New Roman" w:eastAsia="Times New Roman" w:hAnsi="Times New Roman"/>
                <w:sz w:val="24"/>
                <w:szCs w:val="24"/>
                <w:b w:val="1"/>
                <w:bCs w:val="1"/>
                <w:color w:val="auto"/>
                <w:vertAlign w:val="superscript"/>
              </w:rPr>
              <w:t>(1)</w:t>
            </w:r>
          </w:p>
        </w:tc>
        <w:tc>
          <w:tcPr>
            <w:tcW w:w="1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$ 136,707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2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Not in scope of Topic 606</w:t>
            </w:r>
            <w:r>
              <w:rPr>
                <w:rFonts w:ascii="Times New Roman" w:cs="Times New Roman" w:eastAsia="Times New Roman" w:hAnsi="Times New Roman"/>
                <w:sz w:val="25"/>
                <w:szCs w:val="25"/>
                <w:color w:val="auto"/>
                <w:vertAlign w:val="superscript"/>
              </w:rPr>
              <w:t>(1)</w:t>
            </w: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1,630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18,939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$ 167,195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64,294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tcBorders>
              <w:bottom w:val="single" w:sz="8" w:color="auto"/>
            </w:tcBorders>
            <w:gridSpan w:val="10"/>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1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Retail</w:t>
            </w:r>
          </w:p>
        </w:tc>
        <w:tc>
          <w:tcPr>
            <w:tcW w:w="140" w:type="dxa"/>
            <w:vAlign w:val="bottom"/>
          </w:tcPr>
          <w:p>
            <w:pPr>
              <w:spacing w:after="0"/>
              <w:rPr>
                <w:sz w:val="10"/>
                <w:szCs w:val="10"/>
                <w:color w:val="auto"/>
              </w:rPr>
            </w:pP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8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960" w:type="dxa"/>
            <w:vAlign w:val="bottom"/>
            <w:gridSpan w:val="3"/>
          </w:tcPr>
          <w:p>
            <w:pPr>
              <w:jc w:val="right"/>
              <w:ind w:right="64"/>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Banking</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Banking</w:t>
            </w:r>
            <w:r>
              <w:rPr>
                <w:rFonts w:ascii="Times New Roman" w:cs="Times New Roman" w:eastAsia="Times New Roman" w:hAnsi="Times New Roman"/>
                <w:sz w:val="14"/>
                <w:szCs w:val="14"/>
                <w:color w:val="auto"/>
              </w:rPr>
              <w:t xml:space="preserve">   ​</w:t>
            </w:r>
          </w:p>
        </w:tc>
        <w:tc>
          <w:tcPr>
            <w:tcW w:w="1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Net interest income (expense)</w:t>
            </w:r>
            <w:r>
              <w:rPr>
                <w:rFonts w:ascii="Times New Roman" w:cs="Times New Roman" w:eastAsia="Times New Roman" w:hAnsi="Times New Roman"/>
                <w:sz w:val="24"/>
                <w:szCs w:val="24"/>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$ 399,624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$ 134,424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512,627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44,504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36,964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27,366</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27,366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10,991</w:t>
            </w:r>
          </w:p>
        </w:tc>
        <w:tc>
          <w:tcPr>
            <w:tcW w:w="0" w:type="dxa"/>
            <w:vAlign w:val="bottom"/>
          </w:tcPr>
          <w:p>
            <w:pPr>
              <w:spacing w:after="0"/>
              <w:rPr>
                <w:sz w:val="1"/>
                <w:szCs w:val="1"/>
                <w:color w:val="auto"/>
              </w:rPr>
            </w:pP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Not in scope of Topic 606</w:t>
            </w:r>
            <w:r>
              <w:rPr>
                <w:rFonts w:ascii="Times New Roman" w:cs="Times New Roman" w:eastAsia="Times New Roman" w:hAnsi="Times New Roman"/>
                <w:sz w:val="25"/>
                <w:szCs w:val="25"/>
                <w:color w:val="auto"/>
                <w:vertAlign w:val="superscript"/>
              </w:rPr>
              <w:t>(1)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5,181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24,233</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87,738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169,223</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$ 487,362</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$ 193,420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681,850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hanging="315"/>
        <w:spacing w:after="0" w:line="288" w:lineRule="auto"/>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Most of the Company’s revenue is not within the scope of Topic 606. The guidance explicitly excludes net interest income from financial assets and liabilities as well as other noninterest income from loans, leases, investment securities, derivative financial instruments and bank-owned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-236220</wp:posOffset>
            </wp:positionV>
            <wp:extent cx="1448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tcBorders>
              <w:bottom w:val="single" w:sz="8" w:color="auto"/>
            </w:tcBorders>
            <w:gridSpan w:val="11"/>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1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Retail</w:t>
            </w:r>
          </w:p>
        </w:tc>
        <w:tc>
          <w:tcPr>
            <w:tcW w:w="14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0"/>
                <w:szCs w:val="10"/>
                <w:color w:val="auto"/>
              </w:rPr>
            </w:pPr>
          </w:p>
        </w:tc>
        <w:tc>
          <w:tcPr>
            <w:tcW w:w="8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30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Net interest income (expense)</w:t>
            </w:r>
            <w:r>
              <w:rPr>
                <w:rFonts w:ascii="Times New Roman" w:cs="Times New Roman" w:eastAsia="Times New Roman" w:hAnsi="Times New Roman"/>
                <w:sz w:val="24"/>
                <w:szCs w:val="24"/>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$ 131,790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Not in scope of Topic 606</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$ 160,302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Borders>
              <w:bottom w:val="single" w:sz="8" w:color="auto"/>
            </w:tcBorders>
            <w:gridSpan w:val="11"/>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Retail</w:t>
            </w:r>
          </w:p>
        </w:tc>
        <w:tc>
          <w:tcPr>
            <w:tcW w:w="14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0"/>
                <w:szCs w:val="10"/>
                <w:color w:val="auto"/>
              </w:rPr>
            </w:pPr>
          </w:p>
        </w:tc>
        <w:tc>
          <w:tcPr>
            <w:tcW w:w="8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30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Net interest income (expense)</w:t>
            </w:r>
            <w:r>
              <w:rPr>
                <w:rFonts w:ascii="Times New Roman" w:cs="Times New Roman" w:eastAsia="Times New Roman" w:hAnsi="Times New Roman"/>
                <w:sz w:val="24"/>
                <w:szCs w:val="24"/>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$ 385,294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$ 132,819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493,440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Not in scope of Topic 606</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161,495</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$ 468,211</w:t>
            </w:r>
          </w:p>
        </w:tc>
        <w:tc>
          <w:tcPr>
            <w:tcW w:w="14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$ 190,687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654,935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320" w:hanging="315"/>
        <w:spacing w:after="0" w:line="305"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Most of the Company’s revenue is not within the scope of Topic 606</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guidance explicitly excludes net interest income from financial assets and liabilities as well as other noninterest income from loans, leases, investment securities, derivative financial instruments and bank-owned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14484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8435" cy="17145"/>
                    </a:xfrm>
                    <a:prstGeom prst="rect">
                      <a:avLst/>
                    </a:prstGeom>
                    <a:noFill/>
                  </pic:spPr>
                </pic:pic>
              </a:graphicData>
            </a:graphic>
          </wp:anchor>
        </w:drawing>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substantially all of the Company’s revenues under the scope of Topic 606 were related to performance obligations satisfied at a point in time.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discussion of revenues within the scope of Topic 606.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Charges on Deposit Accounts</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Service charges on deposit accounts relate to fees generated from a variety of deposit products and services rendered to customers. Charges include, but are not limited to, overdraft fees, non-sufficient fund fees, dormant fees and monthly service charges. Such fees are recognized concurrent with the event on a daily basis or on a monthly basis depending upon the customer’s cycle date.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and Debit Card Fees</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Credit and debit card fees primarily represent revenues earned from interchange fees, ATM fees and merchant processing fees. Interchange and network revenues are earned on credit and debit card transactions conducted with payment networks. ATM fees are primarily earned as a result of surcharges assessed to non-FHB customers who use an FHB ATM. Merchant processing fees are primarily earned on transactions in which FHB is the acquiring bank. Such fees are generally recognized concurrently with the delivery of services on a daily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 and Investment Services Fees</w:t>
      </w:r>
    </w:p>
    <w:p>
      <w:pPr>
        <w:spacing w:after="0" w:line="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Trust and investment services fees represent revenue earned by directing, holding and managing customers’ assets. Fees are generally computed based on a percentage of the previous period’s value of assets under management. The transaction price (i.e., percentage of assets under management) is established at the inception of each contract. Trust and investment services fees also include fees collected when the Company acts as agent or personal representative and executes security transactions, performs collection and disbursement of income, and completes investment management and other administrative tasks.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Fees</w:t>
      </w:r>
    </w:p>
    <w:p>
      <w:pPr>
        <w:spacing w:after="0" w:line="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Other fees primarily include revenues generated from wire transfers, lockboxes, bank issuance of checks and insurance commissions. Such fees are recognized concurrent with the event or on a monthly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contract liability is an entity’s obligation to transfer goods or services to a customer for which the entity has received consideration (or the amount is due) from the customer. The Company received signing bonuses from three vendors in prior years, which are being amortized over the term of the respective contracts. As of September 30, 2026 and December 31, 2025, the Company had contract liabilities of $0.7 million and $1.3 million, respectively, which it expects to recognize over the remaining term of the respective contracts with the vendors. For the three and nine months ended September 30, 2026, the Company’s recognized revenues increased and contract liabilities decreased by approximately $0.2 million and $0.7 million, respectively, due to the passage of time. For the three and nine months ended September 30, 2025, the Company’s recognized revenues increased and contract liabilities decreased by approximately $0.2 million and $0.8 million, respectively, due to the passage of time. There were no changes in contract liabilities due to changes in transaction price estimates.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contract asset is the right to consideration for transferred goods or services when the amount is conditioned on something other than the passage of time. As of September 30, 2026 and December 31, 2025, there were no material receivables from contracts with customers or contract assets recorded on the Company’s unaudited interim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contract liabilities noted above, the Company did not have any significant performance obligations as of September 30, 2026 and December 31, 2025. The Company also did not have any material contract acquisition costs or use any significant judgments or estimates in recognizing revenue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made no adjustments to net income for the purpose of computing earnings per share and there were 1,000 antidilutive securities. For both the three and nine months ended September 30, 2025, the Company made no adjustments to net income for the purpose of computing earnings per share and there were nil and 1,000 antidilutive securities, respectively. For the three and nine months ended September 30, 2026 and 2025, the computations of basic and diluted earnings per share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shares and per share amounts)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204,889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206,335</w:t>
            </w:r>
          </w:p>
        </w:tc>
        <w:tc>
          <w:tcPr>
            <w:tcW w:w="0" w:type="dxa"/>
            <w:vAlign w:val="bottom"/>
          </w:tcPr>
          <w:p>
            <w:pPr>
              <w:spacing w:after="0"/>
              <w:rPr>
                <w:sz w:val="1"/>
                <w:szCs w:val="1"/>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121,681,309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124,267,090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121,933,207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125,282,792</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 weighted-average equity-based awards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797,180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703,808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783,535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694,479</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122,478,489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124,970,898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122,716,742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125,977,271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0.52</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1.67</w:t>
            </w: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5380" w:firstLine="5"/>
        <w:spacing w:after="0" w:line="503" w:lineRule="auto"/>
        <w:tabs>
          <w:tab w:leader="none" w:pos="27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Noninterest Income and Noninterest Expense Benefit Plans</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benefit cost for the Company’s pension and postretirement benefit plans for the three and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line item where recognized in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 Benefits</w:t>
            </w:r>
          </w:p>
        </w:tc>
      </w:tr>
      <w:tr>
        <w:trPr>
          <w:trHeight w:val="142"/>
        </w:trPr>
        <w:tc>
          <w:tcPr>
            <w:tcW w:w="2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2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the consolidated statements of income</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Recognized net actuarial loss (gain)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36"/>
        </w:trPr>
        <w:tc>
          <w:tcPr>
            <w:tcW w:w="2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periodic benefit cost</w:t>
            </w:r>
          </w:p>
        </w:tc>
        <w:tc>
          <w:tcPr>
            <w:tcW w:w="2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1,204</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129"/>
        </w:trPr>
        <w:tc>
          <w:tcPr>
            <w:tcW w:w="2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0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(2,493)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Recognized net actuarial loss (gain)</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(654)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196"/>
        </w:trPr>
        <w:tc>
          <w:tcPr>
            <w:tcW w:w="28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periodic benefit cost</w:t>
            </w:r>
          </w:p>
        </w:tc>
        <w:tc>
          <w:tcPr>
            <w:tcW w:w="29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operating lease income related to lease payments of $1.7 million and $1.6 million for the three months ended September 30, 2026 and 2025, respectively, and $5.0 million and $4.9 million for the nine months ended September 30, 2026 and 2025, respectively. In addition, the Company recognized $1.5 million and $1.4 million of lease income related to variable lease payments for the three months ended September 30, 2026 and 2025, respectively, and $4.4 million and $4.3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the fair values of its financial instruments based on the requirements established in Accounting Standards Codification Topic 820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which provides a framework for measuring fair value under GAAP and requires an entity to maximize the use of observable inputs and minimize the use of unobservable inputs when measuring fair value. Topic 820 defines fair value as the exit price, the price that would be received for an asset or paid to transfer a liability, in the principal or most advantageous market for the asset or liability in an orderly transaction between market participants on the measurement date under current market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Topic 820 establishes three levels of fair values based on the markets in which the assets or liabilities are traded and the reliability of the assumptions used to determine fair value. The levels are:</w:t>
      </w:r>
    </w:p>
    <w:p>
      <w:pPr>
        <w:spacing w:after="0" w:line="143" w:lineRule="exact"/>
        <w:rPr>
          <w:sz w:val="20"/>
          <w:szCs w:val="20"/>
          <w:color w:val="auto"/>
        </w:rPr>
      </w:pPr>
    </w:p>
    <w:p>
      <w:pPr>
        <w:ind w:left="680"/>
        <w:spacing w:after="0" w:line="271" w:lineRule="auto"/>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 that the Company has the ability to access.</w:t>
      </w:r>
    </w:p>
    <w:p>
      <w:pPr>
        <w:spacing w:after="0" w:line="1" w:lineRule="exact"/>
        <w:rPr>
          <w:sz w:val="20"/>
          <w:szCs w:val="20"/>
          <w:color w:val="auto"/>
        </w:rPr>
      </w:pPr>
    </w:p>
    <w:p>
      <w:pPr>
        <w:ind w:left="680"/>
        <w:spacing w:after="0" w:line="250"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and liabilities; quoted prices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ind w:left="680"/>
        <w:spacing w:after="0" w:line="252"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significant assumptions not observable in the market. These unobservable assumptions reflect the Company’s own estimates of assumptions that market participants would use in pricing the asset or liability (“Company-level data”). Level 3 assets and liabilities include financial instruments whose value is determined using unobservable inputs to pricing models, discounted cash flow methodologies, or similar techniques, as well as instruments for which the determination of fair value requires significant management judgment or estimation.</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Topic 820 requires that the Company disclose estimated fair values for certain financial instruments. Financial instruments include such items as investment securities, loans, deposits, interest rate and foreign exchange contracts, swaps and other instruments as defined by the standard. The Company has an organized and established process for determining and reviewing the fair value of financial instruments reported in the Company’s financial statements. The fair value measurements are reviewed to ensure they are reasonable and in line with market experience in similar asset and liability classes.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the Company may be required to record at fair value other assets on a nonrecurring basis, such as collateral-dependent loans, other real estate owned, other customer relationships, and other intangible assets. These nonrecurring fair value adjustments typically involve the application of lower-of-cost-or-fair-value accounting or write-downs of individual assets.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Disclosure of fair values is not required for certain items such as lease financing, obligations for pension and other postretirement benefits, premises and equipment, prepaid expenses, deposit liabilities with no defined or contractual maturity, and income tax assets and liabilities.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Reasonable comparisons of fair value information with that of other financial institutions cannot necessarily be made because the standard permits many alternative calculation techniques, and numerous assumptions have been used to estimate the Company’s fair values.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 Used in the Fair Value Measurement of Assets and Liabilities Carried at Fair Value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assets and liabilities measured at fair value on a recurring basis (categorized in the valuation hierarchy table below), the Company applies the following valuation techniques: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9"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8"/>
          <w:szCs w:val="18"/>
          <w:color w:val="auto"/>
        </w:rPr>
        <w:t>Available-for-sale debt securities are recorded at fair value on a recurring basis. Fair value measurement is based on quoted prices, including estimates by third-party pricing services, if available. If quoted prices are not available, fair values are measured using proprietary valuation models that utilize market observable parameters from active market makers and inter-dealer brokers whereby securities are valued based upon available market data for securities with similar characteristics. Management reviews the pricing information received from the Company’s third-party pricing service to evaluate the inputs and valuation methodologies used to place securities into the appropriate level of the fair value hierarchy and transfers of securities within the fair value hierarchy are made if necessary. On a monthly basis, management reviews the pricing information received from the third-party pricing service which includes a comparison to non-binding third-party broker quotes, as well as a review of market-related conditions impacting the information provided by the third-party pricing service. Management also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The Company’s third-party pricing service has also established processes for the Company to submit inquiries regarding quoted prices. Periodically, the Company will challenge the quoted prices provided by the third-party pricing service. The Company’s third-party pricing service will review the inputs to the evaluation in light of the new market data presented by the Company. The Company’s third-party pricing service may then affirm the original quoted price or may update the evaluation on a going forward basis. The Company classifies all available-for-sale securities as Level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Most of the Company’s derivatives are traded in over-the-counter markets where quoted market prices are not readily available. For those derivatives, the Company measures fair value on a recurring basis using proprietary valuation models that primarily use market observable inputs, such as yield curves, and option volatilities. The fair value of derivatives includes values associated with counterparty credit risk and the Company’s own credit standing. The Company classifies these derivatives, included in other assets and other liabilities, as Level 2.</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Concurrent with the sale of the Visa Class B restricted shares, the Company entered into an agreement with the buyer that requires payment to the buyer in the event Visa reduces each member bank’s Class B conversion rate to unrestricted Class A common shares. During 2018 through 2023, Visa funded its litigation escrow account, thereby reducing each member bank’s Class B conversion rate to unrestricted Class A common shares from 1.6483 to 1.5875. As a result of the Visa Exchange Offer, the buyer held a combination of Visa Class B-2 shares and Visa Class C shares that were subsequently exchanged in a similar Exchange Offer. As of September 30, 2026, the buyer holds Visa Class B-3 shares, of which the Visa derivative’s notional is based on. Visa Class B-3 shares have a current conversion rate to Class A common shares of 1.4773. The Visa derivative of $2.3 million was included in the unaudited interim consolidated balance sheets at both September 30, 2026 and December 31, 2025, to provide for the fair value of this liability. The potential liability related to this funding swap agreement was determined based on management’s estimate of the timing and the amount of Visa’s litigation settlement and the resulting payments due to the counterparty under the terms of the contract. As such, the funding swap agreement is classified as Level 3 in the fair value hierarchy. The significant unobservable inputs used in the fair value measurement of the Company’s funding swap agreement are the potential future changes in the Class B-3 conversion rate, expected term and growth rate of the market price of Visa Class A common shares. Material increases (or decreases) in any of those inputs may result in a significantly higher (or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Recorded at Fair Value on a Recurring Basis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September 30, 2026 and December 31, 2025 are summarized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gridSpan w:val="18"/>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top w:val="single" w:sz="8" w:color="auto"/>
            </w:tcBorders>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Inputs (Level 2)</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Inputs (Level 3)</w:t>
            </w:r>
            <w:r>
              <w:rPr>
                <w:rFonts w:ascii="Times New Roman" w:cs="Times New Roman" w:eastAsia="Times New Roman" w:hAnsi="Times New Roman"/>
                <w:sz w:val="14"/>
                <w:szCs w:val="14"/>
                <w:color w:val="auto"/>
              </w:rPr>
              <w:t xml:space="preserve">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 agency</w:t>
            </w:r>
            <w:r>
              <w:rPr>
                <w:rFonts w:ascii="Times New Roman" w:cs="Times New Roman" w:eastAsia="Times New Roman" w:hAnsi="Times New Roman"/>
                <w:sz w:val="25"/>
                <w:szCs w:val="25"/>
                <w:color w:val="auto"/>
                <w:vertAlign w:val="superscript"/>
              </w:rPr>
              <w:t>(1)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22,991</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Government-sponsored enterprises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867,448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172,924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Non-agency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259,734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agency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367,616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280,021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2,016,945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liabilities</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2,020,087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$ 2,018,321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gridSpan w:val="18"/>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2"/>
                <w:szCs w:val="12"/>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p>
        </w:tc>
        <w:tc>
          <w:tcPr>
            <w:tcW w:w="40" w:type="dxa"/>
            <w:vAlign w:val="bottom"/>
          </w:tcPr>
          <w:p>
            <w:pPr>
              <w:spacing w:after="0"/>
              <w:rPr>
                <w:sz w:val="15"/>
                <w:szCs w:val="15"/>
                <w:color w:val="auto"/>
              </w:rPr>
            </w:pPr>
          </w:p>
        </w:tc>
        <w:tc>
          <w:tcPr>
            <w:tcW w:w="10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3)</w:t>
            </w:r>
          </w:p>
        </w:tc>
        <w:tc>
          <w:tcPr>
            <w:tcW w:w="140" w:type="dxa"/>
            <w:vAlign w:val="bottom"/>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 agency</w:t>
            </w:r>
            <w:r>
              <w:rPr>
                <w:rFonts w:ascii="Times New Roman" w:cs="Times New Roman" w:eastAsia="Times New Roman" w:hAnsi="Times New Roman"/>
                <w:sz w:val="25"/>
                <w:szCs w:val="25"/>
                <w:color w:val="auto"/>
                <w:vertAlign w:val="superscript"/>
              </w:rPr>
              <w:t>(1)</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30,367</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Government-sponsored enterprises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878,215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191,177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Non-agency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agency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426,276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302,996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76,589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2,076,233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liabilities</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2,085,427</w:t>
            </w:r>
          </w:p>
        </w:tc>
        <w:tc>
          <w:tcPr>
            <w:tcW w:w="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$ 2,083,722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4484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8435" cy="17145"/>
                    </a:xfrm>
                    <a:prstGeom prst="rect">
                      <a:avLst/>
                    </a:prstGeom>
                    <a:noFill/>
                  </pic:spPr>
                </pic:pic>
              </a:graphicData>
            </a:graphic>
          </wp:anchor>
        </w:drawing>
      </w:r>
    </w:p>
    <w:p>
      <w:pPr>
        <w:ind w:left="320" w:hanging="315"/>
        <w:spacing w:after="0"/>
        <w:tabs>
          <w:tab w:leader="none" w:pos="3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Backed by residential real estate.</w:t>
      </w:r>
    </w:p>
    <w:p>
      <w:pPr>
        <w:spacing w:after="0" w:line="27" w:lineRule="exact"/>
        <w:rPr>
          <w:rFonts w:ascii="Times New Roman" w:cs="Times New Roman" w:eastAsia="Times New Roman" w:hAnsi="Times New Roman"/>
          <w:sz w:val="13"/>
          <w:szCs w:val="13"/>
          <w:color w:val="auto"/>
        </w:rPr>
      </w:pPr>
    </w:p>
    <w:p>
      <w:pPr>
        <w:ind w:left="320" w:hanging="315"/>
        <w:spacing w:after="0" w:line="254" w:lineRule="auto"/>
        <w:tabs>
          <w:tab w:leader="none" w:pos="3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assets classified as Level 1 include money market funds that have quoted prices in active markets and are related to the Company’s deferred compensation plans. Other assets classified as Level 2 include derivative assets.</w:t>
      </w:r>
    </w:p>
    <w:p>
      <w:pPr>
        <w:ind w:left="320" w:hanging="315"/>
        <w:spacing w:after="0"/>
        <w:tabs>
          <w:tab w:leader="none" w:pos="3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liabilities include derivative liabilities.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or nonrecurring basis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the significant unobservable inputs used in the fair value measurements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320" w:type="dxa"/>
            <w:vAlign w:val="bottom"/>
            <w:tcBorders>
              <w:bottom w:val="single" w:sz="8" w:color="auto"/>
            </w:tcBorders>
            <w:gridSpan w:val="1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 at September 30, 2026</w:t>
            </w:r>
          </w:p>
        </w:tc>
        <w:tc>
          <w:tcPr>
            <w:tcW w:w="0" w:type="dxa"/>
            <w:vAlign w:val="bottom"/>
          </w:tcPr>
          <w:p>
            <w:pPr>
              <w:spacing w:after="0"/>
              <w:rPr>
                <w:sz w:val="1"/>
                <w:szCs w:val="1"/>
                <w:color w:val="auto"/>
              </w:rPr>
            </w:pPr>
          </w:p>
        </w:tc>
      </w:tr>
      <w:tr>
        <w:trPr>
          <w:trHeight w:val="131"/>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1"/>
                <w:szCs w:val="11"/>
                <w:color w:val="auto"/>
              </w:rPr>
            </w:pPr>
          </w:p>
        </w:tc>
        <w:tc>
          <w:tcPr>
            <w:tcW w:w="9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color w:val="auto"/>
              </w:rPr>
              <w:t>​</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25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73"/>
        </w:trPr>
        <w:tc>
          <w:tcPr>
            <w:tcW w:w="2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7"/>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Collateral-dependent loans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29,543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Appraisal Value</w:t>
            </w:r>
            <w:r>
              <w:rPr>
                <w:rFonts w:ascii="Times New Roman" w:cs="Times New Roman" w:eastAsia="Times New Roman" w:hAnsi="Times New Roman"/>
                <w:sz w:val="16"/>
                <w:szCs w:val="16"/>
                <w:b w:val="1"/>
                <w:bCs w:val="1"/>
                <w:color w:val="auto"/>
                <w:vertAlign w:val="superscript"/>
              </w:rPr>
              <w:t>(1)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620" w:type="dxa"/>
            <w:vAlign w:val="bottom"/>
            <w:tcBorders>
              <w:top w:val="single" w:sz="8" w:color="auto"/>
            </w:tcBorders>
            <w:gridSpan w:val="3"/>
            <w:shd w:val="clear" w:color="auto" w:fill="CCEEFF"/>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Discounts to reflect estimated selling costs</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3% - 7%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Visa derivative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Discounted Cash Flow</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2"/>
                <w:szCs w:val="12"/>
                <w:b w:val="1"/>
                <w:bCs w:val="1"/>
                <w:color w:val="auto"/>
              </w:rPr>
              <w:t>Expected Conversion Rate - 1.4773</w:t>
            </w:r>
            <w:r>
              <w:rPr>
                <w:rFonts w:ascii="Times New Roman" w:cs="Times New Roman" w:eastAsia="Times New Roman" w:hAnsi="Times New Roman"/>
                <w:sz w:val="17"/>
                <w:szCs w:val="17"/>
                <w:b w:val="1"/>
                <w:bCs w:val="1"/>
                <w:color w:val="auto"/>
                <w:vertAlign w:val="superscript"/>
              </w:rPr>
              <w:t>(2)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1.3240-1.4773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2"/>
                <w:szCs w:val="12"/>
                <w:b w:val="1"/>
                <w:bCs w:val="1"/>
                <w:color w:val="auto"/>
              </w:rPr>
              <w:t>Expected Term - 12 months</w:t>
            </w:r>
            <w:r>
              <w:rPr>
                <w:rFonts w:ascii="Times New Roman" w:cs="Times New Roman" w:eastAsia="Times New Roman" w:hAnsi="Times New Roman"/>
                <w:sz w:val="17"/>
                <w:szCs w:val="17"/>
                <w:b w:val="1"/>
                <w:bCs w:val="1"/>
                <w:color w:val="auto"/>
                <w:vertAlign w:val="superscript"/>
              </w:rPr>
              <w:t>(3)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2"/>
                <w:szCs w:val="12"/>
                <w:b w:val="1"/>
                <w:bCs w:val="1"/>
                <w:color w:val="auto"/>
              </w:rPr>
              <w:t>n/m</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Growth Rate - 17%</w:t>
            </w:r>
            <w:r>
              <w:rPr>
                <w:rFonts w:ascii="Times New Roman" w:cs="Times New Roman" w:eastAsia="Times New Roman" w:hAnsi="Times New Roman"/>
                <w:sz w:val="21"/>
                <w:szCs w:val="21"/>
                <w:b w:val="1"/>
                <w:bCs w:val="1"/>
                <w:color w:val="auto"/>
                <w:w w:val="98"/>
                <w:vertAlign w:val="superscript"/>
              </w:rPr>
              <w:t>(4)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 - 32%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320" w:type="dxa"/>
            <w:vAlign w:val="bottom"/>
            <w:tcBorders>
              <w:bottom w:val="single" w:sz="8" w:color="auto"/>
            </w:tcBorders>
            <w:gridSpan w:val="1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 at December 31, 2025</w:t>
            </w:r>
          </w:p>
        </w:tc>
        <w:tc>
          <w:tcPr>
            <w:tcW w:w="0" w:type="dxa"/>
            <w:vAlign w:val="bottom"/>
          </w:tcPr>
          <w:p>
            <w:pPr>
              <w:spacing w:after="0"/>
              <w:rPr>
                <w:sz w:val="1"/>
                <w:szCs w:val="1"/>
                <w:color w:val="auto"/>
              </w:rPr>
            </w:pPr>
          </w:p>
        </w:tc>
      </w:tr>
      <w:tr>
        <w:trPr>
          <w:trHeight w:val="131"/>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color w:val="auto"/>
              </w:rPr>
              <w:t>​</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258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73"/>
        </w:trPr>
        <w:tc>
          <w:tcPr>
            <w:tcW w:w="2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Collateral-dependent loans</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13,608</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Financial Statement Values</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Discounts to reflect estimated selling costs</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0% - 50%</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Visa derivative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Discounted Cash Flow</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2"/>
                <w:szCs w:val="12"/>
                <w:color w:val="auto"/>
              </w:rPr>
              <w:t>Expected Conversion Rate - 1.5108</w:t>
            </w:r>
            <w:r>
              <w:rPr>
                <w:rFonts w:ascii="Times New Roman" w:cs="Times New Roman" w:eastAsia="Times New Roman" w:hAnsi="Times New Roman"/>
                <w:sz w:val="17"/>
                <w:szCs w:val="17"/>
                <w:color w:val="auto"/>
                <w:vertAlign w:val="superscript"/>
              </w:rPr>
              <w:t>(2)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1.3848-1.5108</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2"/>
                <w:szCs w:val="12"/>
                <w:color w:val="auto"/>
              </w:rPr>
              <w:t>Expected Term - 6 months</w:t>
            </w:r>
            <w:r>
              <w:rPr>
                <w:rFonts w:ascii="Times New Roman" w:cs="Times New Roman" w:eastAsia="Times New Roman" w:hAnsi="Times New Roman"/>
                <w:sz w:val="17"/>
                <w:szCs w:val="17"/>
                <w:color w:val="auto"/>
                <w:vertAlign w:val="superscript"/>
              </w:rPr>
              <w:t>(3)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2"/>
                <w:szCs w:val="12"/>
                <w:color w:val="auto"/>
              </w:rPr>
              <w:t>n/m</w:t>
            </w:r>
            <w:r>
              <w:rPr>
                <w:rFonts w:ascii="Times New Roman" w:cs="Times New Roman" w:eastAsia="Times New Roman" w:hAnsi="Times New Roman"/>
                <w:sz w:val="17"/>
                <w:szCs w:val="17"/>
                <w:color w:val="auto"/>
                <w:vertAlign w:val="superscript"/>
              </w:rPr>
              <w:t>(3)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80" w:type="dxa"/>
            <w:vAlign w:val="bottom"/>
            <w:gridSpan w:val="2"/>
          </w:tcPr>
          <w:p>
            <w:pPr>
              <w:jc w:val="center"/>
              <w:ind w:right="60"/>
              <w:spacing w:after="0" w:line="236" w:lineRule="exact"/>
              <w:rPr>
                <w:sz w:val="20"/>
                <w:szCs w:val="20"/>
                <w:color w:val="auto"/>
              </w:rPr>
            </w:pPr>
            <w:r>
              <w:rPr>
                <w:rFonts w:ascii="Times New Roman" w:cs="Times New Roman" w:eastAsia="Times New Roman" w:hAnsi="Times New Roman"/>
                <w:sz w:val="14"/>
                <w:szCs w:val="14"/>
                <w:color w:val="auto"/>
                <w:w w:val="98"/>
              </w:rPr>
              <w:t>Growth Rate - 13%</w:t>
            </w:r>
            <w:r>
              <w:rPr>
                <w:rFonts w:ascii="Times New Roman" w:cs="Times New Roman" w:eastAsia="Times New Roman" w:hAnsi="Times New Roman"/>
                <w:sz w:val="21"/>
                <w:szCs w:val="21"/>
                <w:color w:val="auto"/>
                <w:w w:val="98"/>
                <w:vertAlign w:val="superscript"/>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 - 28%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4484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8435" cy="17145"/>
                    </a:xfrm>
                    <a:prstGeom prst="rect">
                      <a:avLst/>
                    </a:prstGeom>
                    <a:noFill/>
                  </pic:spPr>
                </pic:pic>
              </a:graphicData>
            </a:graphic>
          </wp:anchor>
        </w:drawing>
      </w:r>
    </w:p>
    <w:p>
      <w:pPr>
        <w:jc w:val="both"/>
        <w:ind w:left="320" w:hanging="315"/>
        <w:spacing w:after="0" w:line="253" w:lineRule="auto"/>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Fair value is generally determined through appraisals of the underlying collateral. The Company may also use another available source of collateral assessment, such as purchase offers, letters of intent, broker price opinions or real property tax assessment values, to determine a reasonable estimate of the fair value of the collateral.</w:t>
      </w:r>
    </w:p>
    <w:p>
      <w:pPr>
        <w:ind w:left="320" w:hanging="315"/>
        <w:spacing w:after="0" w:line="254" w:lineRule="auto"/>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Due to the uncertainty in the movement of the conversion rate, the current conversion rate as of the respective consolidated balance sheet dates was utilized in the fair value calculation.</w:t>
      </w:r>
    </w:p>
    <w:p>
      <w:pPr>
        <w:ind w:left="320" w:hanging="315"/>
        <w:spacing w:after="0" w:line="251" w:lineRule="auto"/>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expected term was based on a claim filing deadline and subsequent period for claims to be processed. As such, a range is not meaningful to disclose.</w:t>
      </w:r>
    </w:p>
    <w:p>
      <w:pPr>
        <w:spacing w:after="0" w:line="169"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growth rate was based on the arithmetic average of analyst price targets.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Fair Value Levels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there were no transfers between fair value hierarchy levels.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Level 3 liabilities measured at fair value on a recurring basis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are summarized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Visa Derivative</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as of July 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net losses included in other noninterest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net losses included in net income attributable to the change in unrealized losses related to</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still held as of September 30,</w:t>
            </w:r>
          </w:p>
        </w:tc>
        <w:tc>
          <w:tcPr>
            <w:tcW w:w="36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January 1,</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losses included in other noninterest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80" w:type="dxa"/>
            <w:vAlign w:val="bottom"/>
            <w:shd w:val="clear" w:color="auto" w:fill="CCEEFF"/>
          </w:tcPr>
          <w:p>
            <w:pPr>
              <w:ind w:left="100"/>
              <w:spacing w:after="0" w:line="151" w:lineRule="exact"/>
              <w:rPr>
                <w:sz w:val="20"/>
                <w:szCs w:val="20"/>
                <w:color w:val="auto"/>
              </w:rPr>
            </w:pPr>
            <w:r>
              <w:rPr>
                <w:rFonts w:ascii="Times New Roman" w:cs="Times New Roman" w:eastAsia="Times New Roman" w:hAnsi="Times New Roman"/>
                <w:sz w:val="17"/>
                <w:szCs w:val="17"/>
                <w:color w:val="auto"/>
              </w:rPr>
              <w:t>Total net losses included in net income attributable to the change in unrealized losses related to</w:t>
            </w:r>
          </w:p>
        </w:tc>
        <w:tc>
          <w:tcPr>
            <w:tcW w:w="160" w:type="dxa"/>
            <w:vAlign w:val="bottom"/>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200" w:type="dxa"/>
            <w:vAlign w:val="bottom"/>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 still held as of September 30,</w:t>
            </w: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Carried at Other Than Fair Value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for the periods indicated the estimated fair value of the Company’s financial instruments that are not required to be carried at fair value on a recurring basis, excluding leases and deposit liabilities with no defined or contractual maturity.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8"/>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6"/>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00" w:type="dxa"/>
            <w:vAlign w:val="bottom"/>
            <w:gridSpan w:val="3"/>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Assets (Level 1)</w:t>
            </w: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p>
        </w:tc>
        <w:tc>
          <w:tcPr>
            <w:tcW w:w="200" w:type="dxa"/>
            <w:vAlign w:val="bottom"/>
            <w:gridSpan w:val="3"/>
            <w:vMerge w:val="continue"/>
          </w:tcPr>
          <w:p>
            <w:pPr>
              <w:spacing w:after="0"/>
              <w:rPr>
                <w:sz w:val="15"/>
                <w:szCs w:val="15"/>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1,329,931</w:t>
            </w:r>
          </w:p>
        </w:tc>
        <w:tc>
          <w:tcPr>
            <w:tcW w:w="2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258,228</w:t>
            </w:r>
          </w:p>
        </w:tc>
        <w:tc>
          <w:tcPr>
            <w:tcW w:w="20" w:type="dxa"/>
            <w:vAlign w:val="bottom"/>
          </w:tcPr>
          <w:p>
            <w:pPr>
              <w:spacing w:after="0"/>
              <w:rPr>
                <w:sz w:val="18"/>
                <w:szCs w:val="18"/>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1,071,703</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3,346,994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2,819,282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14,000,624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13,269,933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13,269,933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Time deposits</w:t>
            </w:r>
            <w:r>
              <w:rPr>
                <w:rFonts w:ascii="Times New Roman" w:cs="Times New Roman" w:eastAsia="Times New Roman" w:hAnsi="Times New Roman"/>
                <w:sz w:val="24"/>
                <w:szCs w:val="24"/>
                <w:color w:val="auto"/>
                <w:vertAlign w:val="superscript"/>
              </w:rPr>
              <w:t>(2)</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3,241,193</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3,219,916</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3,219,916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8"/>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6"/>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gridSpan w:val="3"/>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00" w:type="dxa"/>
            <w:vAlign w:val="bottom"/>
            <w:gridSpan w:val="3"/>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Assets (Level 1)</w:t>
            </w:r>
          </w:p>
        </w:tc>
        <w:tc>
          <w:tcPr>
            <w:tcW w:w="11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p>
        </w:tc>
        <w:tc>
          <w:tcPr>
            <w:tcW w:w="200" w:type="dxa"/>
            <w:vAlign w:val="bottom"/>
            <w:gridSpan w:val="3"/>
            <w:vMerge w:val="continue"/>
          </w:tcPr>
          <w:p>
            <w:pPr>
              <w:spacing w:after="0"/>
              <w:rPr>
                <w:sz w:val="15"/>
                <w:szCs w:val="15"/>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1,477,752</w:t>
            </w:r>
          </w:p>
        </w:tc>
        <w:tc>
          <w:tcPr>
            <w:tcW w:w="2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228,734</w:t>
            </w:r>
          </w:p>
        </w:tc>
        <w:tc>
          <w:tcPr>
            <w:tcW w:w="20" w:type="dxa"/>
            <w:vAlign w:val="bottom"/>
          </w:tcPr>
          <w:p>
            <w:pPr>
              <w:spacing w:after="0"/>
              <w:rPr>
                <w:sz w:val="18"/>
                <w:szCs w:val="18"/>
                <w:color w:val="auto"/>
              </w:rPr>
            </w:pP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1,249,018</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3,533,082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13,870,599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13,356,550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Time deposits</w:t>
            </w:r>
            <w:r>
              <w:rPr>
                <w:rFonts w:ascii="Times New Roman" w:cs="Times New Roman" w:eastAsia="Times New Roman" w:hAnsi="Times New Roman"/>
                <w:sz w:val="24"/>
                <w:szCs w:val="24"/>
                <w:color w:val="auto"/>
                <w:vertAlign w:val="superscript"/>
              </w:rPr>
              <w:t>(2)</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3,370,133</w:t>
            </w:r>
          </w:p>
        </w:tc>
        <w:tc>
          <w:tcPr>
            <w:tcW w:w="20" w:type="dxa"/>
            <w:vAlign w:val="bottom"/>
          </w:tcPr>
          <w:p>
            <w:pPr>
              <w:spacing w:after="0"/>
              <w:rPr>
                <w:sz w:val="24"/>
                <w:szCs w:val="24"/>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3,356,533</w:t>
            </w: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448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69"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Excludes financing leases of $461.6 million at September 30, 2026 and $441.9 million at December 31, 2025.</w:t>
      </w:r>
    </w:p>
    <w:p>
      <w:pPr>
        <w:spacing w:after="0" w:line="27" w:lineRule="exact"/>
        <w:rPr>
          <w:rFonts w:ascii="Times New Roman" w:cs="Times New Roman" w:eastAsia="Times New Roman" w:hAnsi="Times New Roman"/>
          <w:sz w:val="13"/>
          <w:szCs w:val="13"/>
          <w:color w:val="auto"/>
        </w:rPr>
      </w:pPr>
    </w:p>
    <w:p>
      <w:pPr>
        <w:ind w:left="320" w:hanging="315"/>
        <w:spacing w:after="0" w:line="251" w:lineRule="auto"/>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Excludes deposit liabilities with no defined or contractual maturity of $17.0 billion as of September 30, 2026 and $17.1 billion as of December 31, 2025.</w:t>
      </w:r>
    </w:p>
    <w:p>
      <w:pPr>
        <w:spacing w:after="0" w:line="37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Unfunded loan and lease commitments and letters of credit are not included in the tables above. As of both September 30, 2026 and December 31, 2025, the Company had $6.9 billion of unfunded loan and lease commitments and letters of credit. The Company believes that a reasonable estimate of the fair value of these instruments is the carrying value of deferred fees plus the related reserve for unfunded commitments, which totaled $54.7 million and $49.7 million at September 30, 2026 and December 31, 2025, respectively. No active trading market exists for these instruments, and the estimated fair value does not include value associated with the borrower relationship. The Company does not estimate the fair values of certain unfunded loan and lease commitments that can be canceled by providing notice to the borrower. As Company-level data is incorporated into the fair value measurement, unfunded loan and lease commitments and letters of credit are classified as Level 3.</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Valuation Techniques Used in the Fair Value Measurement of Assets and Liabilities Carried at the Lower of Cost or Fair Value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applies the following valuation techniques to assets measured at the lower of cost or fair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9" w:lineRule="exact"/>
        <w:rPr>
          <w:sz w:val="20"/>
          <w:szCs w:val="20"/>
          <w:color w:val="auto"/>
        </w:rPr>
      </w:pPr>
    </w:p>
    <w:p>
      <w:pPr>
        <w:jc w:val="both"/>
        <w:ind w:firstLine="311"/>
        <w:spacing w:after="0" w:line="253" w:lineRule="auto"/>
        <w:rPr>
          <w:sz w:val="20"/>
          <w:szCs w:val="20"/>
          <w:color w:val="auto"/>
        </w:rPr>
      </w:pPr>
      <w:r>
        <w:rPr>
          <w:rFonts w:ascii="Times New Roman" w:cs="Times New Roman" w:eastAsia="Times New Roman" w:hAnsi="Times New Roman"/>
          <w:sz w:val="18"/>
          <w:szCs w:val="18"/>
          <w:color w:val="auto"/>
        </w:rPr>
        <w:t>MSRs are carried at the lower of cost or fair value and are therefore subject to fair value measurements on a nonrecurring basis. The fair value of MSRs is determined using models which use significant unobservable inputs, such as estimates of prepayment rates, the resultant weighted average lives of the MSRs and the option-adjusted spread levels. Accordingly, the Company classifies MSRs as Level 3.</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Collateral-dependent loans</w:t>
      </w:r>
    </w:p>
    <w:p>
      <w:pPr>
        <w:spacing w:after="0" w:line="29" w:lineRule="exact"/>
        <w:rPr>
          <w:sz w:val="20"/>
          <w:szCs w:val="20"/>
          <w:color w:val="auto"/>
        </w:rPr>
      </w:pPr>
    </w:p>
    <w:p>
      <w:pPr>
        <w:jc w:val="both"/>
        <w:ind w:firstLine="308"/>
        <w:spacing w:after="0" w:line="251" w:lineRule="auto"/>
        <w:rPr>
          <w:sz w:val="20"/>
          <w:szCs w:val="20"/>
          <w:color w:val="auto"/>
        </w:rPr>
      </w:pPr>
      <w:r>
        <w:rPr>
          <w:rFonts w:ascii="Times New Roman" w:cs="Times New Roman" w:eastAsia="Times New Roman" w:hAnsi="Times New Roman"/>
          <w:sz w:val="18"/>
          <w:szCs w:val="18"/>
          <w:color w:val="auto"/>
        </w:rPr>
        <w:t>Collateral-dependent loans are those for which repayment is expected to be provided substantially through the operation or sale of the collateral. These loans are measured at fair value on a nonrecurring basis using collateral values as a practical expedient. The fair values of collateral are primarily based on real estate appraisal reports prepared by third-party appraisers less estimated selling costs. The Company may also use another available source of collateral assessment, such as purchase offers, letters of intent, broker price opinions or real property tax assessment values, to determine a reasonable estimate of the fair value of the collateral. The fair value of other collateral such as business assets is typically ascertained by assessing inventory listings and borrower’s financial statements less estimated selling costs. The Company measures the estimated credit losses on collateral-dependent loans by performing a lower of cost or fair value analysis. If the estimated credit losses are determined by the value of the collateral, the net carrying amount is adjusted to fair value on a nonrecurring basis as Level 3 by recognizing an ACL.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real estate owned</w:t>
      </w:r>
    </w:p>
    <w:p>
      <w:pPr>
        <w:spacing w:after="0" w:line="29" w:lineRule="exact"/>
        <w:rPr>
          <w:sz w:val="20"/>
          <w:szCs w:val="20"/>
          <w:color w:val="auto"/>
        </w:rPr>
      </w:pPr>
    </w:p>
    <w:p>
      <w:pPr>
        <w:jc w:val="both"/>
        <w:ind w:firstLine="308"/>
        <w:spacing w:after="0" w:line="253" w:lineRule="auto"/>
        <w:rPr>
          <w:sz w:val="20"/>
          <w:szCs w:val="20"/>
          <w:color w:val="auto"/>
        </w:rPr>
      </w:pPr>
      <w:r>
        <w:rPr>
          <w:rFonts w:ascii="Times New Roman" w:cs="Times New Roman" w:eastAsia="Times New Roman" w:hAnsi="Times New Roman"/>
          <w:sz w:val="18"/>
          <w:szCs w:val="18"/>
          <w:color w:val="auto"/>
        </w:rPr>
        <w:t>The Company values these properties at fair value at the time the Company acquires them, which establishes their new cost basis. After acquisition, the Company carries such properties at the lower of cost or fair value less estimated selling costs on a nonrecurring basis. Fair value is measured on a nonrecurring basis using collateral values as a practical expedient. The fair values of collateral for other real estate owned are primarily based on real estate appraisal reports prepared by third-party appraisers less disposition costs and are classified as Level 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Recorded at Fair Value on a Nonrecurring Basis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be required to record certain assets at fair value on a nonrecurring basis in accordance with GAAP. These assets are subject to fair value adjustments that result from the application of lower of cost or fair value accounting or write-downs of individual assets to fair value.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level of valuation inputs used to determine each fair value adjustment and the fair value of the related individual assets or portfolio of assets with fair value adjustments on a nonrecurring basis as of September 30, 2026 and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5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Collateral-dependent loans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29,543</w:t>
            </w: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Collateral-dependent loans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expected credit losses recognized on collateral-dependent loans were $18.4 million and $14.3 million for the three and nine months ended September 30, 2026, respectively, and $1.9 million and $2.2 million for the three and nine months ended September 30,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Reportable Operating Segments</w:t>
      </w:r>
    </w:p>
    <w:p>
      <w:pPr>
        <w:spacing w:after="0" w:line="229"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8"/>
          <w:szCs w:val="18"/>
          <w:color w:val="auto"/>
        </w:rPr>
        <w:t>The Company’s reportable segments are based on the manner in which management organizes the business for making operating decisions and assessing performance. These segments reflect how discrete financial information is currently evaluated by the chief operating decision maker and how performance is assessed and resources are allocated. The Company’s internal management process measures the performance of these business segments. This process, which is not necessarily comparable with similar information for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8"/>
          <w:szCs w:val="18"/>
          <w:color w:val="auto"/>
        </w:rPr>
        <w:t>During the quarter ended December 31, 2025, the Company realigned its internal organizational and management reporting structure. As a result of this change, the Company reduced its reportable operating segments from three to two. The Company’s reportable segments are now Retail Banking and Commercial Banking. Activities previously reported within the Treasury and Other segment are now included in Corporate/Other, as Treasury exists to support the Company’s operating segments. The change in reportable segments reflects how the Company’s chief operating decision maker currently evaluates performance and allocates resources. The Company has reported its selected financial information using two reportable operating segments for the three and nine months ended September 30, 2026 and 2025.</w:t>
      </w:r>
    </w:p>
    <w:p>
      <w:pPr>
        <w:spacing w:after="0" w:line="189"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Corporate/Other.</w:t>
      </w:r>
    </w:p>
    <w:p>
      <w:pPr>
        <w:spacing w:after="0" w:line="18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The Company allocates the provision for credit losses from Corporate/Other (which includes activity within the Company’s support units) to the Retail Banking and Commercial Banking business segments. These allocations are based on direct costs incurred by the Retail Banking and Commercial Banking business segments.</w:t>
      </w:r>
    </w:p>
    <w:p>
      <w:pPr>
        <w:spacing w:after="0" w:line="17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8"/>
          <w:szCs w:val="18"/>
          <w:color w:val="auto"/>
        </w:rPr>
        <w:t>Noninterest income and expense includes allocations from support units to the business segments. These allocations are based on actual usage where practicably calculated or by management’s estimate of such usage. Income tax expense is allocated to each business segment as well as Corporate/Other based on the consolidated effective income tax rate for the period shown.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Banking</w:t>
      </w:r>
    </w:p>
    <w:p>
      <w:pPr>
        <w:spacing w:after="0" w:line="29" w:lineRule="exact"/>
        <w:rPr>
          <w:sz w:val="20"/>
          <w:szCs w:val="20"/>
          <w:color w:val="auto"/>
        </w:rPr>
      </w:pPr>
    </w:p>
    <w:p>
      <w:pPr>
        <w:jc w:val="both"/>
        <w:ind w:firstLine="311"/>
        <w:spacing w:after="0" w:line="252" w:lineRule="auto"/>
        <w:rPr>
          <w:sz w:val="20"/>
          <w:szCs w:val="20"/>
          <w:color w:val="auto"/>
        </w:rPr>
      </w:pPr>
      <w:r>
        <w:rPr>
          <w:rFonts w:ascii="Times New Roman" w:cs="Times New Roman" w:eastAsia="Times New Roman" w:hAnsi="Times New Roman"/>
          <w:sz w:val="18"/>
          <w:szCs w:val="18"/>
          <w:color w:val="auto"/>
        </w:rPr>
        <w:t>Retail Banking offers a broad range of financial products and services to consumers and small businesses. Loan and lease products offered include residential and commercial mortgage loans, home equity lines of credit and loans, automobile loans and leases, secured and unsecured lines of credit, installment loans and small business loans and leases. Deposit products offered include checking, savings, and time deposit accounts. Retail Banking also offers wealth management services. Products and services from Retail Banking are delivered to customers through 49 banking locations throughout the State of Hawaii, Guam and Saipan.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Commercial Banking offers products that include corporate banking related products, commercial real estate loans, commercial lease financing, secured and unsecured lines of credit, automobile loans and auto dealer financing, business deposit products and credit cards. Commercial lending and deposit products are offered primarily to middle-market and large companies locally, nationally and internationally.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Corporate/Other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Corporate/Other includes activity within the support units of the Company and not associated with a segment. One such area is Treasury, which includes activities surrounding the management of interest-bearing deposits, investment securities, federal funds sold and purchased, government deposits, short- and long-term borrowings and bank-owned properties (and these assets’ and liabilities’ related interest income and expense). The primary sources of noninterest income are from bank-owned life insurance, net gains from the sale of investment securities, foreign exchange income related to customer driven cross-border wires for business and personal reasons and management of bank-owned properties. The net residual effect of the transfer pricing of assets and liabilities is included in Corporate/Other, along with the elimination of intercompany transactions.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organizational units within Corporate/Other (such as Technology, Operations, Credit and Risk Management, Human Resources, Finance, Administration, Marketing and Corporate and Regulatory Administration) provide a wide range of support to the Company’s reportable segments. Expenses incurred by these support units are charged to the business segments through an internal cost allocation process.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business segment and Corporate/Other financial information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6"/>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Retail</w:t>
            </w:r>
          </w:p>
        </w:tc>
        <w:tc>
          <w:tcPr>
            <w:tcW w:w="20" w:type="dxa"/>
            <w:vAlign w:val="bottom"/>
          </w:tcPr>
          <w:p>
            <w:pPr>
              <w:spacing w:after="0"/>
              <w:rPr>
                <w:sz w:val="9"/>
                <w:szCs w:val="9"/>
                <w:color w:val="auto"/>
              </w:rPr>
            </w:pPr>
          </w:p>
        </w:tc>
        <w:tc>
          <w:tcPr>
            <w:tcW w:w="700" w:type="dxa"/>
            <w:vAlign w:val="bottom"/>
            <w:gridSpan w:val="3"/>
          </w:tcPr>
          <w:p>
            <w:pPr>
              <w:jc w:val="right"/>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40" w:type="dxa"/>
            <w:vAlign w:val="bottom"/>
          </w:tcPr>
          <w:p>
            <w:pPr>
              <w:spacing w:after="0"/>
              <w:rPr>
                <w:sz w:val="9"/>
                <w:szCs w:val="9"/>
                <w:color w:val="auto"/>
              </w:rPr>
            </w:pPr>
          </w:p>
        </w:tc>
        <w:tc>
          <w:tcPr>
            <w:tcW w:w="680" w:type="dxa"/>
            <w:vAlign w:val="bottom"/>
            <w:gridSpan w:val="3"/>
          </w:tcPr>
          <w:p>
            <w:pPr>
              <w:jc w:val="right"/>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Corporate/</w:t>
            </w:r>
          </w:p>
        </w:tc>
        <w:tc>
          <w:tcPr>
            <w:tcW w:w="20" w:type="dxa"/>
            <w:vAlign w:val="bottom"/>
          </w:tcPr>
          <w:p>
            <w:pPr>
              <w:spacing w:after="0"/>
              <w:rPr>
                <w:sz w:val="9"/>
                <w:szCs w:val="9"/>
                <w:color w:val="auto"/>
              </w:rPr>
            </w:pPr>
          </w:p>
        </w:tc>
        <w:tc>
          <w:tcPr>
            <w:tcW w:w="72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Retail</w:t>
            </w:r>
          </w:p>
        </w:tc>
        <w:tc>
          <w:tcPr>
            <w:tcW w:w="20" w:type="dxa"/>
            <w:vAlign w:val="bottom"/>
          </w:tcPr>
          <w:p>
            <w:pPr>
              <w:spacing w:after="0"/>
              <w:rPr>
                <w:sz w:val="9"/>
                <w:szCs w:val="9"/>
                <w:color w:val="auto"/>
              </w:rPr>
            </w:pPr>
          </w:p>
        </w:tc>
        <w:tc>
          <w:tcPr>
            <w:tcW w:w="70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40" w:type="dxa"/>
            <w:vAlign w:val="bottom"/>
          </w:tcPr>
          <w:p>
            <w:pPr>
              <w:spacing w:after="0"/>
              <w:rPr>
                <w:sz w:val="9"/>
                <w:szCs w:val="9"/>
                <w:color w:val="auto"/>
              </w:rPr>
            </w:pPr>
          </w:p>
        </w:tc>
        <w:tc>
          <w:tcPr>
            <w:tcW w:w="680" w:type="dxa"/>
            <w:vAlign w:val="bottom"/>
            <w:gridSpan w:val="3"/>
          </w:tcPr>
          <w:p>
            <w:pPr>
              <w:jc w:val="right"/>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Corporate/</w:t>
            </w:r>
          </w:p>
        </w:tc>
        <w:tc>
          <w:tcPr>
            <w:tcW w:w="40" w:type="dxa"/>
            <w:vAlign w:val="bottom"/>
          </w:tcPr>
          <w:p>
            <w:pPr>
              <w:spacing w:after="0"/>
              <w:rPr>
                <w:sz w:val="9"/>
                <w:szCs w:val="9"/>
                <w:color w:val="auto"/>
              </w:rPr>
            </w:pPr>
          </w:p>
        </w:tc>
        <w:tc>
          <w:tcPr>
            <w:tcW w:w="74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Banking</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Banking</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Banking</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Banking</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32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85,789</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106,670</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42,084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234,543</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254,651</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315,181</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126,776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696,608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1"/>
                <w:szCs w:val="11"/>
                <w:color w:val="auto"/>
              </w:rPr>
              <w:t xml:space="preserve">Intersegment interest allocations </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(63,590)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(75,390)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138,980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(188,991)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(222,416)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411,407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top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interest income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22,199</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31,280</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181,064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234,543</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65,660</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92,765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538,183</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696,608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(44,438)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(14,615)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(1,386)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(60,439)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(132,677)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(44,036)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(7,268)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(183,981)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1"/>
                <w:szCs w:val="11"/>
                <w:color w:val="auto"/>
              </w:rPr>
              <w:t xml:space="preserve">Intersegment interest allocations </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158,946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28,690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(187,636)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466,641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85,695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(552,336)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top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interest expense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114,508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14,075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(189,022)</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(60,439)</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333,964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41,659</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(559,604)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(183,981)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Net interest income (expense)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136,707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45,355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(7,958)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174,104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399,624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134,424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(21,421)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512,627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(7,874)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(10,455)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(1,979)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(20,308)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(11,580)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(15,374)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(3,954)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(30,908)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00" w:type="dxa"/>
            <w:vAlign w:val="bottom"/>
            <w:tcBorders>
              <w:top w:val="single" w:sz="8" w:color="CCEEFF"/>
            </w:tcBorders>
            <w:shd w:val="clear" w:color="auto" w:fill="CCEEFF"/>
          </w:tcPr>
          <w:p>
            <w:pPr>
              <w:ind w:left="220"/>
              <w:spacing w:after="0" w:line="95" w:lineRule="exact"/>
              <w:rPr>
                <w:sz w:val="20"/>
                <w:szCs w:val="20"/>
                <w:color w:val="auto"/>
              </w:rPr>
            </w:pPr>
            <w:r>
              <w:rPr>
                <w:rFonts w:ascii="Times New Roman" w:cs="Times New Roman" w:eastAsia="Times New Roman" w:hAnsi="Times New Roman"/>
                <w:sz w:val="10"/>
                <w:szCs w:val="10"/>
                <w:b w:val="1"/>
                <w:bCs w:val="1"/>
                <w:color w:val="auto"/>
              </w:rPr>
              <w:t>Net interest income (expense) after provision for credit</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128,833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34,900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(9,937)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153,796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388,044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119,050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(25,375)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481,719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Noninterest income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30,488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18,939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6,696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56,123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87,738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58,996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22,489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169,223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Salaries and employee benefits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(25,462)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(5,063)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(32,634)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(63,159)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(78,245)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(14,968)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(96,412)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(189,625)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Contracted services and professional fees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(2,727)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(4,662)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(6,414)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(13,803)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(8,139)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(12,776)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(21,072)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(41,987)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Occupancy</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(8,480)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1,654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(7,333)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(24,730)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(1,516)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3,195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(23,051)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Equipment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(1,411)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(13,386)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(15,308)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(4,263)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(1,485)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(38,904)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(44,652)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Card rewards program</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(9,125)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(9,125)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(25,932)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5"/>
                <w:szCs w:val="15"/>
                <w:color w:val="auto"/>
                <w:vertAlign w:val="superscript"/>
              </w:rPr>
              <w:t>(2)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(38,099)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(1,226)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(11,994)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(51,319)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(108,781)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(3,829)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19,480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(93,130)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top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Noninterest expense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(76,179)</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(21,094)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(62,774)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(160,047)</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(224,158)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(60,506)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(133,713)</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(418,377)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w w:val="99"/>
              </w:rPr>
              <w:t>Income (loss) before (provision) benefit for income taxes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83,142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32,745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(66,015)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49,872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251,624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117,540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(136,599)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232,565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(Provision) benefit for income taxes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(12,897)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(2,780)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29,535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13,858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(53,062)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(19,370)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44,756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(27,676)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70,245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29,965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(36,480)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63,730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198,562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98,170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(91,843)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204,889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Segment Disclosures: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1"/>
                <w:szCs w:val="11"/>
                <w:color w:val="auto"/>
              </w:rPr>
              <w:t xml:space="preserve">Depreciation and amortization </w:t>
            </w:r>
            <w:r>
              <w:rPr>
                <w:rFonts w:ascii="Times New Roman" w:cs="Times New Roman" w:eastAsia="Times New Roman" w:hAnsi="Times New Roman"/>
                <w:sz w:val="15"/>
                <w:szCs w:val="15"/>
                <w:color w:val="auto"/>
                <w:vertAlign w:val="superscript"/>
              </w:rPr>
              <w:t>(3)</w:t>
            </w:r>
          </w:p>
        </w:tc>
        <w:tc>
          <w:tcPr>
            <w:tcW w:w="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1,425</w:t>
            </w:r>
          </w:p>
        </w:tc>
        <w:tc>
          <w:tcPr>
            <w:tcW w:w="4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w:t>
            </w:r>
          </w:p>
        </w:tc>
        <w:tc>
          <w:tcPr>
            <w:tcW w:w="4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3,758</w:t>
            </w:r>
          </w:p>
        </w:tc>
        <w:tc>
          <w:tcPr>
            <w:tcW w:w="4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5,220</w:t>
            </w:r>
          </w:p>
        </w:tc>
        <w:tc>
          <w:tcPr>
            <w:tcW w:w="4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4,464</w:t>
            </w:r>
          </w:p>
        </w:tc>
        <w:tc>
          <w:tcPr>
            <w:tcW w:w="4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122</w:t>
            </w:r>
          </w:p>
        </w:tc>
        <w:tc>
          <w:tcPr>
            <w:tcW w:w="4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11,658</w:t>
            </w:r>
          </w:p>
        </w:tc>
        <w:tc>
          <w:tcPr>
            <w:tcW w:w="4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16,244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Segment earning assets</w:t>
            </w:r>
            <w:r>
              <w:rPr>
                <w:rFonts w:ascii="Times New Roman" w:cs="Times New Roman" w:eastAsia="Times New Roman" w:hAnsi="Times New Roman"/>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7,120,616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7,346,363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6,443,734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20,910,713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7,120,616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7,346,363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6,443,734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20,910,713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Retail</w:t>
            </w:r>
          </w:p>
        </w:tc>
        <w:tc>
          <w:tcPr>
            <w:tcW w:w="20" w:type="dxa"/>
            <w:vAlign w:val="bottom"/>
          </w:tcPr>
          <w:p>
            <w:pPr>
              <w:spacing w:after="0"/>
              <w:rPr>
                <w:sz w:val="9"/>
                <w:szCs w:val="9"/>
                <w:color w:val="auto"/>
              </w:rPr>
            </w:pPr>
          </w:p>
        </w:tc>
        <w:tc>
          <w:tcPr>
            <w:tcW w:w="720" w:type="dxa"/>
            <w:vAlign w:val="bottom"/>
            <w:gridSpan w:val="3"/>
          </w:tcPr>
          <w:p>
            <w:pPr>
              <w:jc w:val="right"/>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20" w:type="dxa"/>
            <w:vAlign w:val="bottom"/>
          </w:tcPr>
          <w:p>
            <w:pPr>
              <w:spacing w:after="0"/>
              <w:rPr>
                <w:sz w:val="9"/>
                <w:szCs w:val="9"/>
                <w:color w:val="auto"/>
              </w:rPr>
            </w:pPr>
          </w:p>
        </w:tc>
        <w:tc>
          <w:tcPr>
            <w:tcW w:w="680" w:type="dxa"/>
            <w:vAlign w:val="bottom"/>
            <w:gridSpan w:val="3"/>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Corporate/</w:t>
            </w:r>
          </w:p>
        </w:tc>
        <w:tc>
          <w:tcPr>
            <w:tcW w:w="40" w:type="dxa"/>
            <w:vAlign w:val="bottom"/>
          </w:tcPr>
          <w:p>
            <w:pPr>
              <w:spacing w:after="0"/>
              <w:rPr>
                <w:sz w:val="9"/>
                <w:szCs w:val="9"/>
                <w:color w:val="auto"/>
              </w:rPr>
            </w:pPr>
          </w:p>
        </w:tc>
        <w:tc>
          <w:tcPr>
            <w:tcW w:w="7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Retail</w:t>
            </w:r>
          </w:p>
        </w:tc>
        <w:tc>
          <w:tcPr>
            <w:tcW w:w="20" w:type="dxa"/>
            <w:vAlign w:val="bottom"/>
          </w:tcPr>
          <w:p>
            <w:pPr>
              <w:spacing w:after="0"/>
              <w:rPr>
                <w:sz w:val="9"/>
                <w:szCs w:val="9"/>
                <w:color w:val="auto"/>
              </w:rPr>
            </w:pPr>
          </w:p>
        </w:tc>
        <w:tc>
          <w:tcPr>
            <w:tcW w:w="720" w:type="dxa"/>
            <w:vAlign w:val="bottom"/>
            <w:gridSpan w:val="3"/>
          </w:tcPr>
          <w:p>
            <w:pPr>
              <w:jc w:val="right"/>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20" w:type="dxa"/>
            <w:vAlign w:val="bottom"/>
          </w:tcPr>
          <w:p>
            <w:pPr>
              <w:spacing w:after="0"/>
              <w:rPr>
                <w:sz w:val="9"/>
                <w:szCs w:val="9"/>
                <w:color w:val="auto"/>
              </w:rPr>
            </w:pPr>
          </w:p>
        </w:tc>
        <w:tc>
          <w:tcPr>
            <w:tcW w:w="700" w:type="dxa"/>
            <w:vAlign w:val="bottom"/>
            <w:gridSpan w:val="3"/>
          </w:tcPr>
          <w:p>
            <w:pPr>
              <w:jc w:val="right"/>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Corporate/</w:t>
            </w:r>
          </w:p>
        </w:tc>
        <w:tc>
          <w:tcPr>
            <w:tcW w:w="20" w:type="dxa"/>
            <w:vAlign w:val="bottom"/>
          </w:tcPr>
          <w:p>
            <w:pPr>
              <w:spacing w:after="0"/>
              <w:rPr>
                <w:sz w:val="9"/>
                <w:szCs w:val="9"/>
                <w:color w:val="auto"/>
              </w:rPr>
            </w:pPr>
          </w:p>
        </w:tc>
        <w:tc>
          <w:tcPr>
            <w:tcW w:w="78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Banking</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Banking</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Banking</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Banking</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312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83,715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112,442</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46,418</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242,575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246,065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334,822</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133,577</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714,464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1"/>
                <w:szCs w:val="11"/>
                <w:color w:val="auto"/>
              </w:rPr>
              <w:t xml:space="preserve">Intersegment interest allocations </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(61,737)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(82,678)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144,415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(183,186)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(245,681)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428,867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interest income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21,978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29,764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190,833</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242,575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62,879</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89,141</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562,444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714,464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(49,893)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(17,812)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(5,539)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(73,244)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(152,773)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(51,138)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(17,113)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(221,024)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1"/>
                <w:szCs w:val="11"/>
                <w:color w:val="auto"/>
              </w:rPr>
              <w:t xml:space="preserve">Intersegment interest allocations </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159,705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32,302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(192,007)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475,188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94,816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(570,004)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interest expense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109,812</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14,490</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(197,546)</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(73,244)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322,415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43,678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(587,117)</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Net interest income (expense)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131,790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44,254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(6,713)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169,331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385,294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132,819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(24,673)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493,440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(774)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(876)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(2,850)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(4,500)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(7,576)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(8,574)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(3,350)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120" w:type="dxa"/>
            <w:vAlign w:val="bottom"/>
            <w:tcBorders>
              <w:top w:val="single" w:sz="8" w:color="CCEEFF"/>
            </w:tcBorders>
            <w:gridSpan w:val="2"/>
            <w:shd w:val="clear" w:color="auto" w:fill="CCEEFF"/>
          </w:tcPr>
          <w:p>
            <w:pPr>
              <w:ind w:left="220"/>
              <w:spacing w:after="0" w:line="95" w:lineRule="exact"/>
              <w:rPr>
                <w:sz w:val="20"/>
                <w:szCs w:val="20"/>
                <w:color w:val="auto"/>
              </w:rPr>
            </w:pPr>
            <w:r>
              <w:rPr>
                <w:rFonts w:ascii="Times New Roman" w:cs="Times New Roman" w:eastAsia="Times New Roman" w:hAnsi="Times New Roman"/>
                <w:sz w:val="10"/>
                <w:szCs w:val="10"/>
                <w:b w:val="1"/>
                <w:bCs w:val="1"/>
                <w:color w:val="auto"/>
              </w:rPr>
              <w:t>Net interest income (expense) after provision for</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(9,563)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164,831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377,718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124,245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(28,023)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Noninterest income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28,512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21,074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7,474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57,060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82,917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57,868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20,710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161,495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Salaries and employee benefits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(24,150)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(4,482)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(32,901)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(61,533)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(74,505)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(14,237)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(92,396)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(181,138)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Contracted services and professional fees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(2,763)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(4,517)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(8,505)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(15,785)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(8,735)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(12,725)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(25,161)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Occupancy</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(7,725)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(486)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(7,098)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(22,434)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(1,459)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(23,132)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Equipment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(466)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(12,063)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(13,834)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(4,150)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(1,387)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(36,205)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(41,742)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Card rewards program</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(8,694)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(8,694)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(25,019)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5"/>
                <w:szCs w:val="15"/>
                <w:color w:val="auto"/>
                <w:vertAlign w:val="superscript"/>
              </w:rPr>
              <w:t>(2)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(35,621)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(2,006)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18,827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(18,800)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(107,241)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(5,613)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56,263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(56,591)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Noninterest expense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(71,564)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(20,651)</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(33,529)</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(125,744)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(217,065)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(60,440)</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(96,738)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(374,243)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w w:val="96"/>
              </w:rPr>
              <w:t>Income (loss) before (provision) benefit for income taxes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87,964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43,801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(35,618)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96,147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243,570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121,673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(104,051)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261,192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(Provision) benefit for income taxes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(21,381)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(9,237)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(22,307)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(54,132)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(23,296)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22,571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(54,857)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66,583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34,564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(27,307)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73,840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189,438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98,377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(81,480)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206,335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Segment Disclosures: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line="135" w:lineRule="exact"/>
              <w:rPr>
                <w:sz w:val="20"/>
                <w:szCs w:val="20"/>
                <w:color w:val="auto"/>
              </w:rPr>
            </w:pPr>
            <w:r>
              <w:rPr>
                <w:rFonts w:ascii="Times New Roman" w:cs="Times New Roman" w:eastAsia="Times New Roman" w:hAnsi="Times New Roman"/>
                <w:sz w:val="11"/>
                <w:szCs w:val="11"/>
                <w:color w:val="auto"/>
              </w:rPr>
              <w:t xml:space="preserve">Depreciation and amortization </w:t>
            </w:r>
            <w:r>
              <w:rPr>
                <w:rFonts w:ascii="Times New Roman" w:cs="Times New Roman" w:eastAsia="Times New Roman" w:hAnsi="Times New Roman"/>
                <w:sz w:val="15"/>
                <w:szCs w:val="15"/>
                <w:color w:val="auto"/>
                <w:vertAlign w:val="superscript"/>
              </w:rPr>
              <w:t>(3)</w:t>
            </w:r>
          </w:p>
        </w:tc>
        <w:tc>
          <w:tcPr>
            <w:tcW w:w="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w:t>
            </w:r>
          </w:p>
        </w:tc>
        <w:tc>
          <w:tcPr>
            <w:tcW w:w="4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4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3,872</w:t>
            </w:r>
          </w:p>
        </w:tc>
        <w:tc>
          <w:tcPr>
            <w:tcW w:w="2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4,941</w:t>
            </w:r>
          </w:p>
        </w:tc>
        <w:tc>
          <w:tcPr>
            <w:tcW w:w="4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3,044</w:t>
            </w:r>
          </w:p>
        </w:tc>
        <w:tc>
          <w:tcPr>
            <w:tcW w:w="4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4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12,954</w:t>
            </w:r>
          </w:p>
        </w:tc>
        <w:tc>
          <w:tcPr>
            <w:tcW w:w="40" w:type="dxa"/>
            <w:vAlign w:val="bottom"/>
          </w:tcPr>
          <w:p>
            <w:pPr>
              <w:spacing w:after="0"/>
              <w:rPr>
                <w:sz w:val="11"/>
                <w:szCs w:val="11"/>
                <w:color w:val="auto"/>
              </w:rPr>
            </w:pPr>
          </w:p>
        </w:tc>
        <w:tc>
          <w:tcPr>
            <w:tcW w:w="1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Segment earning assets</w:t>
            </w:r>
            <w:r>
              <w:rPr>
                <w:rFonts w:ascii="Times New Roman" w:cs="Times New Roman" w:eastAsia="Times New Roman" w:hAnsi="Times New Roman"/>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7,098,572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7,036,472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7,207,503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21,342,547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7,098,572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7,036,472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7,207,503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21,342,547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61" w:lineRule="auto"/>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Intersegment interest allocations are the result of funds transfer-pricing methodologies that are utilized to allocate a cost for the funding of assets and a credit for the collection of deposits from Corporate/Other to the business segment assets and liabilities.</w:t>
      </w:r>
    </w:p>
    <w:p>
      <w:pPr>
        <w:jc w:val="both"/>
        <w:ind w:left="320" w:hanging="315"/>
        <w:spacing w:after="0" w:line="254" w:lineRule="auto"/>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segment items included in segment net income includes advertising and marketing, regulatory assessment and fees, merger-related costs, allocations and transfer pricing on non-earning assets, liabilities and equity, and other miscellaneous and administrative fees. Amounts included in the Corporate/Other column are not related to the segments but include the effect of certain expense allocations or transfer pricing to the segments.</w:t>
      </w:r>
    </w:p>
    <w:p>
      <w:pPr>
        <w:spacing w:after="0" w:line="1" w:lineRule="exact"/>
        <w:rPr>
          <w:rFonts w:ascii="Times New Roman" w:cs="Times New Roman" w:eastAsia="Times New Roman" w:hAnsi="Times New Roman"/>
          <w:sz w:val="13"/>
          <w:szCs w:val="13"/>
          <w:color w:val="auto"/>
        </w:rPr>
      </w:pPr>
    </w:p>
    <w:p>
      <w:pPr>
        <w:ind w:left="320" w:right="20" w:hanging="315"/>
        <w:spacing w:after="0" w:line="251" w:lineRule="auto"/>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amounts of depreciation and amortization disclosed by the reportable segments and Corporate/Other are included within equipment, occupancy, other segment items, and noninterest income.</w:t>
      </w:r>
    </w:p>
    <w:p>
      <w:pPr>
        <w:ind w:left="320" w:hanging="315"/>
        <w:spacing w:after="0" w:line="263" w:lineRule="auto"/>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Segment earning assets only apply to the Retail Banking and Commercial Banking segments. The Corporate/Other column includes earning assets not associated with a segment (such as investment securities, interest-bearing deposits and federal funds).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Proposed Merger with TriCo Bancshares</w:t>
      </w:r>
    </w:p>
    <w:p>
      <w:pPr>
        <w:spacing w:after="0" w:line="229"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8"/>
          <w:szCs w:val="18"/>
          <w:color w:val="auto"/>
        </w:rPr>
        <w:t>On July 12, 2026, First Hawaiian, Inc. and TriCo Bancshares (“TriCo”) entered into a definitive agreement (the “Merger Agreement”) under which, on the terms and conditions set forth therein, the Company will acquire TriCo in an all-stock transaction. Under the terms of the agreement, common shareholders of TriCo will receive 2.095 shares of First Hawaiian, Inc. common stock for each share of TriCo common stock, resulting in a transaction value of approximately $2 billion based on the closing price for First Hawaiian, Inc. common stock on July 10, 2026, the business day preceding the public announcement of the transaction, as reported on the Nasdaq Global Select Market.</w:t>
      </w:r>
    </w:p>
    <w:p>
      <w:pPr>
        <w:spacing w:after="0" w:line="187"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TriCo is headquartered in Chico, California with reported assets of approximately $10 billion as of June 30, 2026, and is the holding company of Tri Counties Bank. In conjunction with the closing of the Merger Agreement, four members of TriCo’s Board of Directors are expected to join the First Hawaiian, Inc. and First Hawaiian Bank Boards of Directors.</w:t>
      </w:r>
    </w:p>
    <w:p>
      <w:pPr>
        <w:spacing w:after="0" w:line="17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8"/>
          <w:szCs w:val="18"/>
          <w:color w:val="auto"/>
        </w:rPr>
        <w:t>On October 29, 2026, First Hawaiian, Inc. and TriCo jointly announced that all required approvals have been received from their respective stockholders and shareholders related to First Hawaiian’s acquisition of TriCo. The final voting results from each special meeting are reported in separate Current Reports on Form 8-K filed by First Hawaiian and TriCo with the U.S. Securities and Exchange Commission.</w:t>
      </w:r>
    </w:p>
    <w:p>
      <w:pPr>
        <w:spacing w:after="0" w:line="180"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Completion of the transaction remains subject to the satisfaction or waiver of the remaining customary closing conditions set forth in the Merger Agreement. First Hawaiian and TriCo expect the transaction to close later in 2026, subject to these conditions.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documents incorporated by reference herein, contains, and from time to time our management may make,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Statements regarding the expected timing, completion and effects of the proposed business combination between First Hawaiian, Inc. (“FHI”) and TriCo Bancshares (“TriCo”) and the plans, objectives and expectations of FHI are forward-looking statements. Statements that are not historical or current facts, are forward-looking statements,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 number of important factors could cause our actual results to differ materially from those indicated in these forward-looking statements, including the following: the geographic concentration of our business, current and future market and economic conditions generally or in Hawaii, Guam and Saipan in particular, including inflationary pressures and interest rate environment; our dependence on the real estate markets in which we operate; concentrated exposures to certain asset classes and individual obligors; the effect of changes in interest rates on our business, including our net interest income, net interest margin, the fair value of our investment securities, and our mortgage loan originations, mortgage servicing rights and mortgage loans held for sale; the future value of the investment securities that we own; the possibility of a deterioration in credit quality in our portfolio; the possibility we might underestimate the credit losses inherent in our loan and lease portfolio; our ability to attract and retain customer deposits; our inability to receive dividends from our bank, pay dividends to our common stockholders and satisfy obligations as they become due; our access to sources of liquidity and capital to address our liquidity needs; our ability to attract and retain skilled employees or changes in our management personnel; our ability to maintain our Bank's reputation; the failure to properly use and protect our customer and employee information and data; the possibility of employee misconduct or mistakes; the actual or perceived soundness of other financial institutions; the effectiveness of our risk management and internal disclosure controls and procedures; our ability to keep pace with technological changes; any failure or interruption of our information and communications systems; our ability to effectively compete with other financial services companies and the effects of competition in the financial services industry on our business; our ability to identify and address cybersecurity risks; the occurrence of fraudulent activity or effect of a material breach of, or disruption to, the security of any of our or our vendors’ systems; the development and use of AI; our ability to successfully develop and commercialize new or enhanced products and services; changes in the demand for our products and services; risks associated with the sale of loans and with our use of appraisals in valuing and monitoring loans; the possibility that actual results may differ from estimates and forecasts; fluctuations in the fair value of our assets and liabilities and off-balance sheet exposures; the effects of the failure of any component of our business infrastructure provided by a third party; the potential for environmental liability; the risk of being subject to litigation and the outcome thereof; the impact of, and changes in, applicable laws, regulations and accounting standards and policies; possible changes in trade, monetary and fiscal policies of, and other activities undertaken by, governments, agencies, central banks and similar organizations, including trade and other geopolitical tensions resulting from conflicts in the Middle East, the imposition of tariffs and tightening of export control regulations; the effects of severe weather, geopolitical instability, including war, terrorist attacks, pandemics or other severe health emergencies and natural disasters and other external events; the potential impact of climate change; our ability to maintain consistent growth, earnings and profitability; our likelihood of success in, and the impact of, litigation or regulatory actions; our ability to continue to pay dividends on our common stock; contingent liabilities and unexpected tax liabilities that may be applicable to us as a result of the Reorganization Transactions; the failure to close our previously announced merger with TriCo when expected or at all because required regulatory, First Hawaiian stockholder, TriCo shareholder or other approvals, or other conditions to closing, are not received or satisfied on a timely basis or at all, and the risk that any regulatory approvals may result in the imposition of conditions that could adversely affect the combined company or the expected benefits of the proposed merger; the occurrence of any event, change or other circumstances that</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could give rise to the right of one or both of the parties to terminate the Merger Agreement; the proposed merger being more expensive or taking longer to complete than anticipated, including as a result of unexpected factors or events; the diversion of management’s attention from ongoing business operations and opportunities due to the proposed merger; the dilutive effect of shares of our common stock to be issued in connection with the proposed merger; changes in our or TriCo’s share price before closing; the possibility that the anticipated benefits of the proposed merger with TriCo, including anticipated cost savings and strategic gains, are not realized when expected or at all, including as a result of the impact of, or problems arising from, the integration of the companies or as a result of the strength of the economy, competitive factors in the areas where we do business, or as a result of other unexpected factors or events; potential adverse reactions or changes to business or employee relationships, including those resulting from the announcement or completion of the proposed merger with TriCo; any change in the purchase accounting assumptions used regarding the TriCo assets acquired and liabilities assumed to determine the fair value and credit marks; and the outcome of any legal proceedings that may be instituted against FHI or TriCo related to the proposed merger; and damage to our reputation from any of the factors described above.</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considered an exhaustive list and should be read together with the risk factors and other cautionary statements included in our Annual Report on Form 10-K for the year ended December 31, 2025, as well as the risk factors related to the proposed merger with TriCo set forth in Part II, Item 1A of this Quarterly Report.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update any forward-looking statement, whether as a result of new information, future developments or otherwise, except as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FHI is a bank holding company, which owns 100% of the outstanding common stock of FHB, its only direct, wholly owned subsidiary. FHB was founded in 1858 under the name Bishop &amp; Company and was the first successful banking partnership in the Kingdom of Hawaii and the second oldest bank formed west of the Mississippi River. The Bank operates its business through two operating segments: Retail Banking and Commercial Banking. All other activities, including Treasury, are reported in Corporate/Other.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References to “we,” “our,” “us,” or the “Company” refer to the Parent and its subsidiary that are consolidated for financial reporting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reflect the results of operations, financial position and cash flows of FHI and its wholly owned subsidiary, FHB. All significant intercompany accounts and transactions have been eliminated in consolidation.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GAAP for interim financial information and with the instructions to Form 10-Q and Rule 10-01 of Regulation S-X. Accordingly, they do not include all of the information and accompanying notes required by GAAP for complete financial statements. In the opinion of management, the accompanying unaudited interim consolidated financial statements reflect normal recurring adjustments necessary for a fair presentation of the results for the interim periods.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should be read in conjunction with the audited consolidated financial statements and related notes included in the Company’s Annual Report on Form 10-K for the year ended December 31, 2025 and filed with the U.S.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12, 2026, FHI and TriCo entered into a definitive agreement (the “Merger Agreement”), pursuant to which, on the terms and subject to the conditions set forth therein, Horizon Merger Sub, Inc., a direct, wholly owned subsidiary of FHI, will merge with and into TriCo, with TriCo surviving the merger. Immediately following the merger, TriCo will merge with and into FHI, with FHI continuing as the surviving entity. Promptly following that second-step merger, Tri Counties Bank will merge with and into First Hawaiian Bank, with First Hawaiian Bank continuing as the surviving bank. Under the terms of the Merger Agreement, each share of TriCo common stock outstanding immediately prior to the effective time of the merger, subject to certain exceptions, will be converted into the right to receive 2.095 shares of First Hawaiian common stock, with cash paid in lieu of fractional shares. The exchange ratio is fixed, subject to adjustment as provided in the Merger Agreement.</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18. Proposed Merger with TriCo Bancshares” contained in our unaudited interim consolidated financial statements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12, 2026, concurrently with the execution of the Merger Agreement, FHI entered into voting and support agreements with each member of the TriCo board of directors (the “Voting and Support Agreements”), on identical terms except for the identity of the TriCo director signing the relevant agreement.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Voting and Support Agreements require, among other things, that each of the directors party thereto (in such directors’ capacity as shareholders only) (a) vote all of the shares of TriCo common stock owned by them: (i) in favor of the adoption of the Merger Agreement and (ii) against alternative transactions or other proposals that could prevent or materially delay the Merger, (b) grant a corresponding proxy with respect to their shares under certain circumstances and (c) not, directly or indirectly, sell, assign, transfer or otherwise dispose of their shares of TriCo common stock, subject to certain exceptions.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of the Voting and Support Agreements will terminate at the earliest of (a) the effective time of the merger, (b) the termination of the Merger Agreement in accordance with its terms, and (c)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Hawaii Economy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Hawaii’s economy continues to remain resilient in an environment facing challenges, including from: high consumer prices and housing affordability, both of which are expected to continue with the gradual pass-through of tariffs and the ongoing conflict with Iran; a steady out-migration of its population; adverse weather events alongside rising insurance costs; and slower economic growth with a 1.3% forecasted increase in the real gross domestic product for Hawaii in 2026 according to the State of Hawaii Department of Business, Economic Development &amp; Tourism (“DBEDT”) as compared to a 2.2% forecasted increase for the United States overall in 2026 according to the Congressional Budget Office’s Budget and Economic Outlook. Recent geopolitical developments, including the conflicts in the Middle East, elevate uncertainty.</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Despite these challenges, according to the State of Hawaii DBEDT, the statewide seasonally adjusted unemployment rate was 2.8% at September 30, 2026, which is lower than the national seasonally adjusted unemployment rate of 4.2%.</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Tourism also remains stable, with the average daily domestic passenger counts for the nine months ended September 30, 2026 being 3.2 percent higher than the average daily domestic passenger counts during the nine months ended September 30, 2025, according to the Hawaii Tourism Authority. Hawaii’s economy depends significantly on conditions of the U.S. economy and key international economies, particularly Japan, and the broader demand for travel of these key markets. International visitor arrivals have not yet recovered to pre-pandemic arrival levels and demand for tourism could be negatively impacted by increasing fuel prices.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local Oahu housing market, particularly condominiums, continues to experience some softening as compared to previous years primarily due to continued high interest rates and prices. According to the Honolulu Board of Realtors, the volume of single-family home sales increased by 5.9%, while condominium sales decreased by 2.4%, in each case when comparing the nine months ended September 30, 2026 with the same period in 2025. The median price of a single-family home sold on Oahu during the first nine months of 2026 was $1,180,000, an increase of 3.1% compared to the same period in 2025. The median price of a condominium sold on Oahu during the first nine months of 2026 was $515,000, an increase of 2.0% compared to the median price during the same period in 2025. As of September 30, 2026, months of inventory of single-family homes and condominiums on Oahu were approximately 3.2 and 7.0 months, respectively, as compared to 3.4 and 6.4 months, respectively, as of September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highlights for the periods indicated are presented in Table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Table 1</w:t>
            </w: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Statement Data:</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234,543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242,575</w:t>
            </w:r>
          </w:p>
        </w:tc>
        <w:tc>
          <w:tcPr>
            <w:tcW w:w="2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696,608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714,464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60,439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183,981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interest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174,104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512,627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153,796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481,719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Noninterest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169,223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Noninterest expense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160,047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125,744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418,377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374,243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49,872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96,147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232,565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(13,858)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27,676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63,730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204,889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206,335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0.52</w:t>
            </w:r>
          </w:p>
        </w:tc>
        <w:tc>
          <w:tcPr>
            <w:tcW w:w="24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2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20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weighted-average outstanding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121,681,309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124,267,090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121,933,207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125,282,792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weighted-average outstanding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122,478,489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124,970,898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122,716,742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125,977,271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50.00 %</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46.71 %</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47.56 %</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Other Financial Information / Performance Ratios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3.30 %</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3.25 %</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0" w:type="dxa"/>
            <w:vAlign w:val="bottom"/>
          </w:tcPr>
          <w:p>
            <w:pPr>
              <w:spacing w:after="0"/>
              <w:rPr>
                <w:sz w:val="1"/>
                <w:szCs w:val="1"/>
                <w:color w:val="auto"/>
              </w:rPr>
            </w:pPr>
          </w:p>
        </w:tc>
      </w:tr>
      <w:tr>
        <w:trPr>
          <w:trHeight w:val="212"/>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69.18 %</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61.08 %</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56.88 %</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total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1.06 %</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1.14 %</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Return on average tangible assets (non-GAAP)</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1.10 %</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1.19 %</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total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8.88 %</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9.75 %</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5"/>
        </w:trPr>
        <w:tc>
          <w:tcPr>
            <w:tcW w:w="39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Return on average tangible stockholders' equity (non-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20"/>
              <w:spacing w:after="0" w:line="230" w:lineRule="exact"/>
              <w:rPr>
                <w:sz w:val="20"/>
                <w:szCs w:val="20"/>
                <w:color w:val="auto"/>
              </w:rPr>
            </w:pPr>
            <w:r>
              <w:rPr>
                <w:rFonts w:ascii="Times New Roman" w:cs="Times New Roman" w:eastAsia="Times New Roman" w:hAnsi="Times New Roman"/>
                <w:sz w:val="16"/>
                <w:szCs w:val="16"/>
                <w:color w:val="auto"/>
              </w:rPr>
              <w:t>GAAP)</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13.67 %</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15.09 %</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16.45 %</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2.65 %</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2.33 %</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188"/>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0" w:type="dxa"/>
            <w:vAlign w:val="bottom"/>
          </w:tcPr>
          <w:p>
            <w:pPr>
              <w:spacing w:after="0"/>
              <w:rPr>
                <w:sz w:val="1"/>
                <w:szCs w:val="1"/>
                <w:color w:val="auto"/>
              </w:rPr>
            </w:pPr>
          </w:p>
        </w:tc>
      </w:tr>
      <w:tr>
        <w:trPr>
          <w:trHeight w:val="824"/>
        </w:trPr>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(continued)</w:t>
            </w:r>
          </w:p>
        </w:tc>
        <w:tc>
          <w:tcPr>
            <w:tcW w:w="180" w:type="dxa"/>
            <w:vAlign w:val="bottom"/>
          </w:tcPr>
          <w:p>
            <w:pPr>
              <w:spacing w:after="0"/>
              <w:rPr>
                <w:sz w:val="13"/>
                <w:szCs w:val="13"/>
                <w:color w:val="auto"/>
              </w:rPr>
            </w:pPr>
          </w:p>
        </w:tc>
        <w:tc>
          <w:tcPr>
            <w:tcW w:w="12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36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1,329,931</w:t>
            </w: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2,016,945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3,346,994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 and leases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14,462,228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credit losses for loans and leases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164,437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23,764,015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20,204,570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20,946,471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2,817,544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 value per share</w:t>
            </w:r>
          </w:p>
        </w:tc>
        <w:tc>
          <w:tcPr>
            <w:tcW w:w="3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23.16</w:t>
            </w: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Tangible book value per share (non-GAAP)</w:t>
            </w:r>
            <w:r>
              <w:rPr>
                <w:rFonts w:ascii="Times New Roman" w:cs="Times New Roman" w:eastAsia="Times New Roman" w:hAnsi="Times New Roman"/>
                <w:sz w:val="25"/>
                <w:szCs w:val="25"/>
                <w:color w:val="auto"/>
                <w:vertAlign w:val="superscript"/>
              </w:rPr>
              <w:t>(2)</w:t>
            </w:r>
          </w:p>
        </w:tc>
        <w:tc>
          <w:tcPr>
            <w:tcW w:w="3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Non-accrual loans and leases / total loans and leases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0.32 %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Allowance for credit losses for loans and leases / total loans and leases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charge-offs / average total loans and leases</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0.29 %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56"/>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80" w:type="dxa"/>
            <w:vAlign w:val="bottom"/>
          </w:tcPr>
          <w:p>
            <w:pPr>
              <w:spacing w:after="0"/>
              <w:rPr>
                <w:sz w:val="22"/>
                <w:szCs w:val="22"/>
                <w:color w:val="auto"/>
              </w:rPr>
            </w:pPr>
          </w:p>
        </w:tc>
        <w:tc>
          <w:tcPr>
            <w:tcW w:w="12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400" w:type="dxa"/>
            <w:vAlign w:val="bottom"/>
            <w:gridSpan w:val="2"/>
            <w:vMerge w:val="continue"/>
          </w:tcPr>
          <w:p>
            <w:pPr>
              <w:spacing w:after="0"/>
              <w:rPr>
                <w:sz w:val="17"/>
                <w:szCs w:val="17"/>
                <w:color w:val="auto"/>
              </w:rPr>
            </w:pPr>
          </w:p>
        </w:tc>
        <w:tc>
          <w:tcPr>
            <w:tcW w:w="36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Tier 1 Capital Ratio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13.50 %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Capital Ratio</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9.61 %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11.56 %</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Tangible stockholders' equity to tangible assets (non-GAAP)</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8.00 %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44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9" w:lineRule="exact"/>
        <w:rPr>
          <w:sz w:val="20"/>
          <w:szCs w:val="20"/>
          <w:color w:val="auto"/>
        </w:rPr>
      </w:pPr>
    </w:p>
    <w:p>
      <w:pPr>
        <w:ind w:left="320" w:right="20" w:hanging="315"/>
        <w:spacing w:after="0" w:line="208" w:lineRule="auto"/>
        <w:tabs>
          <w:tab w:leader="none" w:pos="32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Except for the efficiency ratio, amounts are annualized for the three and nine months ended September 30, 2026 and 2025.</w:t>
      </w:r>
    </w:p>
    <w:p>
      <w:pPr>
        <w:spacing w:after="0" w:line="226" w:lineRule="exact"/>
        <w:rPr>
          <w:rFonts w:ascii="Times New Roman" w:cs="Times New Roman" w:eastAsia="Times New Roman" w:hAnsi="Times New Roman"/>
          <w:sz w:val="27"/>
          <w:szCs w:val="27"/>
          <w:color w:val="auto"/>
          <w:vertAlign w:val="superscript"/>
        </w:rPr>
      </w:pPr>
    </w:p>
    <w:p>
      <w:pPr>
        <w:jc w:val="both"/>
        <w:ind w:left="320" w:hanging="315"/>
        <w:spacing w:after="0" w:line="239" w:lineRule="auto"/>
        <w:tabs>
          <w:tab w:leader="none" w:pos="32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Return on average tangible assets, return on average tangible stockholders’ equity, tangible book value per share and tangible stockholders’ equity to tangible assets are non-GAAP financial measures. We compute our return on average tangible assets as the ratio of net income to average tangible assets. We compute our return on average tangible stockholders’ equity as the ratio of net income to average tangible stockholders’ equity. We compute our tangible book value per share as the ratio of tangible stockholders’ equity to outstanding shares. We compute our tangible stockholders’ equity to tangible assets as the ratio of tangible stockholders’ equity to tangible assets. We believe that these financial measures are useful for investors, regulators, management and others to evaluate financial performance and capital adequacy relative to other financial institutions. Although these non-GAAP financial measures are frequently used by shareholders in the evaluation of a company, they have limitations as analytical tools and should not be considered in isolation or as a substitute for analyses of results as reported under GAAP.</w:t>
      </w:r>
    </w:p>
    <w:p>
      <w:pPr>
        <w:spacing w:after="0" w:line="149" w:lineRule="exact"/>
        <w:rPr>
          <w:rFonts w:ascii="Times New Roman" w:cs="Times New Roman" w:eastAsia="Times New Roman" w:hAnsi="Times New Roman"/>
          <w:sz w:val="27"/>
          <w:szCs w:val="27"/>
          <w:color w:val="auto"/>
          <w:vertAlign w:val="superscript"/>
        </w:rPr>
      </w:pPr>
    </w:p>
    <w:p>
      <w:pPr>
        <w:ind w:left="320" w:hanging="315"/>
        <w:spacing w:after="0"/>
        <w:tabs>
          <w:tab w:leader="none" w:pos="32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Net charge-offs / average total loans and leases is annualized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these non-GAAP financial measures with their most closely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GAAP to Non-GAAP Reconciliation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2</w:t>
            </w:r>
          </w:p>
        </w:tc>
        <w:tc>
          <w:tcPr>
            <w:tcW w:w="0" w:type="dxa"/>
            <w:vAlign w:val="bottom"/>
          </w:tcPr>
          <w:p>
            <w:pPr>
              <w:spacing w:after="0"/>
              <w:rPr>
                <w:sz w:val="1"/>
                <w:szCs w:val="1"/>
                <w:color w:val="auto"/>
              </w:rPr>
            </w:pPr>
          </w:p>
        </w:tc>
      </w:tr>
      <w:tr>
        <w:trPr>
          <w:trHeight w:val="117"/>
        </w:trPr>
        <w:tc>
          <w:tcPr>
            <w:tcW w:w="4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7"/>
          </w:tcPr>
          <w:p>
            <w:pPr>
              <w:jc w:val="right"/>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7"/>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7"/>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1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63,730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204,889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total stockholders' equity</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2,845,750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2,710,273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2,810,686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2,672,284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average goodwill</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tangible stockholders' equity</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1,850,258</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1,714,781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1,815,194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1,676,792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total assets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23,955,273</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$ 23,993,685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23,997,190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23,914,896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average goodwill</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tangible assets</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22,959,781</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$ 22,998,193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23,001,698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22,919,404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Return on average total stockholders' equity</w:t>
            </w:r>
            <w:r>
              <w:rPr>
                <w:rFonts w:ascii="Times New Roman" w:cs="Times New Roman" w:eastAsia="Times New Roman" w:hAnsi="Times New Roman"/>
                <w:sz w:val="25"/>
                <w:szCs w:val="25"/>
                <w:color w:val="auto"/>
                <w:vertAlign w:val="superscript"/>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8.88 %</w:t>
            </w:r>
          </w:p>
        </w:tc>
        <w:tc>
          <w:tcPr>
            <w:tcW w:w="1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9.75 %</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Return on average tangible stockholders' equity (non-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0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8"/>
                <w:szCs w:val="18"/>
                <w:color w:val="auto"/>
              </w:rPr>
              <w:t>GAAP)</w:t>
            </w:r>
            <w:r>
              <w:rPr>
                <w:rFonts w:ascii="Times New Roman" w:cs="Times New Roman" w:eastAsia="Times New Roman" w:hAnsi="Times New Roman"/>
                <w:sz w:val="26"/>
                <w:szCs w:val="26"/>
                <w:color w:val="auto"/>
                <w:vertAlign w:val="superscript"/>
              </w:rPr>
              <w:t>(a)</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13.67 %</w:t>
            </w:r>
          </w:p>
        </w:tc>
        <w:tc>
          <w:tcPr>
            <w:tcW w:w="18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17.08 %</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15.09 %</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16.45 %</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Return on average total assets</w:t>
            </w:r>
            <w:r>
              <w:rPr>
                <w:rFonts w:ascii="Times New Roman" w:cs="Times New Roman" w:eastAsia="Times New Roman" w:hAnsi="Times New Roman"/>
                <w:sz w:val="25"/>
                <w:szCs w:val="25"/>
                <w:color w:val="auto"/>
                <w:vertAlign w:val="superscript"/>
              </w:rPr>
              <w:t>(a)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1.06 %</w:t>
            </w: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tangible assets (non-GAAP)</w:t>
            </w:r>
            <w:r>
              <w:rPr>
                <w:rFonts w:ascii="Times New Roman" w:cs="Times New Roman" w:eastAsia="Times New Roman" w:hAnsi="Times New Roman"/>
                <w:sz w:val="26"/>
                <w:szCs w:val="26"/>
                <w:color w:val="auto"/>
                <w:vertAlign w:val="superscript"/>
              </w:rPr>
              <w:t>(a)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1.10 %</w:t>
            </w:r>
          </w:p>
        </w:tc>
        <w:tc>
          <w:tcPr>
            <w:tcW w:w="18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1.19 %</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6"/>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12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2,817,544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goodwill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1,822,052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23,764,015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goodwill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Tangible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22,768,523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22,959,760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121,681,352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122,689,256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 to tangible assets (non-GAAP)</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Tangible book value per share (non-GAAP)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48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37"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Annualized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income was $63.7 million for the three months ended September 30, 2026, a decrease of $10.1 million or 14% as compared to the same period in 2025. Basic and diluted earnings per share were both $0.52 for the three months ended September 30, 2026, a decrease of $0.07 or 12% as compared to the same period in 2025. The decrease in net income was primarily due to a $34.3 million increase in noninterest expense, a $15.8 million increase in the provision for credit losses (the “Provision”) and a $0.9 million decrease in noninterest income. This was partially offset by a $13.9 million benefit for income taxes for the three months ended September 30, 2026, compared to a $22.3 million provision for income taxes for the three months ended September 30, 2025, and a $4.8 million increase in net interest income.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return on average total assets was 1.06% for the three months ended September 30, 2026, a decrease of 16 basis points from the same period in 2025, and our return on average total stockholders’ equity was 8.88% for the three months ended September 30, 2026, a decrease of 193 basis points from the same period in 2025. Our return on average tangible assets was 1.10% for the three months ended September 30, 2026, a decrease of 17 basis points from the same period in 2025, and our return on average tangible stockholders’ equity was 13.67% for the three months ended September 30, 2026, a decrease of 341 basis points from the same period in 2025, primarily due to a decrease in net income and an increase in average tangible equity. Our efficiency ratio was 69.18% for the three months ended September 30, 2026 compared to 55.29% for the same period in 2025.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results for the three months ended September 30, 2026 were highlighted by the following:</w:t>
      </w:r>
    </w:p>
    <w:p>
      <w:pPr>
        <w:spacing w:after="0" w:line="225" w:lineRule="exact"/>
        <w:rPr>
          <w:sz w:val="20"/>
          <w:szCs w:val="20"/>
          <w:color w:val="auto"/>
        </w:rPr>
      </w:pPr>
    </w:p>
    <w:p>
      <w:pPr>
        <w:jc w:val="both"/>
        <w:ind w:left="680" w:hanging="324"/>
        <w:spacing w:after="0" w:line="254"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was $174.1 million for the three months ended September 30, 2026, an increase of $4.8 million or 3% as compared to the same period in 2025. Our net interest margin was 3.30% for the three months ended September 30, 2026, an increase of 11 basis points as compared to the same period in 2025. The increase in net interest income was primarily due to lower deposit funding and borrowing costs, partially offset by lower earning asset yields driven by lower yields in our loan and lease portfolio.</w:t>
      </w:r>
    </w:p>
    <w:p>
      <w:pPr>
        <w:spacing w:after="0" w:line="187" w:lineRule="exact"/>
        <w:rPr>
          <w:rFonts w:ascii="Times New Roman" w:cs="Times New Roman" w:eastAsia="Times New Roman" w:hAnsi="Times New Roman"/>
          <w:sz w:val="18"/>
          <w:szCs w:val="18"/>
          <w:color w:val="auto"/>
        </w:rPr>
      </w:pPr>
    </w:p>
    <w:p>
      <w:pPr>
        <w:jc w:val="both"/>
        <w:ind w:left="680" w:hanging="324"/>
        <w:spacing w:after="0" w:line="25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was $20.3 million for the three months ended September 30, 2026, an increase of $15.8 million as compared to the same period in 2025. The increase was primarily driven by a $12.5 million partial charge-off of a single commercial real estate loan during the third quarter of 2026. The increase was also attributable to increases in the provision for construction loans and commercial and industrial loans and the provision for unfunded commercial and industrial commitments. This was partially offset by decreases in the provision for home equity lines, residential mortgage loans, lease financing and consumer loans and the provision for unfunded construction commitments. The Provision is recorded to maintain the allowance for credit losses for loans and leases (the “ACL”) and the reserve for unfunded commitments at levels deemed adequate to absorb lifetime expected credit losses in our loan and lease portfolio and unfunded loan and lease commitments as of the balance sheet date.</w:t>
      </w:r>
    </w:p>
    <w:p>
      <w:pPr>
        <w:spacing w:after="0" w:line="190" w:lineRule="exact"/>
        <w:rPr>
          <w:rFonts w:ascii="Times New Roman" w:cs="Times New Roman" w:eastAsia="Times New Roman" w:hAnsi="Times New Roman"/>
          <w:sz w:val="18"/>
          <w:szCs w:val="18"/>
          <w:color w:val="auto"/>
        </w:rPr>
      </w:pPr>
    </w:p>
    <w:p>
      <w:pPr>
        <w:jc w:val="both"/>
        <w:ind w:left="680" w:hanging="324"/>
        <w:spacing w:after="0" w:line="254"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$56.1 million for the three months ended September 30, 2026, a decrease of $0.9 million or 2% as compared to the same period in 2025. The decrease in noninterest income was primarily due to a $1.6 million decrease in bank-owned life insurance (“BOLI”) income and a $1.3 million decrease in other noninterest income, partially offset by a $1.6 million increase in other service charges and fees and a $0.6 million increase in service charges on deposit accounts.</w:t>
      </w:r>
    </w:p>
    <w:p>
      <w:pPr>
        <w:spacing w:after="0" w:line="187" w:lineRule="exact"/>
        <w:rPr>
          <w:rFonts w:ascii="Times New Roman" w:cs="Times New Roman" w:eastAsia="Times New Roman" w:hAnsi="Times New Roman"/>
          <w:sz w:val="18"/>
          <w:szCs w:val="18"/>
          <w:color w:val="auto"/>
        </w:rPr>
      </w:pPr>
    </w:p>
    <w:p>
      <w:pPr>
        <w:jc w:val="both"/>
        <w:ind w:left="680" w:hanging="324"/>
        <w:spacing w:after="0" w:line="254"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$160.0 million for the three months ended September 30, 2026, an increase of $34.3 million or 27% as compared to the same period in 2025. The increase in noninterest expense was primarily due to a $25.9 million increase in other noninterest expense, a $6.7 million increase in merger-related costs, a $1.6 million increase in salaries and employee benefits expense and a $1.5 million increase in equipment expense, partially offset by a $2.0 million decrease in contracted services and professional fees.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income was $204.9 million for the nine months ended September 30, 2026, a decrease of $1.4 million or 1% as compared to the same period in 2025. Basic earnings per share was $1.68 for the nine months ended September 30, 2026, an increase of $0.03 or 2% as compared to the same period in 2025. Diluted earnings per share was $1.67 for the nine months ended September 30, 2026, an increase of $0.03 or 2% as compared to the same period in 2025. The decrease in net income was primarily due to a $44.1 million increase in noninterest expense and an $11.4 million increase in the Provision. This was partially offset by a $27.2 million decrease in the provision for income taxes, a $19.2 million increase in net interest income and a $7.7 million increase in noninterest income.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return on average total assets was 1.14% for the nine months ended September 30, 2026, a decrease of one basis point from the same period in 2025, and our return on average total stockholders’ equity was 9.75% for the nine months ended September 30, 2026, a decrease of 57 basis points for the same period in 2025. Our return on average tangible assets was 1.19% for the nine months ended September 30, 2026, a decrease of one basis point from the same period in 2025, and our return on average tangible stockholders’ equity was 15.09% for the nine months ended September 30, 2026, a decrease of 136 basis points from the same period in 2025. Our efficiency ratio was 61.08% for the nine months ended September 30, 2026 compared to 56.88% for the same period in 2025.</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results for the nine months ended September 30, 2026 were highlighted by the following:</w:t>
      </w:r>
    </w:p>
    <w:p>
      <w:pPr>
        <w:spacing w:after="0" w:line="225" w:lineRule="exact"/>
        <w:rPr>
          <w:sz w:val="20"/>
          <w:szCs w:val="20"/>
          <w:color w:val="auto"/>
        </w:rPr>
      </w:pPr>
    </w:p>
    <w:p>
      <w:pPr>
        <w:jc w:val="both"/>
        <w:ind w:left="680" w:hanging="324"/>
        <w:spacing w:after="0" w:line="254"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was $512.6 million for the nine months ended September 30, 2026, an increase of $19.2 million or 4% as compared to the same period in 2025. Our net interest margin was 3.25% for the nine months ended September 30, 2026, an increase of 12 basis points as compared to the same period in 2025. The increase in net interest income was primarily due to lower deposit funding costs and borrowing costs, partially offset by lower earning asset yields driven by lower yields in our loan and lease portfolio.</w:t>
      </w:r>
    </w:p>
    <w:p>
      <w:pPr>
        <w:spacing w:after="0" w:line="214" w:lineRule="exact"/>
        <w:rPr>
          <w:rFonts w:ascii="Times New Roman" w:cs="Times New Roman" w:eastAsia="Times New Roman" w:hAnsi="Times New Roman"/>
          <w:sz w:val="18"/>
          <w:szCs w:val="18"/>
          <w:color w:val="auto"/>
        </w:rPr>
      </w:pPr>
    </w:p>
    <w:p>
      <w:pPr>
        <w:jc w:val="both"/>
        <w:ind w:left="680" w:hanging="324"/>
        <w:spacing w:after="0" w:line="25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was $30.9 million for the nine months ended September 30, 2026, an increase of $11.4 million or 59% for the same period in 2025. Consistent with the increase for the three months ended September 30, 2026, the increase was primarily driven by a $12.5 million partial charge-off of a single commercial real estate loan during the third quarter of 2026. The increase was also attributable to increases in the provision for construction loans and residential mortgage loans and the provision for unfunded commercial and industrial and construction commitments. This was partially offset by decreases in the provision for consumer loans, commercial and industrial loans, home equity lines and lease financing and the provision for unfunded home equity line commitments. The Provision is recorded to maintain the ACL and the reserve for unfunded commitments at levels deemed adequate to absorb lifetime expected credit losses in our loan and lease portfolio and unfunded loan and lease commitments as of the balance sheet date.</w:t>
      </w:r>
    </w:p>
    <w:p>
      <w:pPr>
        <w:spacing w:after="0" w:line="189" w:lineRule="exact"/>
        <w:rPr>
          <w:rFonts w:ascii="Times New Roman" w:cs="Times New Roman" w:eastAsia="Times New Roman" w:hAnsi="Times New Roman"/>
          <w:sz w:val="18"/>
          <w:szCs w:val="18"/>
          <w:color w:val="auto"/>
        </w:rPr>
      </w:pPr>
    </w:p>
    <w:p>
      <w:pPr>
        <w:jc w:val="both"/>
        <w:ind w:left="680" w:hanging="324"/>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$169.2 million for the nine months ended September 30, 2026, an increase of $7.7 million or 5% as compared to the same period in 2025. The increase was primarily due to a $4.3 million increase in other service charges and fees, a $1.7 million increase in other noninterest income and a $1.7 million increase in service charges on deposit accounts.</w:t>
      </w:r>
    </w:p>
    <w:p>
      <w:pPr>
        <w:spacing w:after="0" w:line="193" w:lineRule="exact"/>
        <w:rPr>
          <w:rFonts w:ascii="Times New Roman" w:cs="Times New Roman" w:eastAsia="Times New Roman" w:hAnsi="Times New Roman"/>
          <w:sz w:val="18"/>
          <w:szCs w:val="18"/>
          <w:color w:val="auto"/>
        </w:rPr>
      </w:pPr>
    </w:p>
    <w:p>
      <w:pPr>
        <w:jc w:val="both"/>
        <w:ind w:left="680" w:hanging="324"/>
        <w:spacing w:after="0" w:line="25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$418.4 million for the nine months ended September 30, 2026, an increase of $44.1 million or 12% as compared to the same period in 2025. The increase in noninterest expense was primarily due to a $26.4 million increase in other noninterest expense, a $10.9 million increase in merger-related costs, an $8.5 million increase in salaries and employee benefits expense, a $2.9 million increase in equipment expense and a $0.9 million increase in card rewards program expense, partially offset by a $4.6 million decrease in contracted services and professional fees and a $1.1 million decrease in regulatory assessment and fees.</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we continued to maintain high levels of liquidity and adequate reserves for credit losses. We also remained well-capitalized. Common Equity Tier 1 (“CET1”) was 13.50% as of September 30, 2026, an increase of 33 basis points from December 31, 2025. The increase in CET1 was primarily due to earnings for the nine months ended September 30, 2026, partially offset by dividends declared and paid to the Company’s stockholders, common stock repurchased and an increase in risk-weighted assets.</w:t>
      </w:r>
    </w:p>
    <w:p>
      <w:pPr>
        <w:spacing w:after="0" w:line="183" w:lineRule="exact"/>
        <w:rPr>
          <w:sz w:val="20"/>
          <w:szCs w:val="20"/>
          <w:color w:val="auto"/>
        </w:rPr>
      </w:pPr>
    </w:p>
    <w:p>
      <w:pPr>
        <w:jc w:val="both"/>
        <w:ind w:left="680" w:hanging="324"/>
        <w:spacing w:after="0" w:line="261"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$14.5 billion as of September 30, 2026, an increase of $149.7 million or 1% from December 31, 2025. The increase in total loans and leases was due to increases in commercial and industrial loans, commercial real estate loans, consumer loans and lease financing, partially offset by decreases in residential real estate loans and construction loans.</w:t>
      </w:r>
    </w:p>
    <w:p>
      <w:pPr>
        <w:spacing w:after="0" w:line="206" w:lineRule="exact"/>
        <w:rPr>
          <w:rFonts w:ascii="Times New Roman" w:cs="Times New Roman" w:eastAsia="Times New Roman" w:hAnsi="Times New Roman"/>
          <w:sz w:val="18"/>
          <w:szCs w:val="18"/>
          <w:color w:val="auto"/>
        </w:rPr>
      </w:pPr>
    </w:p>
    <w:p>
      <w:pPr>
        <w:jc w:val="both"/>
        <w:ind w:left="680" w:hanging="324"/>
        <w:spacing w:after="0" w:line="25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ACL was $164.4 million as of September 30, 2026, a decrease of $4.0 million or 2% from December 31, 2025. The ratio of our ACL to total loans and leases outstanding was 1.14% as of September 30, 2026 and 1.18% as of December 31,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80" w:hanging="324"/>
        <w:spacing w:after="0" w:line="252"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is comprised of high-grade investment securities, primarily collateralized mortgage obligations issued by the Government National Mortgage Association (“Ginnie Mae”), the Federal National Mortgage Association (“Fannie Mae”) and the Federal Home Loan Mortgage Corporation (“Freddie Mac”) and mortgage-backed securities issued by Ginnie Mae, Freddie Mac, Fannie Mae, Municipal Housing Authorities and non-agency entities. The total carrying value of our investment securities portfolio was $5.4 billion as of September 30, 2026, a decrease of $245.4 million or 4% from December 31, 2025. The lower balances in investment securities were driven by payments and maturities during the nine months ended September 30, 2026, which were placed into loans and leases and helped fund deposit run-off.</w:t>
      </w:r>
    </w:p>
    <w:p>
      <w:pPr>
        <w:spacing w:after="0" w:line="191" w:lineRule="exact"/>
        <w:rPr>
          <w:rFonts w:ascii="Times New Roman" w:cs="Times New Roman" w:eastAsia="Times New Roman" w:hAnsi="Times New Roman"/>
          <w:sz w:val="18"/>
          <w:szCs w:val="18"/>
          <w:color w:val="auto"/>
        </w:rPr>
      </w:pPr>
    </w:p>
    <w:p>
      <w:pPr>
        <w:jc w:val="both"/>
        <w:ind w:left="680" w:hanging="324"/>
        <w:spacing w:after="0" w:line="255"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$20.2 billion as of September 30, 2026, a decrease of $311.1 million or 2% from December 31, 2025. The decrease in total deposits was primarily due to a $146.4 million decrease in demand deposit balances, a $128.9 million decrease in time deposit balances and a $60.0 million decrease in savings deposit balances, partially offset by a $24.3 million increase in money market deposit balances.</w:t>
      </w:r>
    </w:p>
    <w:p>
      <w:pPr>
        <w:spacing w:after="0" w:line="186" w:lineRule="exact"/>
        <w:rPr>
          <w:rFonts w:ascii="Times New Roman" w:cs="Times New Roman" w:eastAsia="Times New Roman" w:hAnsi="Times New Roman"/>
          <w:sz w:val="18"/>
          <w:szCs w:val="18"/>
          <w:color w:val="auto"/>
        </w:rPr>
      </w:pPr>
    </w:p>
    <w:p>
      <w:pPr>
        <w:jc w:val="both"/>
        <w:ind w:left="660" w:hanging="331"/>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stockholders’ equity was $2.8 billion as of September 30, 2026 and December 31, 2025. Earnings of $204.9 million for the period were partially offset by dividends of $95.2 million declared and paid to the Company’s stockholders, other comprehensive loss, net of tax, of $35.7 million and repurchases of common stock of $32.0 million during the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2025, average balances, related income and expenses, on a fully taxable-equivalent basis, and resulting yields and rates are presented in Table 3. An analysis of the change in net interest income, on a fully taxable-equivalent basis, is presented in Table 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Balances and Interest Rates</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Table 3</w:t>
            </w: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gridSpan w:val="9"/>
          </w:tcPr>
          <w:p>
            <w:pPr>
              <w:jc w:val="center"/>
              <w:ind w:right="37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60" w:type="dxa"/>
            <w:vAlign w:val="bottom"/>
            <w:gridSpan w:val="7"/>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74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6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0"/>
                <w:szCs w:val="10"/>
                <w:color w:val="auto"/>
              </w:rPr>
            </w:pP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2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4"/>
                <w:szCs w:val="14"/>
                <w:color w:val="auto"/>
              </w:rPr>
              <w:t xml:space="preserve">  ​</w:t>
            </w:r>
          </w:p>
        </w:tc>
        <w:tc>
          <w:tcPr>
            <w:tcW w:w="76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Rate</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9"/>
        </w:trPr>
        <w:tc>
          <w:tcPr>
            <w:tcW w:w="4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 Assets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1,162.4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3.73 %</w:t>
            </w: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Held-to-Maturity Investment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Non-Taxable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5,443.7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Loans and Leases</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line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financing</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Loans and Leases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14,496.7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193.2</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Earning Assets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line="210" w:lineRule="exact"/>
              <w:rPr>
                <w:sz w:val="20"/>
                <w:szCs w:val="20"/>
                <w:color w:val="auto"/>
              </w:rPr>
            </w:pPr>
            <w:r>
              <w:rPr>
                <w:rFonts w:ascii="Times New Roman" w:cs="Times New Roman" w:eastAsia="Times New Roman" w:hAnsi="Times New Roman"/>
                <w:sz w:val="17"/>
                <w:szCs w:val="17"/>
                <w:color w:val="auto"/>
              </w:rPr>
              <w:t>Total Earning Assets</w:t>
            </w:r>
            <w:r>
              <w:rPr>
                <w:rFonts w:ascii="Times New Roman" w:cs="Times New Roman" w:eastAsia="Times New Roman" w:hAnsi="Times New Roman"/>
                <w:sz w:val="24"/>
                <w:szCs w:val="24"/>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21,128.2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2,586.1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23,955.3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6,248.0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3,268.9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13,875.3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Short-Term Borrowings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Interest-Bearing Liabilities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13,902.7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Interest Rate Spread</w:t>
            </w:r>
            <w:r>
              <w:rPr>
                <w:rFonts w:ascii="Times New Roman" w:cs="Times New Roman" w:eastAsia="Times New Roman" w:hAnsi="Times New Roman"/>
                <w:sz w:val="26"/>
                <w:szCs w:val="26"/>
                <w:color w:val="auto"/>
                <w:vertAlign w:val="superscript"/>
              </w:rPr>
              <w:t>(3)</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2.72 %</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line="20" w:lineRule="exact"/>
              <w:rPr>
                <w:sz w:val="1"/>
                <w:szCs w:val="1"/>
                <w:color w:val="auto"/>
              </w:rPr>
            </w:pPr>
          </w:p>
        </w:tc>
      </w:tr>
      <w:tr>
        <w:trPr>
          <w:trHeight w:val="197"/>
        </w:trPr>
        <w:tc>
          <w:tcPr>
            <w:tcW w:w="4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Interest Margin</w:t>
            </w:r>
            <w:r>
              <w:rPr>
                <w:rFonts w:ascii="Times New Roman" w:cs="Times New Roman" w:eastAsia="Times New Roman" w:hAnsi="Times New Roman"/>
                <w:sz w:val="25"/>
                <w:szCs w:val="25"/>
                <w:color w:val="auto"/>
                <w:vertAlign w:val="superscript"/>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2,845.8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23,955.3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280" w:type="dxa"/>
            <w:vAlign w:val="bottom"/>
            <w:tcBorders>
              <w:bottom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20" w:hanging="315"/>
        <w:spacing w:after="0" w:line="233" w:lineRule="auto"/>
        <w:tabs>
          <w:tab w:leader="none" w:pos="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Non-performing loans and leases are included in the respective average loan and lease balances. Income, if any, on such loans and leases is recognized on a cash basis.</w:t>
      </w:r>
    </w:p>
    <w:p>
      <w:pPr>
        <w:ind w:left="320" w:right="20" w:hanging="315"/>
        <w:spacing w:after="0" w:line="221" w:lineRule="auto"/>
        <w:tabs>
          <w:tab w:leader="none" w:pos="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Interest income includes taxable-equivalent basis adjustments of $1.1 million and $1.0 million for the three months ended September 30, 2026 and 2025, respectively.</w:t>
      </w:r>
    </w:p>
    <w:p>
      <w:pPr>
        <w:ind w:left="320" w:hanging="315"/>
        <w:spacing w:after="0" w:line="221" w:lineRule="auto"/>
        <w:tabs>
          <w:tab w:leader="none" w:pos="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Interest rate spread is the difference between the average yield on earning assets and the average rate paid on interest-bearing liabilities, on a fully taxable-equivalent basis.</w:t>
      </w:r>
    </w:p>
    <w:p>
      <w:pPr>
        <w:ind w:left="320" w:hanging="315"/>
        <w:spacing w:after="0" w:line="239" w:lineRule="auto"/>
        <w:tabs>
          <w:tab w:leader="none" w:pos="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Net interest margin is net interest income annualized for the three months ended September 30, 2026 and 2025, on a fully taxable-equivalent basis, divided by average total earning assets.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Analysis of Change in Net Interest Income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Table 4</w:t>
            </w:r>
          </w:p>
        </w:tc>
        <w:tc>
          <w:tcPr>
            <w:tcW w:w="0" w:type="dxa"/>
            <w:vAlign w:val="bottom"/>
          </w:tcPr>
          <w:p>
            <w:pPr>
              <w:spacing w:after="0"/>
              <w:rPr>
                <w:sz w:val="1"/>
                <w:szCs w:val="1"/>
                <w:color w:val="auto"/>
              </w:rPr>
            </w:pPr>
          </w:p>
        </w:tc>
      </w:tr>
      <w:tr>
        <w:trPr>
          <w:trHeight w:val="117"/>
        </w:trPr>
        <w:tc>
          <w:tcPr>
            <w:tcW w:w="6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580" w:type="dxa"/>
            <w:vAlign w:val="bottom"/>
            <w:tcBorders>
              <w:top w:val="single" w:sz="8" w:color="auto"/>
            </w:tcBorders>
            <w:gridSpan w:val="10"/>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8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Compared to September 30, 2025</w:t>
            </w: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Volume</w:t>
            </w:r>
          </w:p>
        </w:tc>
        <w:tc>
          <w:tcPr>
            <w:tcW w:w="32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1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and Leases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Residential mortgage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Home equity line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financing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Loans and Leases</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Earning Assets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Savings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Interest-Bearing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right="20" w:hanging="315"/>
        <w:spacing w:after="0" w:line="248" w:lineRule="auto"/>
        <w:tabs>
          <w:tab w:leader="none" w:pos="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change in interest income and expense not solely due to changes in volume or rate has been allocated on a pro-rata basis to the volume and rate columns.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1448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Net interest income, on a fully taxable-equivalent basis, was $175.2 million for the three months ended September 30, 2026, an increase of $4.8 million or 3% compared to the same period in 2025. Our net interest margin was 3.30% for the three months ended September 30, 2026, an increase of 11 basis points from the same period in 2025. The increase in net interest income, on a fully taxable-equivalent basis, was primarily due to lower deposit funding and lower borrowing costs, partially offset by lower earning asset yields driven by lower yields in our loan and lease portfolio during the three months ended September 30, 2026, compared to the same period in 2025. Deposit funding costs were $60.2 million for the three months ended September 30, 2026, a decrease of $10.6 million or 15% compared to the same period in 2025, primarily due to a decrease in interest rates. Rates paid on our interest-bearing deposits were 1.72% for the three months ended September 30, 2026, a decrease of 36 basis points compared to the same period in 2025, primarily due to rate decreases. Total borrowing costs were nil for the three months ended September 30, 2026, a decrease of $2.2 million compared to the same period in 2025, as $250.0 million of FHLB advances matured during the third quarter of 2025. The yield on our loan and lease portfolio was 5.30% for the three months ended September 30, 2026, a decrease of 21 basis points as compared to the same period in 2025, primarily due to lower yields from our adjustable-rate commercial real estate and commercial and industrial loans, which continued to reflect the impact of prior lower-rate market conditions.</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and 2025, average balances, related income and expenses, on a fully taxable-equivalent basis, and resulting yields and rates are presented in Table 5. An analysis of the change in net interest income, on a fully taxable-equivalent basis, is presented in Table 6.</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Balances and Interest Rates</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Table 5</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8"/>
          </w:tcPr>
          <w:p>
            <w:pPr>
              <w:jc w:val="right"/>
              <w:ind w:right="696"/>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2160" w:type="dxa"/>
            <w:vAlign w:val="bottom"/>
            <w:gridSpan w:val="7"/>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6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0"/>
                <w:szCs w:val="10"/>
                <w:color w:val="auto"/>
              </w:rPr>
            </w:pP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0"/>
                <w:szCs w:val="10"/>
                <w:color w:val="auto"/>
              </w:rPr>
            </w:pP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0"/>
                <w:szCs w:val="10"/>
                <w:color w:val="auto"/>
              </w:rPr>
            </w:pP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20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p>
        </w:tc>
        <w:tc>
          <w:tcPr>
            <w:tcW w:w="8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 Assets</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1,252.2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3.69 % </w:t>
            </w: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4.43 %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Loans and Leases</w:t>
            </w:r>
            <w:r>
              <w:rPr>
                <w:rFonts w:ascii="Times New Roman" w:cs="Times New Roman" w:eastAsia="Times New Roman" w:hAnsi="Times New Roman"/>
                <w:sz w:val="24"/>
                <w:szCs w:val="24"/>
                <w:color w:val="auto"/>
                <w:vertAlign w:val="superscript"/>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Residential mortgage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Home equity line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Consumer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financing</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Loans and Leases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14,425.6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571.6</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Earning Assets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spacing w:after="0" w:line="210" w:lineRule="exact"/>
              <w:rPr>
                <w:sz w:val="20"/>
                <w:szCs w:val="20"/>
                <w:color w:val="auto"/>
              </w:rPr>
            </w:pPr>
            <w:r>
              <w:rPr>
                <w:rFonts w:ascii="Times New Roman" w:cs="Times New Roman" w:eastAsia="Times New Roman" w:hAnsi="Times New Roman"/>
                <w:sz w:val="16"/>
                <w:szCs w:val="16"/>
                <w:color w:val="auto"/>
              </w:rPr>
              <w:t>Total Earning Assets</w:t>
            </w:r>
            <w:r>
              <w:rPr>
                <w:rFonts w:ascii="Times New Roman" w:cs="Times New Roman" w:eastAsia="Times New Roman" w:hAnsi="Times New Roman"/>
                <w:sz w:val="24"/>
                <w:szCs w:val="24"/>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21,217.2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699.7</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2,544.4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23,997.2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Savings</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6,352.7</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1.19 % </w:t>
            </w: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Time</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3,308.1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Funds Purchased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Interest-Bearing Liabilities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14,026.8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184.0</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515.7</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6"/>
                <w:szCs w:val="16"/>
                <w:color w:val="auto"/>
              </w:rPr>
              <w:t>Interest Rate Spread</w:t>
            </w:r>
            <w:r>
              <w:rPr>
                <w:rFonts w:ascii="Times New Roman" w:cs="Times New Roman" w:eastAsia="Times New Roman" w:hAnsi="Times New Roman"/>
                <w:sz w:val="24"/>
                <w:szCs w:val="24"/>
                <w:color w:val="auto"/>
                <w:vertAlign w:val="superscript"/>
              </w:rPr>
              <w:t>(3)</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2.66 %</w:t>
            </w: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4"/>
                <w:szCs w:val="24"/>
                <w:color w:val="auto"/>
                <w:vertAlign w:val="superscript"/>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3.25 %</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3.13 %</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Noninterest-Bearing Demand Deposits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2,810.7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23,997.2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280" w:type="dxa"/>
            <w:vAlign w:val="bottom"/>
            <w:tcBorders>
              <w:bottom w:val="single" w:sz="8" w:color="auto"/>
            </w:tcBorders>
          </w:tcPr>
          <w:p>
            <w:pPr>
              <w:spacing w:after="0"/>
              <w:rPr>
                <w:sz w:val="3"/>
                <w:szCs w:val="3"/>
                <w:color w:val="auto"/>
              </w:rPr>
            </w:pPr>
          </w:p>
        </w:tc>
        <w:tc>
          <w:tcPr>
            <w:tcW w:w="2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0" w:right="20" w:hanging="315"/>
        <w:spacing w:after="0" w:line="281" w:lineRule="auto"/>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Non-performing loans and leases are included in the respective average loan and lease balances. Income, if any, on such loans and leases is recognized on a cash basis.</w:t>
      </w:r>
    </w:p>
    <w:p>
      <w:pPr>
        <w:spacing w:after="0" w:line="1" w:lineRule="exact"/>
        <w:rPr>
          <w:rFonts w:ascii="Times New Roman" w:cs="Times New Roman" w:eastAsia="Times New Roman" w:hAnsi="Times New Roman"/>
          <w:sz w:val="13"/>
          <w:szCs w:val="13"/>
          <w:color w:val="auto"/>
        </w:rPr>
      </w:pPr>
    </w:p>
    <w:p>
      <w:pPr>
        <w:ind w:left="320" w:right="20" w:hanging="315"/>
        <w:spacing w:after="0"/>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Interest income includes taxable-equivalent basis adjustments of $3.1 million for both the nine months ended September 30, 2026 and 2025, respectively.</w:t>
      </w:r>
    </w:p>
    <w:p>
      <w:pPr>
        <w:spacing w:after="0" w:line="152" w:lineRule="exact"/>
        <w:rPr>
          <w:rFonts w:ascii="Times New Roman" w:cs="Times New Roman" w:eastAsia="Times New Roman" w:hAnsi="Times New Roman"/>
          <w:sz w:val="13"/>
          <w:szCs w:val="13"/>
          <w:color w:val="auto"/>
        </w:rPr>
      </w:pPr>
    </w:p>
    <w:p>
      <w:pPr>
        <w:ind w:left="320" w:right="20" w:hanging="315"/>
        <w:spacing w:after="0" w:line="221" w:lineRule="auto"/>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Interest rate spread is the difference between the average yield on earning assets and the average rate paid on interest-bearing liabilities, on a fully taxable-equivalent basis.</w:t>
      </w:r>
    </w:p>
    <w:p>
      <w:pPr>
        <w:ind w:left="320" w:right="20" w:hanging="315"/>
        <w:spacing w:after="0" w:line="239" w:lineRule="auto"/>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Net interest margin is net interest income annualized for the nine months ended September 30, 2026 and 2025, on a fully taxable-equivalent basis, divided by average total earning assets.</w:t>
      </w:r>
    </w:p>
    <w:p>
      <w:pPr>
        <w:sectPr>
          <w:pgSz w:w="11900" w:h="16838" w:orient="portrait"/>
          <w:cols w:equalWidth="0" w:num="1">
            <w:col w:w="9140"/>
          </w:cols>
          <w:pgMar w:left="1380" w:top="513" w:right="1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Analysis of Change in Net Interest Income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Table 6</w:t>
            </w:r>
          </w:p>
        </w:tc>
        <w:tc>
          <w:tcPr>
            <w:tcW w:w="0" w:type="dxa"/>
            <w:vAlign w:val="bottom"/>
          </w:tcPr>
          <w:p>
            <w:pPr>
              <w:spacing w:after="0"/>
              <w:rPr>
                <w:sz w:val="1"/>
                <w:szCs w:val="1"/>
                <w:color w:val="auto"/>
              </w:rPr>
            </w:pPr>
          </w:p>
        </w:tc>
      </w:tr>
      <w:tr>
        <w:trPr>
          <w:trHeight w:val="117"/>
        </w:trPr>
        <w:tc>
          <w:tcPr>
            <w:tcW w:w="6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20" w:type="dxa"/>
            <w:vAlign w:val="bottom"/>
            <w:tcBorders>
              <w:top w:val="single" w:sz="8" w:color="auto"/>
            </w:tcBorders>
            <w:gridSpan w:val="10"/>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2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Compared to September 30, 2025</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Volume</w:t>
            </w:r>
          </w:p>
        </w:tc>
        <w:tc>
          <w:tcPr>
            <w:tcW w:w="30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Home equity line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financing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Loans and Leases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Earning Assets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Other Interest-Bearing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-5715</wp:posOffset>
            </wp:positionV>
            <wp:extent cx="165417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54175" cy="26035"/>
                    </a:xfrm>
                    <a:prstGeom prst="rect">
                      <a:avLst/>
                    </a:prstGeom>
                    <a:noFill/>
                  </pic:spPr>
                </pic:pic>
              </a:graphicData>
            </a:graphic>
          </wp:anchor>
        </w:drawing>
      </w:r>
    </w:p>
    <w:p>
      <w:pPr>
        <w:spacing w:after="0" w:line="1" w:lineRule="exact"/>
        <w:rPr>
          <w:sz w:val="20"/>
          <w:szCs w:val="20"/>
          <w:color w:val="auto"/>
        </w:rPr>
      </w:pPr>
    </w:p>
    <w:p>
      <w:pPr>
        <w:ind w:left="320" w:right="20" w:hanging="315"/>
        <w:spacing w:after="0" w:line="261" w:lineRule="auto"/>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change in interest income and expense not solely due to changes in volume or rate has been allocated on a pro-rata basis to the volume and rate columns.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1448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4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Net interest income, on a fully taxable-equivalent basis, was $515.7 million for the nine months ended September 30, 2026, an increase of $19.2 million or 4% compared to the same period in 2025. Our net interest margin was 3.25% for the nine months ended September 30, 2026, an increase of 12 basis points from the same period in 2025. The increase in net interest income, on a fully taxable-equivalent basis, was primarily due to lower deposit funding costs and lower borrowing costs, partially offset by lower earning asset yields driven by lower yields in our loan and lease portfolio during the nine months ended September 30, 2026 compared to the same period in 2025. Deposit funding costs were $183.5 million for the nine months ended September 30, 2026, a decrease of $29.3 million or 14% compared to the same period in 2025, primarily due to a decrease in interest rates. Rates paid on our interest-bearing deposits were 1.75% for the nine months ended September 30, 2026, a decrease of 36 basis points compared to the same period in 2025, primarily due to rate decreases. Total borrowing costs were nil for the nine months ended September 30, 2026, a decrease of $7.4 million compared to the same period in 2025, as $250.0 million of FHLB advances matured during the third quarter of 2025. The yield on our loan and lease portfolio was 5.29% for the nine months ended September 30, 2026, a decrease of 18 basis points as compared to the same period in 2025, primarily due to lower yields from our adjustable-rate commercial real estate and commercial and industrial loans, which continued to reflect the impact of prior lower-rate market conditions.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Reserve influences the general market rates of interest, including the deposit and loan rates offered by many financial institutions. Our loan portfolio is affected by changes in the prime interest rate. The prime rate decreased by 75 basis points in 2025 to end the year at 6.75%. The prime rate increased 25 basis points in September 2026, to end the third quarter at 7.00%. As noted above, our loan portfolio is also impacted by changes in the SOFR. At September 30, 2026, the one-month and three-month CME Term SOFR interest rates were 3.91% and 4.08%, respectively. At September 30, 2025, the one-month and three-month CME Term SOFR interest rates were 4.13% and 3.98%, respectively. The target range for the federal funds rate, which is the cost of immediately available overnight funds, decreased 75 basis points in 2025 to end the year at 3.50% to 3.75%. The federal funds rate increased 25 basis points in September 2026 to end the third quarter at 3.75% to 4.00%. There continues to be uncertainty in the changing market and economic conditions.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Provision was $20.3 million for the three months ended September 30, 2026, an increase of $15.8 million as compared to the same period in 2025. This increase was primarily driven by a $12.5 million partial charge-off of a single commercial real estate loan during the third quarter of 2026. The increase was also attributable to increases in the provision for construction loans and commercial and industrial loans and the provision for unfunded commercial and industrial commitments. This was partially offset by decreases in the provision for home equity lines, residential mortgage loans, lease financing and consumer loans and the provision for unfunded construction commitments. We recorded net charge-offs of loans and leases of $21.9 million and $4.2 million for the three months ended September 30, 2026 and 2025, respectively. This represented net charge-offs of 0.60% and 0.12% of average loans and leases, on an annualized basis, for the three months ended September 30, 2026 and 2025, respectively. The Provision was $30.9 million for the nine months ended September 30, 2026, an increase of $11.4 million or 59% as compared to the same period in 2025. Consistent with the increase for the three months ended September 30, 2026, the increase was primarily driven by a $12.5 million partial charge-off of a single commercial real estate loan during the third quarter of 2026. The increase was also attributable to increases in the provision for construction loans and residential mortgage loans and the provision for unfunded commercial and industrial and construction commitments. This was partially offset by decreases in the provision for consumer loans, commercial and industrial loans, home equity lines and lease financing and the provision for unfunded home equity line commitments. We recorded net charge-offs of loans and leases of $31.0 million and $11.3 million for the nine months ended September 30, 2026 and 2025, respectively. This represented net charge-offs of 0.29% and 0.11% of average loans and leases, on an annualized basis, for the nine months ended September 30, 2026 and 2025, respectively. The ACL was $164.4 million as of September 30, 2026, a decrease of $4.0 million or 2% from December 31, 2025 and represented 1.14% of total outstanding loans and leases as of September 30, 2026, compared to 1.18% of total outstanding loans and leases as of December 31, 2025. The reserve for unfunded commitments was $39.7 million as of September 30, 2026, compared to $35.7 million as of December 31, 2025. The Provision is recorded to maintain the ACL and the reserve for unfunded commitments at levels deemed adequate by management based on the factors noted in the “Risk Governance and Quantitative and Qualitative Disclosures About Market Risk — Credit Risk” section of this MD&amp;A.</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7 presents the major components of noninterest income for the three months ended September 30, 2026 and 2025 and Table 8 presents the major components of noninterest income for the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7</w:t>
            </w: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8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center"/>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88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(1,566)</w:t>
            </w: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56,123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Table 8</w:t>
            </w: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4"/>
          </w:tcPr>
          <w:p>
            <w:pPr>
              <w:jc w:val="center"/>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8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8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gains,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169,223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161,495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8" w:lineRule="auto"/>
        <w:rPr>
          <w:sz w:val="20"/>
          <w:szCs w:val="20"/>
          <w:color w:val="auto"/>
        </w:rPr>
      </w:pPr>
      <w:r>
        <w:rPr>
          <w:rFonts w:ascii="Times New Roman" w:cs="Times New Roman" w:eastAsia="Times New Roman" w:hAnsi="Times New Roman"/>
          <w:sz w:val="14"/>
          <w:szCs w:val="14"/>
          <w:color w:val="auto"/>
        </w:rPr>
        <w:t>n/m – Denotes a variance that is not a meaningful metric to inform the change in noninterest income for the nine months ended September 30, 2026 to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144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noninterest income was $56.1 million for the three months ended September 30, 2026, a decrease of $0.9 million or 2% as compared to the same period in 2025. Total noninterest income was $169.2 million for the nine months ended September 30, 2026, an increase of $7.7 million or 5% as compared to the same period in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Service charges on deposit accounts were $8.7 million for the three months ended September 30, 2026, an increase of $0.6 million or 7% as compared to the same period in 2025. This increase was primarily due to a $0.7 million increase in overdraft and checking account fees. Service charges on deposit accounts were $25.2 million for the nine months ended September 30, 2026, an increase of $1.7 million or 7% as compared to the same period in 2025. This increase was primarily due to a $1.8 million increase in overdraft and checking account fees.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and debit card fees were $15.7 million for the three months ended September 30, 2026, a decrease of $0.1 million or 1% as compared to the same period in 2025. Credit and debit card fees were $46.2 million for the nine months ended September 30, 2026, a minimal change as compared to the same period in 2025.</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Other service charges and fees were $15.4 million for the three months ended September 30, 2026, an increase of $1.6 million or 11% as compared to the same period in 2025. This increase was primarily due to a $2.0 million increase in fees from annuities and securities, partially offset by a $0.3 million decrease in service fees related to participation loans. Other service charges and fees were $43.6 million for the nine months ended September 30, 2026, an increase of $4.3 million or 11% as compared to the same period in 2025. This increase was primarily due to a $4.9 million increase in fees from annuities and securities, partially offset by a $0.6 million decrease in online banking fees.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Trust and investment services income was $9.1 million for the three months ended September 30, 2026, a decrease of $0.1 million or 1% as compared to the same period in 2025. Trust and investment services income was $27.4 million for the nine months ended September 30, 2026, a decrease of $0.4 million or 1% as compared to the same period in 2025. This decrease was primarily due to a $0.5 million decrease in investment management fees.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BOLI income was $4.7 million for the three months ended September 30, 2026, a decrease of $1.6 million or 25% as compared to the same period in 2025. This decrease was primarily due to a $1.2 million decrease in BOLI earnings and a $0.4 million decrease in death benefit proceeds from life insurance policies. BOLI income was $15.9 million for the nine months ended September 30, 2026, an increase of $0.5 million or 3% as compared to the same period in 2025. This increase was primarily due to a $0.3 million increase in death benefit proceeds from life insurance policies and a $0.2 million increase in BOLI earnings.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noninterest income was $2.4 million for the three months ended September 30, 2026, a decrease of $1.3 million or 36% as compared to the same period in 2025. This decrease was primarily due to a $1.1 million decrease in customer-related interest rate swap fees and a $0.8 million decrease in volume-based incentives, partially offset by a $0.5 million decrease in net losses recognized in income related to derivative contracts. Other noninterest income was $11.0 million for the nine months ended September 30, 2026, an increase of $1.7 million or 18% as compared to the same period in 2025. This increase was primarily due to $1.7 million in excise tax refunds received during the nine months ended September 30, 2026, a $0.8 million class action settlement the Company received during the nine months ended September 30, 2026 and a $0.7 million decrease in net losses recognized in income related to derivative contracts. This was partially offset by a $0.6 million decrease in customer-related interest rate swap fees, a $0.4 million decrease in insurance proceeds received and a $0.3 million decrease in income due to adjustments to certain liabilities assumed as a result of the Reorganization Transactions.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9 presents the major components of noninterest expense for the three months ended September 30, 2026 and 2025 and Table 10 presents the major components of noninterest expense for the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Table 9</w:t>
            </w: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4"/>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6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Contracted services and professional fees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c>
          <w:tcPr>
            <w:tcW w:w="9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assessment and fees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9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 rewards program</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costs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39,378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8" w:lineRule="auto"/>
        <w:rPr>
          <w:sz w:val="20"/>
          <w:szCs w:val="20"/>
          <w:color w:val="auto"/>
        </w:rPr>
      </w:pPr>
      <w:r>
        <w:rPr>
          <w:rFonts w:ascii="Times New Roman" w:cs="Times New Roman" w:eastAsia="Times New Roman" w:hAnsi="Times New Roman"/>
          <w:sz w:val="14"/>
          <w:szCs w:val="14"/>
          <w:color w:val="auto"/>
        </w:rPr>
        <w:t>n/m – Denotes a variance that is not a meaningful metric to inform the change in noninterest income for the three months ended September 30, 2026 to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1448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10</w:t>
            </w: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3"/>
          </w:tcPr>
          <w:p>
            <w:pPr>
              <w:jc w:val="right"/>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60" w:type="dxa"/>
            <w:vAlign w:val="bottom"/>
          </w:tcPr>
          <w:p>
            <w:pPr>
              <w:spacing w:after="0"/>
              <w:rPr>
                <w:sz w:val="10"/>
                <w:szCs w:val="10"/>
                <w:color w:val="auto"/>
              </w:rPr>
            </w:pPr>
          </w:p>
        </w:tc>
        <w:tc>
          <w:tcPr>
            <w:tcW w:w="8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2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$ 189,625</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$ 181,138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Contracted services and professional fees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(4,634)</w:t>
            </w:r>
          </w:p>
        </w:tc>
        <w:tc>
          <w:tcPr>
            <w:tcW w:w="9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23,051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assessment and fees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9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 rewards program</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costs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$ 418,377</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$ 374,243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44,134</w:t>
            </w:r>
          </w:p>
        </w:tc>
        <w:tc>
          <w:tcPr>
            <w:tcW w:w="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n/m – Denotes a variance that is not a meaningful metric to inform the change in noninterest income for the nine months ended September 30, 2026 to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-215900</wp:posOffset>
            </wp:positionV>
            <wp:extent cx="1448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noninterest expense was $160.0 million for the three months ended September 30, 2026, an increase of $34.3 million or 27% as compared to the same period in 2025. Total noninterest expense was $418.4 million for the nine months ended September 30, 2026, an increase of $44.1 million or 12% as compared to the same period in 2025.</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Salaries and employee benefits expense was $63.2 million for the three months ended September 30, 2026, an increase of $1.6 million or 3% as compared to the same period in 2025. This increase was primarily due to a $1.1 million increase in base salaries and related payroll taxes, a $0.7 million decrease in payroll and benefit costs being deferred as loan origination costs, a $0.3 million increase in nonrecurring separation agreements and severance costs and a $0.3 million increase in group health plan costs. This was partially offset by a $0.7 million decrease in adjustments made to the deferred compensation plan as a result of market conditions. Salaries and employee benefits expense was $189.6 million for the nine months ended September 30, 2026, an increase of $8.5 million or 5% as compared to the same period in 2025. This increase was primarily due to a $4.5 million increase in base salaries and related payroll taxes, a $2.5 million increase in incentive compensation and a $1.4 million increase in group health plan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Contracted services and professional fees were $13.8 million for the three months ended September 30, 2026, a decrease of $2.0 million or 13% as compared to the same period in 2025. This decrease was primarily due to a $2.2 million decrease in outside services, primarily attributable to technology-related projects, marketing and new customer services. Contracted services and professional fees were $42.0 million for the nine months ended September 30, 2026, a decrease of $4.6 million or 10% as compared to the same period in 2025. This decrease was primarily due to a $4.9 million decrease in outside services, primarily attributable to technology-related projects, marketing and new customer services.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Occupancy expense was $7.3 million for the three months ended September 30, 2026, an increase of $0.2 million or 3% as compared to the same period in 2025. Occupancy expense was $23.1 million for the nine months ended September 30, 2026, a decrease of $0.1 million as compared to the same period in 2025.</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Equipment expense was $15.3 million for the three months ended September 30, 2026, an increase of $1.5 million or 11% as compared to the same period in 2025. This increase was primarily due to a $1.1 million increase in technology-related amortization and licensing and maintenance fees and a $0.3 million increase in furniture and equipment depreciation. Equipment expense was $44.7 million for the nine months ended September 30, 2026, an increase of $2.9 million or 7% as compared to the same period in 2025. This increase was primarily due to a $1.9 million increase in technology-related amortization and licensing and maintenance fees and a $1.1 million increase in furniture and equipment depreciation.</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Regulatory assessment and fees were $3.1 million for the three months ended September 30, 2026, a decrease of $0.2 million or 6% as compared to the same period in 2025. Regulatory assessment and fees were $9.8 million for the nine months ended September 30, 2026, a decrease of $1.1 million or 10% as compared to the same period in 2025. This decrease was primarily due to a decrease in the FDIC insurance assessment. During 2023, the FDIC approved a final rule for a special assessment to replenish the deposit insurance fund following bank failures occurring earlier in the year. As a result, the Company previously recorded a related loss of $16.3 million in the fourth quarter of 2023. During the first quarter of 2024, the FDIC issued a notice that the original loss estimate related to the 2023 bank failures was subsequently increased and that this increase would result in an additional assessment expense to affected institutions. As a result, we recorded a net expense related to the additional special assessment of $3.5 million for the year ended December 31, 2024. In December 2025, the FDIC reduced the rate at which the assessment is collected for the eighth quarter of the collection period, with an invoice payment date of March 30, 2026, from 3.36 basis points to 2.97 basis points. We recorded a reduction in the expense related to the additional special assessment of $2.6 million in 2025, $0.2 million in the first quarter of 2026 and $0.3 million in the third quarter of 2026.</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and marketing expense was $2.2 million for the three months ended September 30, 2026, an increase of $0.1 million or 6% as compared to the same period in 2025. Advertising and marketing expense was $6.6 million for the nine months ended September 30, 2026, an increase of $0.3 million or 5% as compared to the same period in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Card rewards program expense was $9.1 million for the three months ended September 30, 2026, an increase of $0.4 million or 5% as compared to the same period in 2025. This increase was primarily due to a $0.5 million increase in credit card cash reward redemptions. Card rewards program expense was $25.9 million for the nine months ended September 30, 2026, an increase of $0.9 million or 4% as compared to the same period in 2025. This increase was primarily due to a $0.8 million increase in credit card cash reward redemptions.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Merger-related costs were $6.7 million for the three months ended September 30, 2026, an increase of $6.7 million as compared to the same period in 2025. Merger-related costs were $10.9 million for the nine months ended September 30, 2026, an increase of $10.9 million as compared to the same period in 2025. These increases were related to legal and consultant fees, as well as costs for outside services, incurred as part of our proposed merger with TriCo Bancshares.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noninterest expense was $39.4 million for the three months ended September 30, 2026, an increase of $25.9 million as compared to the same period in 2025. This increase was primarily due to a $24.3 million increase in expense due to adjustments to certain liabilities assumed as a result of the Reorganization Transactions, a $1.5 million increase in operational losses and other charge-offs and a $0.6 million increase in charitable contributions, partially offset by a $0.3 million decrease in shipping and delivery expenses. Other noninterest expense was $65.9 million for the nine months ended September 30, 2026, an increase of $26.4 million or 67% as compared to the same period in 2025. This increase was primarily due to a $24.3 million increase in expense due to adjustments to certain liabilities assumed as a result of the Reorganization Transactions, a $1.8 million increase in operational losses and other charge-offs, a $1.4 million increase in charitable contributions and a $0.5 million increase in brokers fees, partially offset by a $1.2 million decrease in software amortization expense and a $0.4 million decrease in pension-related expenses.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benefit for income taxes was $13.9 million (a negative effective tax rate of 27.79%) for the three months ended September 30, 2026, compared with a provision for income taxes of $22.3 million (an effective tax rate of 23.20%) for the same period in 2025. The provision for income taxes was $27.7 million (an effective tax rate of 11.90%) for the nine months ended September 30, 2026, compared with a provision for income taxes of $54.9 million (an effective tax rate of 21.00%) for the same period in 2025. The reduction in the effective tax rate was due primarily to the reversal of certain reserves for uncertain tax liabilities due to the execution of a settlement agreement with the California Franchise Tax Board. See “Note 10. Income Taxes” contained in our unaudited interim consolidated financial statements for more information.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segments are Retail Banking and Commercial Banking, with all other activities, including Treasury, reported in Corporate/Other. Table 11 summarizes net income (loss) from our business segments and Corporate/Other for the three and nine months ended September 30, 2026 and 2025. Additional information about operating segment performance and Corporate/Other is presented in “Note 17. Reportable Operating Segments” contained in our unaudited interim consolidated financial statements.</w:t>
      </w:r>
    </w:p>
    <w:p>
      <w:pPr>
        <w:spacing w:after="0" w:line="183"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8"/>
          <w:szCs w:val="18"/>
          <w:color w:val="auto"/>
        </w:rPr>
        <w:t>During the quarter ended December 31, 2025, we realigned our internal organizational and management reporting structure. As a result of this change, we reduced our reportable operating segments from three to two. Our reportable segments are now Retail Banking and Commercial Banking. Activities previously reported within the Treasury and Other segment are now included in Corporate/Other, as Treasury exists to support our operating segments. The change in reportable segments reflects how our chief operating decision maker currently evaluates performance and allocates resources. We have reported our selected financial information using two reportable operating segments for the three and nine months ended September 30,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Business Segments and Corporate/Other Net Income (Loss)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Table 11</w:t>
            </w:r>
          </w:p>
        </w:tc>
        <w:tc>
          <w:tcPr>
            <w:tcW w:w="0" w:type="dxa"/>
            <w:vAlign w:val="bottom"/>
          </w:tcPr>
          <w:p>
            <w:pPr>
              <w:spacing w:after="0"/>
              <w:rPr>
                <w:sz w:val="1"/>
                <w:szCs w:val="1"/>
                <w:color w:val="auto"/>
              </w:rPr>
            </w:pPr>
          </w:p>
        </w:tc>
      </w:tr>
      <w:tr>
        <w:trPr>
          <w:trHeight w:val="117"/>
        </w:trPr>
        <w:tc>
          <w:tcPr>
            <w:tcW w:w="5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6"/>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780" w:type="dxa"/>
            <w:vAlign w:val="bottom"/>
            <w:tcBorders>
              <w:top w:val="single" w:sz="8" w:color="auto"/>
            </w:tcBorders>
            <w:gridSpan w:val="4"/>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70,245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66,583</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$ 198,562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(36,480)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(27,307)</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(91,843)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Total</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$ 204,889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Retail Banking. </w:t>
      </w:r>
      <w:r>
        <w:rPr>
          <w:rFonts w:ascii="Times New Roman" w:cs="Times New Roman" w:eastAsia="Times New Roman" w:hAnsi="Times New Roman"/>
          <w:sz w:val="18"/>
          <w:szCs w:val="18"/>
          <w:color w:val="auto"/>
        </w:rPr>
        <w:t>Our Retail Banking segment includes the financial products and services we provide to consumers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 businesses. Loan and lease products offered include residential and commercial mortgage loans, home equity lines of credit and loans, automobile loans and leases, secured and unsecured lines of credit, installment loans and small business loans and leases. Deposit products offered include checking, savings and time deposit accounts. Our Retail Banking segment also includes our wealth management services. Products and services from Retail Banking are delivered to customers through 49 banking locations throughout the State of Hawaii, Guam and Saipan.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income for the Retail Banking segment was $70.2 million for the three months ended September 30, 2026, an increase of $3.7 million or 5% as compared to the same period in 2025. The increase in net income for the Retail Banking segment was primarily due to an $8.5 million decrease in the provision for income taxes, a $4.9 million increase in net interest income and a $2.0 million increase in noninterest income, partially offset by a $7.1 million increase in the Provision and a $4.6 million increase in noninterest expense. The decrease in the provision for income taxes was primarily due to the allocation of the reversal of certain reserves for uncertain tax liabilities due to the execution of a settlement agreement with the California Franchise Tax Board. The increase in net interest income was primarily due to higher deposit spreads. The increase in noninterest income was primarily due to increases in other service charges and fees and service charges on deposit accounts. The increase in the Provision allocated to the Retail Banking segment was primarily due to increases in the provision for commercial real estate loans and construction loans. The increase in noninterest expense was primarily due to increases in operational losses and other charge-offs, salaries and employee benefits expense, occupancy expense and brokers fees.</w:t>
      </w:r>
    </w:p>
    <w:p>
      <w:pPr>
        <w:spacing w:after="0" w:line="19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Net income for the Retail Banking segment was $198.6 million for the nine months ended September 30, 2026, an increase of $9.1 million or 5% as compared to the same period in 2025. The increase in net income for the Retail Banking segment was primarily due to a $14.3 million increase in net interest income, a $4.8 million increase in noninterest income and a $1.1 million decrease in the provision for income taxes, partially offset by a $7.1 million increase in noninterest expense and a $4.0 million increase in the Provision. The increase in net interest income was primarily due to higher deposit spreads and higher loan spreads. The increase in noninterest income was primarily due to increases in other service charges and fees and service charges on deposit accounts. The decrease in the provision for income taxes was primarily due to the allocation of the reversal of certain reserves for uncertain tax liabilities due to the execution of a settlement agreement with the California Franchise Tax Board in 2026, partially offset by the allocation of the revaluation of the California deferred tax assets in 2025. The increase in noninterest expense was primarily due to increases in salaries and employee benefits expense, occupancy expense, operational losses and other charge-offs and brokers fees. This was partially offset by lower overall expenses that were allocated to the Retail Banking segment. The increase in the Provision allocated to the Retail Banking segment was primarily due to increases in the provision for commercial real estate loans and construction loans, partially offset by decreases in the provision for consumer loans.</w:t>
      </w:r>
    </w:p>
    <w:p>
      <w:pPr>
        <w:spacing w:after="0" w:line="1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Banking. </w:t>
      </w:r>
      <w:r>
        <w:rPr>
          <w:rFonts w:ascii="Times New Roman" w:cs="Times New Roman" w:eastAsia="Times New Roman" w:hAnsi="Times New Roman"/>
          <w:sz w:val="18"/>
          <w:szCs w:val="18"/>
          <w:color w:val="auto"/>
        </w:rPr>
        <w:t>Our Commercial Banking segment includes our corporate banking related products,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loans, commercial lease financing, secured and unsecured lines of credit, automobile loans and auto dealer financing, business deposit products and credit cards. Commercial lending and deposit products are offered primarily to middle-market and large companies locally, nationally and internationally.</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income for the Commercial Banking segment was $30.0 million for the three months ended September 30, 2026, a decrease of $4.6 million or 13% as compared to the same period in 2025. The decrease in net income for the Commercial Banking segment was primarily due to a $9.6 million increase in the Provision and a $2.1 million decrease in noninterest income, partially offset by a $6.5 million decrease in the provision for income taxes and a $1.1 million increase in net interest income. The increase in the Provision allocated to the Commercial Banking segment was primarily due to increases in the provision for commercial real estate loans and construction loans. The decrease in noninterest income was primarily due to decreases in customer-related interest rate swap fees and volume-based incentives. The decrease in the provision for income taxes was primarily due to the decrease in pretax income and the allocation of the reversal of certain reserves for uncertain tax liabilities due to the execution of a settlement agreement with the California Franchise Tax Board. The increase in net interest income was primarily due to higher average loan balances, partially offset by lower deposit spreads.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income for the Commercial Banking segment was $98.2 million for the nine months ended September 30, 2026, a decrease of $0.2 million as compared to the same period in 2025. The slight decrease in net income for the Commercial Banking segment was primarily due to a $6.8 million increase in the Provision, partially offset by a $3.9 million decrease in the provision for income taxes, a $1.6 increase in net interest income and a $1.1 million increase in noninterest income. The increase in the Provision allocated to the Commercial Banking segment was primarily due to increases in the provision for commercial real estate loans and construction loans, partially offset by decreases in the provision for consumer loans. The decrease in the provision for income taxes was primarily due to the decrease in pretax income for the Commercial Banking segment. The increase in net interest income was primarily due to higher average loan balances, higher loan fees and higher average deposit balances, partially offset by lower deposit spreads. The increase in noninterest income was primarily due to excise tax refunds received during the nine months ended September 30, 2026, partially offset by a decrease in customer-related interest rate swap fees.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operations and meet present and future financial obligations through either the sale or maturity of existing assets or by obtaining additional funding through liability management. We consider the effective and prudent management of liquidity to be fundamental to our health and strength. Our objective is to manage our cash flow and liquidity reserves so that they are adequate to fund our obligations and other commitments on a timely basis and at a reasonable cost.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Liquidity is managed to ensure stable, reliable and cost-effective sources of funds to satisfy demand for credit, deposit withdrawals and investment opportunities. Funding requirements are impacted by loan originations and refinancings, deposit balance changes, liability issuances and settlements and off-balance sheet funding commitments. We consider and comply with various regulatory and internal guidelines regarding required liquidity levels and periodically monitor our liquidity position in light of the changing economic environment and customer activity. Based on periodic liquidity assessments, we may alter our asset, liability and off-balance sheet positions. The Company’s Asset Liability Management Committee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Immediate liquid resources are available in cash, which is primarily on deposit with the Federal Reserve Bank of San Francisco (“FRB”). As of September 30, 2026 and December 31, 2025, cash and cash equivalents were $1.3 billion and $1.5 billion, respectively. Potential sources of liquidity also include investment securities in our available-for-sale portfolio and held-to-maturity portfolio. The carrying values of our available-for-sale investment securities and held-to-maturity investment securities were $2.0 billion and $3.3 billion as of September 30, 2026, respectively. The carrying values of our available-for-sale investment securities and held-to-maturity investment securities were $2.1 billion and $3.5 billion as of December 31, 2025, respectively. As of September 30, 2026 and December 31, 2025, we maintained additional liquidity primarily in collateralized mortgage obligations issued by Ginnie Mae, Fannie Mae and Freddie Mac and mortgage-backed securities issued by Ginnie Mae, Freddie Mac, Fannie Mae, Municipal Housing Authorities and non-agency entities. As of September 30, 2026, our available-for-sale investment securities portfolio was comprised of securities with a weighted average life of approximately 4.3 years and our held-to-maturity investment securities portfolio was comprised of securities with a weighted average life of approximately 6.8 years. These funds offer substantial resources to meet either new loan demand or to help offset reductions in our deposit funding base as they provide quick sources of liquidity by pledging to obtain secured borrowings and repurchase agreements or sales of our available-for-sale securities portfolio. Liquidity is further enhanced by our ability to pledge loans to access secured borrowings from the Federal Home Loan Bank of Des Moines (“FHLB”) and the FRB. As of September 30, 2026, we have borrowing capacity of $3.6 billion from the FHLB and $3.1 billion from the FRB based on the amount of collateral pledged.</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core deposits have historically provided us with a long-term source of stable and relatively lower cost of funding. Our core deposits, defined as all deposits exclusive of time deposits exceeding $250,000, totaled $18.8 billion and $19.1 billion as of September 30, 2026 and December 31, 2025, respectively, which represented 93% of our total deposits as of both September 30, 2026 and December 31, 2025. These core deposits are normally less volatile, often with customer relationships tied to other products offered by the Company; however, deposit levels could decrease if interest rates increase significantly or if corporate customers increase investing activities, including alternative investment options, that reduce deposit balances.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routine funding requirements are expected to consist primarily of general corporate needs and capital to be returned to our shareholders. We expect to meet these obligations from dividends paid by the Bank to the Parent. Additional sources of liquidity available to us include selling residential real estate loans in the secondary market, taking out short- and long-term borrowings and issuing long-term debt and equity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material cash requirements from our current and long-term contractual obligations have not changed materially since previously reported as of December 31, 2025. We believe that our existing cash, cash equivalents, investments, and cash expected to be generated from operations, are still sufficient to meet our cash requirements within the next 12 months and beyond.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Potential Demands on Liquidity from 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off-balance sheet arrangements, such as variable interest entities, guarantees, and certain financial instruments with off-balance sheet risk, that may affect the Company’s financial condition, changes in financial condition, revenues or expenses, results of operations, liquidity, capital expenditures or capital resources.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tax credit investments in partnerships and limited liability companies. Variable interests are defined as contractual ownership or other interests in an entity that change with fluctuations in an entity’s net asset value. The primary beneficiary consolidates the VIE. Based on our analysis, we have determined that the Company is not the primary beneficiary of these entities. As a result, we do not consolidate these VIEs. Unfunded commitments to fund these low-income housing tax credit investments were $163.7 million and $153.3 million as of September 30, 2026 and December 31, 2025, respectively.</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sell residential mortgage loans on the secondary market, primarily to Fannie Mae or Freddie Mac. The agreements under which we sell residential mortgage loans to Fannie Mae or Freddie Mac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The unpaid principal balance of our portfolio of residential mortgage loans sold was $1.0 billion and $1.1 billion as of September 30, 2026 and December 31, 2025, respectively. The agreements under which we sell residential mortgage loans require delivery of various documents to the investor or its document custodian. Although these loans are primarily sold on a non-recourse basis, we may be obligated to repurchase residential mortgage loans or reimburse investors for losses incurred if a loan review reveals that underwriting and documentation standards were potentially not met in the origination of those loans. Upon receipt of a repurchase request, we work with investors to arrive at a mutually agreeable resolution. Repurchase demands are typically reviewed on an individual loan by loan basis to validate the claims made by the investor to determine if a contractually required repurchase event has occurred. We manage the risk associated with potential repurchases or other forms of settlement through our underwriting and quality assurance practices and by servicing mortgage loans to meet investor and secondary market standards. For the nine months ended September 30, 2026, there was one residential mortgage loan repurchase totaling less than $0.1 million and there were no pending repurchase requests.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servicing loans in our portfolio, substantially all of the loans we sell to investors are sold with servicing rights retained. We also service loans originated by other mortgage loan originators. As servicer, our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loan modifications or short sales. Each agreement under which we act as servicer generally specifies a standard of responsibility for actions taken by the Company in such capacity and provides protection against expenses and liabilities incurred by the Company when acting in compliance with the respective servicing agreements. However, if we commit a material breach of obligations as servicer, we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nine months ended September 30, 2026, we had no repurchase requests related to loan servicing activities, nor were there any pending repurchase requests as of September 30, 2026.</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to-date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September 30, 2026, management believes that this exposure is not material due to the historical level of repurchase requests and loss trends and thus has not established a liability for losses related to mortgage loan repurchases. As of September 30, 2026, 98% of our residential mortgage loans serviced for investors were current. We maintain ongoing communications with investors and continue to evaluate this exposure by monitoring the level and number of repurchase requests as well as the delinquency rates in loans sold to investors.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with Off-Balance Sheet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These financial instruments include commitments to extend credit and standby and commercial letters of credit which are not reflected in the unaudited interim consolidated financial statements.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12. Commitments and Contingent Liabilities” contained in our unaudited interim consolidated financial statements for more information on our financial instruments with off-balance sheet risk.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Table 12 presents the estimated fair value of our available-for-sale investment securities portfolio and amortized cost of our held-to-maturity investment securities portfolio as of September 30, 2026 and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Table 12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22,991</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867,448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878,215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172,924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38,303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259,734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367,616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280,021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Collateralized loan obligations</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7,908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76,589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2,016,945</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Government agency debt securities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44,288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34,621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81,783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30,160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1,065,523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767,292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1,268,014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Debt securities issued by states and political subdivisions</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55,313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54,994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held-to-maturity securities</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3,346,994</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3,533,082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13 presents the maturity distribution at amortized cost and weighted-average yield to maturity of our investment securities portfolio as of September 30, 2026: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w w:val="98"/>
              </w:rPr>
              <w:t>Maturities and Weighted-Average Yield on Securities</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Table 13</w:t>
            </w: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1 Year or Less</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5"/>
              </w:rPr>
              <w:t>After 1 Year - 5 Years</w:t>
            </w:r>
          </w:p>
        </w:tc>
        <w:tc>
          <w:tcPr>
            <w:tcW w:w="140" w:type="dxa"/>
            <w:vAlign w:val="bottom"/>
          </w:tcPr>
          <w:p>
            <w:pPr>
              <w:spacing w:after="0"/>
              <w:rPr>
                <w:sz w:val="10"/>
                <w:szCs w:val="10"/>
                <w:color w:val="auto"/>
              </w:rPr>
            </w:pPr>
          </w:p>
        </w:tc>
        <w:tc>
          <w:tcPr>
            <w:tcW w:w="1140" w:type="dxa"/>
            <w:vAlign w:val="bottom"/>
            <w:tcBorders>
              <w:bottom w:val="single" w:sz="8" w:color="auto"/>
            </w:tcBorders>
            <w:gridSpan w:val="5"/>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6"/>
              </w:rPr>
              <w:t>After 5 Years - 10 Years</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rPr>
              <w:t>Over 10 Years</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37"/>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(dollars in millions)</w:t>
            </w:r>
          </w:p>
        </w:tc>
        <w:tc>
          <w:tcPr>
            <w:tcW w:w="20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6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   Yield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   ​</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15"/>
        </w:trPr>
        <w:tc>
          <w:tcPr>
            <w:tcW w:w="178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Mortgage-backed securities: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0"/>
                <w:szCs w:val="10"/>
                <w:color w:val="auto"/>
              </w:rPr>
              <w:t>Residential - Government agency</w:t>
            </w:r>
            <w:r>
              <w:rPr>
                <w:rFonts w:ascii="Times New Roman" w:cs="Times New Roman" w:eastAsia="Times New Roman" w:hAnsi="Times New Roman"/>
                <w:sz w:val="14"/>
                <w:szCs w:val="14"/>
                <w:color w:val="auto"/>
                <w:vertAlign w:val="superscript"/>
              </w:rPr>
              <w:t>(2)</w:t>
            </w:r>
          </w:p>
        </w:tc>
        <w:tc>
          <w:tcPr>
            <w:tcW w:w="200" w:type="dxa"/>
            <w:vAlign w:val="bottom"/>
            <w:gridSpan w:val="2"/>
            <w:shd w:val="clear" w:color="auto" w:fill="CCEEFF"/>
          </w:tcPr>
          <w:p>
            <w:pPr>
              <w:jc w:val="right"/>
              <w:ind w:right="13"/>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15.8</w:t>
            </w:r>
          </w:p>
        </w:tc>
        <w:tc>
          <w:tcPr>
            <w:tcW w:w="10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5.47 % $</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8.7</w:t>
            </w:r>
          </w:p>
        </w:tc>
        <w:tc>
          <w:tcPr>
            <w:tcW w:w="860" w:type="dxa"/>
            <w:vAlign w:val="bottom"/>
            <w:gridSpan w:val="5"/>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2.84 % $</w:t>
            </w:r>
          </w:p>
        </w:tc>
        <w:tc>
          <w:tcPr>
            <w:tcW w:w="6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24.5</w:t>
            </w:r>
          </w:p>
        </w:tc>
        <w:tc>
          <w:tcPr>
            <w:tcW w:w="120" w:type="dxa"/>
            <w:vAlign w:val="bottom"/>
            <w:shd w:val="clear" w:color="auto" w:fill="CCEEFF"/>
          </w:tcPr>
          <w:p>
            <w:pPr>
              <w:spacing w:after="0"/>
              <w:rPr>
                <w:sz w:val="10"/>
                <w:szCs w:val="10"/>
                <w:color w:val="auto"/>
              </w:rPr>
            </w:pPr>
          </w:p>
        </w:tc>
        <w:tc>
          <w:tcPr>
            <w:tcW w:w="720" w:type="dxa"/>
            <w:vAlign w:val="bottom"/>
            <w:gridSpan w:val="3"/>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4.53 % $</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23.0</w:t>
            </w:r>
          </w:p>
        </w:tc>
        <w:tc>
          <w:tcPr>
            <w:tcW w:w="0" w:type="dxa"/>
            <w:vAlign w:val="bottom"/>
          </w:tcPr>
          <w:p>
            <w:pPr>
              <w:spacing w:after="0"/>
              <w:rPr>
                <w:sz w:val="1"/>
                <w:szCs w:val="1"/>
                <w:color w:val="auto"/>
              </w:rPr>
            </w:pPr>
          </w:p>
        </w:tc>
      </w:tr>
      <w:tr>
        <w:trPr>
          <w:trHeight w:val="108"/>
        </w:trPr>
        <w:tc>
          <w:tcPr>
            <w:tcW w:w="1780" w:type="dxa"/>
            <w:vAlign w:val="bottom"/>
          </w:tcPr>
          <w:p>
            <w:pPr>
              <w:ind w:left="120"/>
              <w:spacing w:after="0" w:line="108" w:lineRule="exact"/>
              <w:rPr>
                <w:sz w:val="20"/>
                <w:szCs w:val="20"/>
                <w:color w:val="auto"/>
              </w:rPr>
            </w:pPr>
            <w:r>
              <w:rPr>
                <w:rFonts w:ascii="Times New Roman" w:cs="Times New Roman" w:eastAsia="Times New Roman" w:hAnsi="Times New Roman"/>
                <w:sz w:val="11"/>
                <w:szCs w:val="11"/>
                <w:color w:val="auto"/>
              </w:rPr>
              <w:t>Residential - Government-sponsored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667.5</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1.99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292.1</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4.55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959.6</w:t>
            </w:r>
          </w:p>
        </w:tc>
        <w:tc>
          <w:tcPr>
            <w:tcW w:w="120" w:type="dxa"/>
            <w:vAlign w:val="bottom"/>
          </w:tcPr>
          <w:p>
            <w:pPr>
              <w:spacing w:after="0"/>
              <w:rPr>
                <w:sz w:val="9"/>
                <w:szCs w:val="9"/>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2.77</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867.4</w:t>
            </w:r>
          </w:p>
        </w:tc>
        <w:tc>
          <w:tcPr>
            <w:tcW w:w="0" w:type="dxa"/>
            <w:vAlign w:val="bottom"/>
          </w:tcPr>
          <w:p>
            <w:pPr>
              <w:spacing w:after="0"/>
              <w:rPr>
                <w:sz w:val="1"/>
                <w:szCs w:val="1"/>
                <w:color w:val="auto"/>
              </w:rPr>
            </w:pPr>
          </w:p>
        </w:tc>
      </w:tr>
      <w:tr>
        <w:trPr>
          <w:trHeight w:val="135"/>
        </w:trPr>
        <w:tc>
          <w:tcPr>
            <w:tcW w:w="1780" w:type="dxa"/>
            <w:vAlign w:val="bottom"/>
          </w:tcPr>
          <w:p>
            <w:pPr>
              <w:ind w:left="120"/>
              <w:spacing w:after="0" w:line="136" w:lineRule="exact"/>
              <w:rPr>
                <w:sz w:val="20"/>
                <w:szCs w:val="20"/>
                <w:color w:val="auto"/>
              </w:rPr>
            </w:pPr>
            <w:r>
              <w:rPr>
                <w:rFonts w:ascii="Times New Roman" w:cs="Times New Roman" w:eastAsia="Times New Roman" w:hAnsi="Times New Roman"/>
                <w:sz w:val="10"/>
                <w:szCs w:val="10"/>
                <w:color w:val="auto"/>
              </w:rPr>
              <w:t>enterprises</w:t>
            </w:r>
            <w:r>
              <w:rPr>
                <w:rFonts w:ascii="Times New Roman" w:cs="Times New Roman" w:eastAsia="Times New Roman" w:hAnsi="Times New Roman"/>
                <w:sz w:val="15"/>
                <w:szCs w:val="15"/>
                <w:color w:val="auto"/>
                <w:vertAlign w:val="superscript"/>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8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0"/>
                <w:szCs w:val="10"/>
                <w:color w:val="auto"/>
              </w:rPr>
              <w:t>Commercial - Government agency</w:t>
            </w:r>
            <w:r>
              <w:rPr>
                <w:rFonts w:ascii="Times New Roman" w:cs="Times New Roman" w:eastAsia="Times New Roman" w:hAnsi="Times New Roman"/>
                <w:sz w:val="14"/>
                <w:szCs w:val="14"/>
                <w:color w:val="auto"/>
                <w:vertAlign w:val="superscript"/>
              </w:rPr>
              <w:t>(2)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0.6</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197.8</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29.3</w:t>
            </w:r>
          </w:p>
        </w:tc>
        <w:tc>
          <w:tcPr>
            <w:tcW w:w="6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227.7</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1.89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172.9</w:t>
            </w:r>
          </w:p>
        </w:tc>
        <w:tc>
          <w:tcPr>
            <w:tcW w:w="0" w:type="dxa"/>
            <w:vAlign w:val="bottom"/>
          </w:tcPr>
          <w:p>
            <w:pPr>
              <w:spacing w:after="0"/>
              <w:rPr>
                <w:sz w:val="1"/>
                <w:szCs w:val="1"/>
                <w:color w:val="auto"/>
              </w:rPr>
            </w:pPr>
          </w:p>
        </w:tc>
      </w:tr>
      <w:tr>
        <w:trPr>
          <w:trHeight w:val="108"/>
        </w:trPr>
        <w:tc>
          <w:tcPr>
            <w:tcW w:w="1780" w:type="dxa"/>
            <w:vAlign w:val="bottom"/>
          </w:tcPr>
          <w:p>
            <w:pPr>
              <w:ind w:left="120"/>
              <w:spacing w:after="0" w:line="108" w:lineRule="exact"/>
              <w:rPr>
                <w:sz w:val="20"/>
                <w:szCs w:val="20"/>
                <w:color w:val="auto"/>
              </w:rPr>
            </w:pPr>
            <w:r>
              <w:rPr>
                <w:rFonts w:ascii="Times New Roman" w:cs="Times New Roman" w:eastAsia="Times New Roman" w:hAnsi="Times New Roman"/>
                <w:sz w:val="11"/>
                <w:szCs w:val="11"/>
                <w:color w:val="auto"/>
                <w:w w:val="98"/>
              </w:rPr>
              <w:t>Commercial - Government-sponsored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38.9</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1.69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38.9</w:t>
            </w:r>
          </w:p>
        </w:tc>
        <w:tc>
          <w:tcPr>
            <w:tcW w:w="120" w:type="dxa"/>
            <w:vAlign w:val="bottom"/>
          </w:tcPr>
          <w:p>
            <w:pPr>
              <w:spacing w:after="0"/>
              <w:rPr>
                <w:sz w:val="9"/>
                <w:szCs w:val="9"/>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1.69</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38.3</w:t>
            </w:r>
          </w:p>
        </w:tc>
        <w:tc>
          <w:tcPr>
            <w:tcW w:w="0" w:type="dxa"/>
            <w:vAlign w:val="bottom"/>
          </w:tcPr>
          <w:p>
            <w:pPr>
              <w:spacing w:after="0"/>
              <w:rPr>
                <w:sz w:val="1"/>
                <w:szCs w:val="1"/>
                <w:color w:val="auto"/>
              </w:rPr>
            </w:pPr>
          </w:p>
        </w:tc>
      </w:tr>
      <w:tr>
        <w:trPr>
          <w:trHeight w:val="135"/>
        </w:trPr>
        <w:tc>
          <w:tcPr>
            <w:tcW w:w="1780" w:type="dxa"/>
            <w:vAlign w:val="bottom"/>
          </w:tcPr>
          <w:p>
            <w:pPr>
              <w:ind w:left="120"/>
              <w:spacing w:after="0" w:line="136" w:lineRule="exact"/>
              <w:rPr>
                <w:sz w:val="20"/>
                <w:szCs w:val="20"/>
                <w:color w:val="auto"/>
              </w:rPr>
            </w:pPr>
            <w:r>
              <w:rPr>
                <w:rFonts w:ascii="Times New Roman" w:cs="Times New Roman" w:eastAsia="Times New Roman" w:hAnsi="Times New Roman"/>
                <w:sz w:val="10"/>
                <w:szCs w:val="10"/>
                <w:color w:val="auto"/>
              </w:rPr>
              <w:t>enterprises</w:t>
            </w:r>
            <w:r>
              <w:rPr>
                <w:rFonts w:ascii="Times New Roman" w:cs="Times New Roman" w:eastAsia="Times New Roman" w:hAnsi="Times New Roman"/>
                <w:sz w:val="15"/>
                <w:szCs w:val="15"/>
                <w:color w:val="auto"/>
                <w:vertAlign w:val="superscript"/>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Commercial - Non-agency</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74.8</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5.69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184.0</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258.8</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5.30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259.8</w:t>
            </w:r>
          </w:p>
        </w:tc>
        <w:tc>
          <w:tcPr>
            <w:tcW w:w="0" w:type="dxa"/>
            <w:vAlign w:val="bottom"/>
          </w:tcPr>
          <w:p>
            <w:pPr>
              <w:spacing w:after="0"/>
              <w:rPr>
                <w:sz w:val="1"/>
                <w:szCs w:val="1"/>
                <w:color w:val="auto"/>
              </w:rPr>
            </w:pPr>
          </w:p>
        </w:tc>
      </w:tr>
      <w:tr>
        <w:trPr>
          <w:trHeight w:val="122"/>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0"/>
                <w:szCs w:val="10"/>
                <w:color w:val="auto"/>
              </w:rPr>
              <w:t>Collateralized mortgage obligations</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8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 agency</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0.4</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285.9</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132.7</w:t>
            </w:r>
          </w:p>
        </w:tc>
        <w:tc>
          <w:tcPr>
            <w:tcW w:w="6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419.0</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2.67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367.6</w:t>
            </w:r>
          </w:p>
        </w:tc>
        <w:tc>
          <w:tcPr>
            <w:tcW w:w="0" w:type="dxa"/>
            <w:vAlign w:val="bottom"/>
          </w:tcPr>
          <w:p>
            <w:pPr>
              <w:spacing w:after="0"/>
              <w:rPr>
                <w:sz w:val="1"/>
                <w:szCs w:val="1"/>
                <w:color w:val="auto"/>
              </w:rPr>
            </w:pPr>
          </w:p>
        </w:tc>
      </w:tr>
      <w:tr>
        <w:trPr>
          <w:trHeight w:val="122"/>
        </w:trPr>
        <w:tc>
          <w:tcPr>
            <w:tcW w:w="17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Government-sponsored enterprises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0.8</w:t>
            </w: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119.7</w:t>
            </w:r>
          </w:p>
        </w:tc>
        <w:tc>
          <w:tcPr>
            <w:tcW w:w="6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322.7</w:t>
            </w:r>
          </w:p>
        </w:tc>
        <w:tc>
          <w:tcPr>
            <w:tcW w:w="120" w:type="dxa"/>
            <w:vAlign w:val="bottom"/>
          </w:tcPr>
          <w:p>
            <w:pPr>
              <w:spacing w:after="0"/>
              <w:rPr>
                <w:sz w:val="10"/>
                <w:szCs w:val="10"/>
                <w:color w:val="auto"/>
              </w:rPr>
            </w:pPr>
          </w:p>
        </w:tc>
        <w:tc>
          <w:tcPr>
            <w:tcW w:w="4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280.0</w:t>
            </w:r>
          </w:p>
        </w:tc>
        <w:tc>
          <w:tcPr>
            <w:tcW w:w="0" w:type="dxa"/>
            <w:vAlign w:val="bottom"/>
          </w:tcPr>
          <w:p>
            <w:pPr>
              <w:spacing w:after="0"/>
              <w:rPr>
                <w:sz w:val="1"/>
                <w:szCs w:val="1"/>
                <w:color w:val="auto"/>
              </w:rPr>
            </w:pPr>
          </w:p>
        </w:tc>
      </w:tr>
      <w:tr>
        <w:trPr>
          <w:trHeight w:val="121"/>
        </w:trPr>
        <w:tc>
          <w:tcPr>
            <w:tcW w:w="17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Collateralized loan obligations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3.3</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6.69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4.6</w:t>
            </w:r>
          </w:p>
        </w:tc>
        <w:tc>
          <w:tcPr>
            <w:tcW w:w="6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6.31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7.9</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6.47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7.9</w:t>
            </w:r>
          </w:p>
        </w:tc>
        <w:tc>
          <w:tcPr>
            <w:tcW w:w="0" w:type="dxa"/>
            <w:vAlign w:val="bottom"/>
          </w:tcPr>
          <w:p>
            <w:pPr>
              <w:spacing w:after="0"/>
              <w:rPr>
                <w:sz w:val="1"/>
                <w:szCs w:val="1"/>
                <w:color w:val="auto"/>
              </w:rPr>
            </w:pPr>
          </w:p>
        </w:tc>
      </w:tr>
      <w:tr>
        <w:trPr>
          <w:trHeight w:val="155"/>
        </w:trPr>
        <w:tc>
          <w:tcPr>
            <w:tcW w:w="178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available-for-sale securities</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40.7</w:t>
            </w:r>
          </w:p>
        </w:tc>
        <w:tc>
          <w:tcPr>
            <w:tcW w:w="12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1.70</w:t>
            </w:r>
          </w:p>
        </w:tc>
        <w:tc>
          <w:tcPr>
            <w:tcW w:w="120" w:type="dxa"/>
            <w:vAlign w:val="bottom"/>
            <w:tcBorders>
              <w:bottom w:val="single" w:sz="8" w:color="CCEEFF"/>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1,447.3</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2.33</w:t>
            </w:r>
          </w:p>
        </w:tc>
        <w:tc>
          <w:tcPr>
            <w:tcW w:w="140" w:type="dxa"/>
            <w:vAlign w:val="bottom"/>
            <w:tcBorders>
              <w:bottom w:val="single" w:sz="8" w:color="CCEEFF"/>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587.</w:t>
            </w:r>
            <w:r>
              <w:rPr>
                <w:rFonts w:ascii="Times New Roman" w:cs="Times New Roman" w:eastAsia="Times New Roman" w:hAnsi="Times New Roman"/>
                <w:sz w:val="11"/>
                <w:szCs w:val="11"/>
                <w:b w:val="1"/>
                <w:bCs w:val="1"/>
                <w:u w:val="single" w:color="auto"/>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3.63</w:t>
            </w:r>
          </w:p>
        </w:tc>
        <w:tc>
          <w:tcPr>
            <w:tcW w:w="120" w:type="dxa"/>
            <w:vAlign w:val="bottom"/>
            <w:tcBorders>
              <w:bottom w:val="single" w:sz="8" w:color="CCEEFF"/>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184.0</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5.14</w:t>
            </w:r>
          </w:p>
        </w:tc>
        <w:tc>
          <w:tcPr>
            <w:tcW w:w="140" w:type="dxa"/>
            <w:vAlign w:val="bottom"/>
            <w:tcBorders>
              <w:bottom w:val="single" w:sz="8" w:color="CCEEFF"/>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2,259.1</w:t>
            </w:r>
          </w:p>
        </w:tc>
        <w:tc>
          <w:tcPr>
            <w:tcW w:w="1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ind w:left="240"/>
              <w:spacing w:after="0" w:line="115" w:lineRule="exact"/>
              <w:rPr>
                <w:sz w:val="20"/>
                <w:szCs w:val="20"/>
                <w:color w:val="auto"/>
              </w:rPr>
            </w:pPr>
            <w:r>
              <w:rPr>
                <w:rFonts w:ascii="Times New Roman" w:cs="Times New Roman" w:eastAsia="Times New Roman" w:hAnsi="Times New Roman"/>
                <w:sz w:val="11"/>
                <w:szCs w:val="11"/>
                <w:b w:val="1"/>
                <w:bCs w:val="1"/>
                <w:color w:val="auto"/>
              </w:rPr>
              <w:t>2.88</w:t>
            </w:r>
          </w:p>
        </w:tc>
        <w:tc>
          <w:tcPr>
            <w:tcW w:w="120" w:type="dxa"/>
            <w:vAlign w:val="bottom"/>
            <w:tcBorders>
              <w:bottom w:val="single" w:sz="8" w:color="CCEEFF"/>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2,016.9</w:t>
            </w:r>
          </w:p>
        </w:tc>
        <w:tc>
          <w:tcPr>
            <w:tcW w:w="0" w:type="dxa"/>
            <w:vAlign w:val="bottom"/>
          </w:tcPr>
          <w:p>
            <w:pPr>
              <w:spacing w:after="0"/>
              <w:rPr>
                <w:sz w:val="1"/>
                <w:szCs w:val="1"/>
                <w:color w:val="auto"/>
              </w:rPr>
            </w:pPr>
          </w:p>
        </w:tc>
      </w:tr>
      <w:tr>
        <w:trPr>
          <w:trHeight w:val="102"/>
        </w:trPr>
        <w:tc>
          <w:tcPr>
            <w:tcW w:w="178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Held-to-maturity securities</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Government agency debt securities</w:t>
            </w:r>
          </w:p>
        </w:tc>
        <w:tc>
          <w:tcPr>
            <w:tcW w:w="200" w:type="dxa"/>
            <w:vAlign w:val="bottom"/>
            <w:gridSpan w:val="2"/>
          </w:tcPr>
          <w:p>
            <w:pPr>
              <w:jc w:val="right"/>
              <w:ind w:right="13"/>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23.4</w:t>
            </w:r>
          </w:p>
        </w:tc>
        <w:tc>
          <w:tcPr>
            <w:tcW w:w="860" w:type="dxa"/>
            <w:vAlign w:val="bottom"/>
            <w:gridSpan w:val="5"/>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1.33 % $</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20.9</w:t>
            </w:r>
          </w:p>
        </w:tc>
        <w:tc>
          <w:tcPr>
            <w:tcW w:w="100" w:type="dxa"/>
            <w:vAlign w:val="bottom"/>
          </w:tcPr>
          <w:p>
            <w:pPr>
              <w:spacing w:after="0"/>
              <w:rPr>
                <w:sz w:val="10"/>
                <w:szCs w:val="10"/>
                <w:color w:val="auto"/>
              </w:rPr>
            </w:pP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1.84 %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44.3</w:t>
            </w:r>
          </w:p>
        </w:tc>
        <w:tc>
          <w:tcPr>
            <w:tcW w:w="120" w:type="dxa"/>
            <w:vAlign w:val="bottom"/>
          </w:tcPr>
          <w:p>
            <w:pPr>
              <w:spacing w:after="0"/>
              <w:rPr>
                <w:sz w:val="10"/>
                <w:szCs w:val="10"/>
                <w:color w:val="auto"/>
              </w:rPr>
            </w:pPr>
          </w:p>
        </w:tc>
        <w:tc>
          <w:tcPr>
            <w:tcW w:w="720" w:type="dxa"/>
            <w:vAlign w:val="bottom"/>
            <w:gridSpan w:val="3"/>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1.57 %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39.4</w:t>
            </w:r>
          </w:p>
        </w:tc>
        <w:tc>
          <w:tcPr>
            <w:tcW w:w="0" w:type="dxa"/>
            <w:vAlign w:val="bottom"/>
          </w:tcPr>
          <w:p>
            <w:pPr>
              <w:spacing w:after="0"/>
              <w:rPr>
                <w:sz w:val="1"/>
                <w:szCs w:val="1"/>
                <w:color w:val="auto"/>
              </w:rPr>
            </w:pPr>
          </w:p>
        </w:tc>
      </w:tr>
      <w:tr>
        <w:trPr>
          <w:trHeight w:val="121"/>
        </w:trPr>
        <w:tc>
          <w:tcPr>
            <w:tcW w:w="17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Mortgage-backed securities</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Residential - Government agency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34.6</w:t>
            </w:r>
          </w:p>
        </w:tc>
        <w:tc>
          <w:tcPr>
            <w:tcW w:w="6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34.6</w:t>
            </w:r>
          </w:p>
        </w:tc>
        <w:tc>
          <w:tcPr>
            <w:tcW w:w="120" w:type="dxa"/>
            <w:vAlign w:val="bottom"/>
          </w:tcPr>
          <w:p>
            <w:pPr>
              <w:spacing w:after="0"/>
              <w:rPr>
                <w:sz w:val="10"/>
                <w:szCs w:val="10"/>
                <w:color w:val="auto"/>
              </w:rPr>
            </w:pPr>
          </w:p>
        </w:tc>
        <w:tc>
          <w:tcPr>
            <w:tcW w:w="4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28.3</w:t>
            </w: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1"/>
                <w:szCs w:val="11"/>
                <w:color w:val="auto"/>
              </w:rPr>
              <w:t>Residential - Government-sponsored</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81.8</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1.59</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81.8</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1.59</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66.5</w:t>
            </w:r>
          </w:p>
        </w:tc>
        <w:tc>
          <w:tcPr>
            <w:tcW w:w="0" w:type="dxa"/>
            <w:vAlign w:val="bottom"/>
          </w:tcPr>
          <w:p>
            <w:pPr>
              <w:spacing w:after="0"/>
              <w:rPr>
                <w:sz w:val="1"/>
                <w:szCs w:val="1"/>
                <w:color w:val="auto"/>
              </w:rPr>
            </w:pPr>
          </w:p>
        </w:tc>
      </w:tr>
      <w:tr>
        <w:trPr>
          <w:trHeight w:val="135"/>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enterprises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Commercial - Government agency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14.4</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15.8</w:t>
            </w:r>
          </w:p>
        </w:tc>
        <w:tc>
          <w:tcPr>
            <w:tcW w:w="6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30.2</w:t>
            </w:r>
          </w:p>
        </w:tc>
        <w:tc>
          <w:tcPr>
            <w:tcW w:w="120" w:type="dxa"/>
            <w:vAlign w:val="bottom"/>
          </w:tcPr>
          <w:p>
            <w:pPr>
              <w:spacing w:after="0"/>
              <w:rPr>
                <w:sz w:val="10"/>
                <w:szCs w:val="10"/>
                <w:color w:val="auto"/>
              </w:rPr>
            </w:pPr>
          </w:p>
        </w:tc>
        <w:tc>
          <w:tcPr>
            <w:tcW w:w="4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2.01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20.8</w:t>
            </w: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1"/>
                <w:szCs w:val="11"/>
                <w:color w:val="auto"/>
                <w:w w:val="98"/>
              </w:rPr>
              <w:t>Commercial - Government-sponsored</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36.2</w:t>
            </w: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0.93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391.2</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459.7</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178.4</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2.72</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1,065.5</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2.01</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900.7</w:t>
            </w:r>
          </w:p>
        </w:tc>
        <w:tc>
          <w:tcPr>
            <w:tcW w:w="0" w:type="dxa"/>
            <w:vAlign w:val="bottom"/>
          </w:tcPr>
          <w:p>
            <w:pPr>
              <w:spacing w:after="0"/>
              <w:rPr>
                <w:sz w:val="1"/>
                <w:szCs w:val="1"/>
                <w:color w:val="auto"/>
              </w:rPr>
            </w:pPr>
          </w:p>
        </w:tc>
      </w:tr>
      <w:tr>
        <w:trPr>
          <w:trHeight w:val="135"/>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enterprises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0"/>
                <w:szCs w:val="10"/>
                <w:color w:val="auto"/>
              </w:rPr>
              <w:t>Collateralized mortgage obligations</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 agency</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9.5</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757.8</w:t>
            </w:r>
          </w:p>
        </w:tc>
        <w:tc>
          <w:tcPr>
            <w:tcW w:w="6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767.3</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1.40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642.7</w:t>
            </w:r>
          </w:p>
        </w:tc>
        <w:tc>
          <w:tcPr>
            <w:tcW w:w="0" w:type="dxa"/>
            <w:vAlign w:val="bottom"/>
          </w:tcPr>
          <w:p>
            <w:pPr>
              <w:spacing w:after="0"/>
              <w:rPr>
                <w:sz w:val="1"/>
                <w:szCs w:val="1"/>
                <w:color w:val="auto"/>
              </w:rPr>
            </w:pPr>
          </w:p>
        </w:tc>
      </w:tr>
      <w:tr>
        <w:trPr>
          <w:trHeight w:val="121"/>
        </w:trPr>
        <w:tc>
          <w:tcPr>
            <w:tcW w:w="17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Government-sponsored enterprises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199.1</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1,050.0</w:t>
            </w:r>
          </w:p>
        </w:tc>
        <w:tc>
          <w:tcPr>
            <w:tcW w:w="6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18.9</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1,268.0</w:t>
            </w:r>
          </w:p>
        </w:tc>
        <w:tc>
          <w:tcPr>
            <w:tcW w:w="120" w:type="dxa"/>
            <w:vAlign w:val="bottom"/>
          </w:tcPr>
          <w:p>
            <w:pPr>
              <w:spacing w:after="0"/>
              <w:rPr>
                <w:sz w:val="10"/>
                <w:szCs w:val="10"/>
                <w:color w:val="auto"/>
              </w:rPr>
            </w:pPr>
          </w:p>
        </w:tc>
        <w:tc>
          <w:tcPr>
            <w:tcW w:w="4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1.52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1,073.4</w:t>
            </w: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Debt securities issued by state and</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38.1</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2.45</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55.3</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2.27</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47.5</w:t>
            </w:r>
          </w:p>
        </w:tc>
        <w:tc>
          <w:tcPr>
            <w:tcW w:w="0" w:type="dxa"/>
            <w:vAlign w:val="bottom"/>
          </w:tcPr>
          <w:p>
            <w:pPr>
              <w:spacing w:after="0"/>
              <w:rPr>
                <w:sz w:val="1"/>
                <w:szCs w:val="1"/>
                <w:color w:val="auto"/>
              </w:rPr>
            </w:pPr>
          </w:p>
        </w:tc>
      </w:tr>
      <w:tr>
        <w:trPr>
          <w:trHeight w:val="13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political subdivisions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held-to-maturity securities</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36.2</w:t>
            </w:r>
          </w:p>
        </w:tc>
        <w:tc>
          <w:tcPr>
            <w:tcW w:w="1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0.93</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614.2</w:t>
            </w:r>
          </w:p>
        </w:tc>
        <w:tc>
          <w:tcPr>
            <w:tcW w:w="10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1.76</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2,461.</w:t>
            </w:r>
            <w:r>
              <w:rPr>
                <w:rFonts w:ascii="Times New Roman" w:cs="Times New Roman" w:eastAsia="Times New Roman" w:hAnsi="Times New Roman"/>
                <w:sz w:val="11"/>
                <w:szCs w:val="11"/>
                <w:b w:val="1"/>
                <w:bCs w:val="1"/>
                <w:u w:val="single" w:color="auto"/>
                <w:color w:val="auto"/>
              </w:rPr>
              <w:t>2</w:t>
            </w:r>
          </w:p>
        </w:tc>
        <w:tc>
          <w:tcPr>
            <w:tcW w:w="4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1.58</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235.4</w:t>
            </w:r>
          </w:p>
        </w:tc>
        <w:tc>
          <w:tcPr>
            <w:tcW w:w="10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2.59</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3,347.0</w:t>
            </w:r>
          </w:p>
        </w:tc>
        <w:tc>
          <w:tcPr>
            <w:tcW w:w="120" w:type="dxa"/>
            <w:vAlign w:val="bottom"/>
          </w:tcPr>
          <w:p>
            <w:pPr>
              <w:spacing w:after="0"/>
              <w:rPr>
                <w:sz w:val="10"/>
                <w:szCs w:val="10"/>
                <w:color w:val="auto"/>
              </w:rPr>
            </w:pPr>
          </w:p>
        </w:tc>
        <w:tc>
          <w:tcPr>
            <w:tcW w:w="480" w:type="dxa"/>
            <w:vAlign w:val="bottom"/>
            <w:tcBorders>
              <w:top w:val="single" w:sz="8" w:color="auto"/>
              <w:bottom w:val="single" w:sz="8" w:color="auto"/>
            </w:tcBorders>
          </w:tcPr>
          <w:p>
            <w:pPr>
              <w:ind w:left="240"/>
              <w:spacing w:after="0" w:line="115" w:lineRule="exact"/>
              <w:rPr>
                <w:sz w:val="20"/>
                <w:szCs w:val="20"/>
                <w:color w:val="auto"/>
              </w:rPr>
            </w:pPr>
            <w:r>
              <w:rPr>
                <w:rFonts w:ascii="Times New Roman" w:cs="Times New Roman" w:eastAsia="Times New Roman" w:hAnsi="Times New Roman"/>
                <w:sz w:val="11"/>
                <w:szCs w:val="11"/>
                <w:b w:val="1"/>
                <w:bCs w:val="1"/>
                <w:color w:val="auto"/>
              </w:rPr>
              <w:t>1.67</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2,819.3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Weighted-average yields were computed on a fully taxable-equivalent basis.</w:t>
      </w:r>
    </w:p>
    <w:p>
      <w:pPr>
        <w:spacing w:after="0" w:line="27"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Maturities for mortgage-backed securities and collateralized mortgage obligations anticipate future prepayments.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$5.4 billion as of September 30, 2026, a decrease of $245.4 million or 4% compared to December 31, 2025. The lower balances in investment securities were driven by payments and maturities during the nine months ended September 30, 2026, which were placed into loans and leases and helped fund deposit run-off. Our available-for-sale investment securities are carried at fair value with changes in fair value reflected in other comprehensive income (loss) or through the Provision. Our held-to-maturity investment securities are carried at amortized cost.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2026, we maintained all of our investment securities in either the available-for-sale category (recorded at fair value) or the held-to-maturity category (recorded at amortized cost) in the unaudited interim consolidated balance sheets, with $2.7 billion invested in collateralized mortgage obligations issued by Ginnie Mae, Fannie Mae and Freddie Mac. Our investment securities portfolio also included $2.6 billion in mortgage-backed securities issued by Ginnie Mae, Freddie Mac, Fannie Mae, Municipal Housing Authorities and non-agency entities, $55.3 million in debt securities issued by states and political subdivisions, $44.3 million in debt securities issued by government agencies (U.S. International Development Finance Corporation bonds) and $7.9 million in collateralized loan obligations.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and change the composition of our investment securities portfolio.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unrealized gains in our investment securities portfolio were $1.4 million and $7.1 million as of September 30, 2026 and December 31, 2025, respectively. Gross unrealized losses in our investment securities portfolio were $771.2 million and $521.9 million as of September 30, 2026 and December 31, 2025, respectively. The higher overall unrealized loss position was primarily due to changes in the market value of the securities.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our available-for-sale investment securities, we conduct a regular assessment of our investment securities portfolio to determine whether any securities are impaired.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the allowance for credit losses is recognized in other comprehensive income. For the three and nine months ended September 30, 2026, we did not record any credit losses related to our available-for-sale investment securities portfolio.</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our held-to-maturity investment securities, we utilize the Current Expected Credit Loss (“CECL”) approach to estimate lifetime expected credit losses. Substantially all of our held-to-maturity securities are issued by the U.S. government, its agencies and government-sponsored enterprises. These securities have a long history of no credit losses and carry the explicit or implicit guarantee of the U.S. government. Therefore, as of September 30, 2026, we did not record an allowance for credit losses related to our held-to-maturity investment securities portfolio.</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hold non-marketable equity securities, comprised of FHLB stock, as a condition of our membership in the FHLB system. Our FHLB stock is accounted for at cost, which equals par or redemption value. As of both September 30, 2026 and December 31, 2025, we held $10.1 million in FHLB stock, which is recorded as a component of other assets in our unaudited interim consolidated balance sheets.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Investment Securities” contained in our unaudited interim consolidated financial statements for more information on our investment securities portfolio.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 and Leases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14 presents the composition of our loan and lease portfolio by major categories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and Leases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Table 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100" w:type="dxa"/>
            <w:vAlign w:val="bottom"/>
            <w:gridSpan w:val="2"/>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60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2,304,567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4,714,502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739,531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3,996,717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Home equity line</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1,177,610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5,174,327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1,067,697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461,604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14,462,228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loans and leases were $14.5 billion as of September 30, 2026, an increase of $149.7 million or 1% from December 31, 2025. The increase in total loans and leases was due to increases in commercial and industrial loans, commercial real estate loans, consumer loans and lease financing, partially offset by decreases in residential real estate loans and construction loans.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Commercial and industrial loans are made primarily to corporations, middle market and small businesses for the purpose of financing equipment acquisition, expansion, working capital and other general business purposes. We also offer a variety of automobile dealer flooring lines to our customers in Hawaii and California to assist with the financing of their inventory. Commercial and industrial loans were $2.3 billion as of September 30, 2026, an increase of $133.2 million or 6% from December 31, 2025. This increase was primarily due to an increase in our Shared National Credits portfolio during the nine months ended September 30, 2026.</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Commercial real estate loans are secured by first mortgages on commercial real estate at loan to value (“LTV”) ratios generally not exceeding 75% and a minimum debt service coverage ratio of 1.20 to 1. The commercial properties are predominantly apartments, neighborhood and grocery anchored retail, industrial, office, and to a lesser extent, specialized properties such as hotels. The primary source of repayment for investor property and owner occupied property is cash flow from the property and operating cash flow from the business, respectively. Commercial real estate loans were $4.7 billion as of September 30, 2026, an increase of $124.2 million or 3% from December 31, 2025.</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Construction loans are for the purchase or construction of a property for which repayment will be generated by the property. Loans in this portfolio are primarily for the purchase of land, as well as for the development of commercial properties, single family homes and condominiums. We classify loans as construction until the completion of the construction phase. Following construction, if a loan is retained by the Bank, the loan is reclassified to the commercial real estate or residential real estate classes of loans. Construction loans were $739.5 million as of September 30, 2026, a decrease of $68.7 million or 9% from December 31, 2025. This decrease was primarily due to payoffs and construction loans reclassified to commercial real estate loans during the nine months ended September 30, 2026.</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Residential real estate loans are generally secured by 1-4 unit residential properties and are underwritten using traditional underwriting systems to assess the credit risks and financial capacity and repayment ability of the consumer. Decisions are primarily based on LTV ratios, debt-to-income (“DTI”) ratios, liquidity and credit scores. LTV ratios generally do not exceed 80%, although higher levels are permitted with mortgage insurance. We offer fixed rate mortgage products and variable rate mortgage products including home equity lines of credit. We offer variable rate mortgage products based on SOFR with interest rates that are subject to change every six months after the third, fifth, seventh or tenth year, depending on the product. Variable rate residential mortgage loans are underwritten at fully-indexed interest rates. We generally do not offer interest-only, payment-option facilities, or any product with negative amortization. Residential real estate loans were $5.2 billion as of September 30, 2026, a decrease of $100.5 million or 2% from December 31,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Consumer loans consist primarily of open- and closed-end direct and indirect credit facilities for personal, automobile and household purchases as well as credit card loans. We seek to maintain reasonable levels of risk in consumer lending by following prudent underwriting guidelines, which include an evaluation of personal credit history, cash flow and collateral values based on existing market conditions. Consumer loans were $1.1 billion as of September 30, 2026, an increase of $41.9 million or 4% from December 31, 2025.</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Lease financing consists of commercial single investor leases and leveraged leases. Underwriting of new lease transactions is based on our lending policy, including but not limited to an analysis of customer cash flows and secondary sources of repayment, including the value of leased equipment, the guarantors’ cash flows and/or other credit enhancements. No new leveraged leases are being added to the portfolio and all remaining leveraged leases are running off. Lease financing was $461.6 million as of September 30, 2026, an increase of $19.7 million or 5% from December 31, 2025. This increase was primarily due to originations outpacing scheduled lease amortization during the nine months ended September 30, 2026.</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3. Loans and Leases” and “Note 4. Allowance for Credit Losses” contained in our unaudited interim consolidated financial statements and the discussion in “Analysis of Financial Condition — Allowance for Credit Losses” of this MD&amp;A for more information on our loan and lease portfolio.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loan and lease portfolio includes adjustable-rate loans, primarily tied to CME Term SOFR, Prime and SOFR, hybrid-rate loans, for which the initial rate is fixed for a period from one year to as much as ten years, and fixed rate loans, for which the interest rate does not change through the life of the loan or the remaining life of the loan. Table 15 presents the recorded investment in our loan and lease portfolio as of September 30, 2026 by rate type: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Loans and Leases by Rate Type</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15</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5"/>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Adjustable Rate</w:t>
            </w: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CME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Prime</w:t>
            </w:r>
          </w:p>
        </w:tc>
        <w:tc>
          <w:tcPr>
            <w:tcW w:w="2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SOFR</w:t>
            </w:r>
          </w:p>
        </w:tc>
        <w:tc>
          <w:tcPr>
            <w:tcW w:w="1040" w:type="dxa"/>
            <w:vAlign w:val="bottom"/>
            <w:gridSpan w:val="4"/>
          </w:tcPr>
          <w:p>
            <w:pPr>
              <w:jc w:val="right"/>
              <w:ind w:right="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Term SOFR</w:t>
            </w:r>
            <w:r>
              <w:rPr>
                <w:rFonts w:ascii="Arial" w:cs="Arial" w:eastAsia="Arial" w:hAnsi="Arial"/>
                <w:sz w:val="14"/>
                <w:szCs w:val="14"/>
                <w:color w:val="auto"/>
              </w:rPr>
              <w:t xml:space="preserve"> ​</w:t>
            </w:r>
          </w:p>
        </w:tc>
        <w:tc>
          <w:tcPr>
            <w:tcW w:w="12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gridSpan w:val="2"/>
          </w:tcPr>
          <w:p>
            <w:pPr>
              <w:jc w:val="right"/>
              <w:ind w:right="57"/>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gridSpan w:val="2"/>
          </w:tcPr>
          <w:p>
            <w:pPr>
              <w:jc w:val="right"/>
              <w:ind w:right="77"/>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315,009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612,433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804,041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228,046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1,959,529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22,414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322,624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tcBorders>
            <w:shd w:val="clear" w:color="auto" w:fill="CCEEFF"/>
          </w:tcPr>
          <w:p>
            <w:pPr>
              <w:jc w:val="right"/>
              <w:ind w:right="136"/>
              <w:spacing w:after="0" w:line="142" w:lineRule="exact"/>
              <w:rPr>
                <w:sz w:val="20"/>
                <w:szCs w:val="20"/>
                <w:color w:val="auto"/>
              </w:rPr>
            </w:pPr>
            <w:r>
              <w:rPr>
                <w:rFonts w:ascii="Times New Roman" w:cs="Times New Roman" w:eastAsia="Times New Roman" w:hAnsi="Times New Roman"/>
                <w:sz w:val="13"/>
                <w:szCs w:val="13"/>
                <w:b w:val="1"/>
                <w:bCs w:val="1"/>
                <w:color w:val="auto"/>
              </w:rPr>
              <w:t>2,304,567</w:t>
            </w: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466,392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432,069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2,374,079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1,008,368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4,280,908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141,344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292,250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4,714,502</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45,740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63,496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491,737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24,810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625,783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109,136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739,531</w:t>
            </w: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132,694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57,007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73,037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274,865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724,056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2,997,796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3,996,717</w:t>
            </w:r>
          </w:p>
        </w:tc>
        <w:tc>
          <w:tcPr>
            <w:tcW w:w="0" w:type="dxa"/>
            <w:vAlign w:val="bottom"/>
          </w:tcPr>
          <w:p>
            <w:pPr>
              <w:spacing w:after="0"/>
              <w:rPr>
                <w:sz w:val="1"/>
                <w:szCs w:val="1"/>
                <w:color w:val="auto"/>
              </w:rPr>
            </w:pPr>
          </w:p>
        </w:tc>
      </w:tr>
      <w:tr>
        <w:trPr>
          <w:trHeight w:val="149"/>
        </w:trPr>
        <w:tc>
          <w:tcPr>
            <w:tcW w:w="1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986,598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190,505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1,177,610</w:t>
            </w:r>
          </w:p>
        </w:tc>
        <w:tc>
          <w:tcPr>
            <w:tcW w:w="0" w:type="dxa"/>
            <w:vAlign w:val="bottom"/>
          </w:tcPr>
          <w:p>
            <w:pPr>
              <w:spacing w:after="0"/>
              <w:rPr>
                <w:sz w:val="1"/>
                <w:szCs w:val="1"/>
                <w:color w:val="auto"/>
              </w:rPr>
            </w:pPr>
          </w:p>
        </w:tc>
      </w:tr>
      <w:tr>
        <w:trPr>
          <w:trHeight w:val="128"/>
        </w:trPr>
        <w:tc>
          <w:tcPr>
            <w:tcW w:w="17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Total residential</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12,634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132,694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57,007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73,037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275,372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1,710,654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3,188,301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136"/>
              <w:spacing w:after="0" w:line="129" w:lineRule="exact"/>
              <w:rPr>
                <w:sz w:val="20"/>
                <w:szCs w:val="20"/>
                <w:color w:val="auto"/>
              </w:rPr>
            </w:pPr>
            <w:r>
              <w:rPr>
                <w:rFonts w:ascii="Times New Roman" w:cs="Times New Roman" w:eastAsia="Times New Roman" w:hAnsi="Times New Roman"/>
                <w:sz w:val="13"/>
                <w:szCs w:val="13"/>
                <w:b w:val="1"/>
                <w:bCs w:val="1"/>
                <w:color w:val="auto"/>
              </w:rPr>
              <w:t>5,174,327</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338,016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341,739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724,941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1,067,697</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461,604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461,604</w:t>
            </w:r>
          </w:p>
        </w:tc>
        <w:tc>
          <w:tcPr>
            <w:tcW w:w="0" w:type="dxa"/>
            <w:vAlign w:val="bottom"/>
          </w:tcPr>
          <w:p>
            <w:pPr>
              <w:spacing w:after="0"/>
              <w:rPr>
                <w:sz w:val="1"/>
                <w:szCs w:val="1"/>
                <w:color w:val="auto"/>
              </w:rPr>
            </w:pPr>
          </w:p>
        </w:tc>
      </w:tr>
      <w:tr>
        <w:trPr>
          <w:trHeight w:val="168"/>
        </w:trPr>
        <w:tc>
          <w:tcPr>
            <w:tcW w:w="17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1,177,791</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1,240,692</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3,726,864</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1,337,984</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7,483,331</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1,880,041</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5,098,856</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tcPr>
          <w:p>
            <w:pPr>
              <w:jc w:val="right"/>
              <w:ind w:right="136"/>
              <w:spacing w:after="0" w:line="129" w:lineRule="exact"/>
              <w:rPr>
                <w:sz w:val="20"/>
                <w:szCs w:val="20"/>
                <w:color w:val="auto"/>
              </w:rPr>
            </w:pPr>
            <w:r>
              <w:rPr>
                <w:rFonts w:ascii="Times New Roman" w:cs="Times New Roman" w:eastAsia="Times New Roman" w:hAnsi="Times New Roman"/>
                <w:sz w:val="13"/>
                <w:szCs w:val="13"/>
                <w:b w:val="1"/>
                <w:bCs w:val="1"/>
                <w:color w:val="auto"/>
              </w:rPr>
              <w:t>14,462,228</w:t>
            </w:r>
          </w:p>
        </w:tc>
        <w:tc>
          <w:tcPr>
            <w:tcW w:w="0" w:type="dxa"/>
            <w:vAlign w:val="bottom"/>
          </w:tcPr>
          <w:p>
            <w:pPr>
              <w:spacing w:after="0"/>
              <w:rPr>
                <w:sz w:val="1"/>
                <w:szCs w:val="1"/>
                <w:color w:val="auto"/>
              </w:rPr>
            </w:pPr>
          </w:p>
        </w:tc>
      </w:tr>
      <w:tr>
        <w:trPr>
          <w:trHeight w:val="116"/>
        </w:trPr>
        <w:tc>
          <w:tcPr>
            <w:tcW w:w="1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 by rate type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8 %</w:t>
            </w: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9 %</w:t>
            </w:r>
          </w:p>
        </w:tc>
        <w:tc>
          <w:tcPr>
            <w:tcW w:w="1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26 %</w:t>
            </w: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9 %</w:t>
            </w:r>
          </w:p>
        </w:tc>
        <w:tc>
          <w:tcPr>
            <w:tcW w:w="14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52 %</w:t>
            </w: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13 %</w:t>
            </w:r>
          </w:p>
        </w:tc>
        <w:tc>
          <w:tcPr>
            <w:tcW w:w="1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35 %</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100 %</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Tables 16 and 17 present the geographic distribution of our loan and lease portfolio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Geographic Distribution of Loan and Lease Portfolio</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16</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Hawaii</w:t>
            </w:r>
          </w:p>
        </w:tc>
        <w:tc>
          <w:tcPr>
            <w:tcW w:w="80" w:type="dxa"/>
            <w:vAlign w:val="bottom"/>
          </w:tcPr>
          <w:p>
            <w:pPr>
              <w:spacing w:after="0"/>
              <w:rPr>
                <w:sz w:val="10"/>
                <w:szCs w:val="10"/>
                <w:color w:val="auto"/>
              </w:rPr>
            </w:pPr>
          </w:p>
        </w:tc>
        <w:tc>
          <w:tcPr>
            <w:tcW w:w="920" w:type="dxa"/>
            <w:vAlign w:val="bottom"/>
          </w:tcPr>
          <w:p>
            <w:pPr>
              <w:jc w:val="right"/>
              <w:ind w:right="256"/>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Guam &amp;</w:t>
            </w:r>
          </w:p>
        </w:tc>
        <w:tc>
          <w:tcPr>
            <w:tcW w:w="20" w:type="dxa"/>
            <w:vAlign w:val="bottom"/>
          </w:tcPr>
          <w:p>
            <w:pPr>
              <w:spacing w:after="0"/>
              <w:rPr>
                <w:sz w:val="10"/>
                <w:szCs w:val="10"/>
                <w:color w:val="auto"/>
              </w:rPr>
            </w:pPr>
          </w:p>
        </w:tc>
        <w:tc>
          <w:tcPr>
            <w:tcW w:w="6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Foreign &amp;</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2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right"/>
              <w:ind w:right="16"/>
              <w:spacing w:after="0" w:line="176" w:lineRule="exact"/>
              <w:rPr>
                <w:sz w:val="20"/>
                <w:szCs w:val="20"/>
                <w:color w:val="auto"/>
              </w:rPr>
            </w:pPr>
            <w:r>
              <w:rPr>
                <w:rFonts w:ascii="Times New Roman" w:cs="Times New Roman" w:eastAsia="Times New Roman" w:hAnsi="Times New Roman"/>
                <w:sz w:val="14"/>
                <w:szCs w:val="14"/>
                <w:b w:val="1"/>
                <w:bCs w:val="1"/>
                <w:color w:val="auto"/>
              </w:rPr>
              <w:t>​ Mainland</w:t>
            </w:r>
            <w:r>
              <w:rPr>
                <w:rFonts w:ascii="Times New Roman" w:cs="Times New Roman" w:eastAsia="Times New Roman" w:hAnsi="Times New Roman"/>
                <w:sz w:val="20"/>
                <w:szCs w:val="20"/>
                <w:b w:val="1"/>
                <w:bCs w:val="1"/>
                <w:color w:val="auto"/>
                <w:vertAlign w:val="superscript"/>
              </w:rPr>
              <w:t>(1)</w:t>
            </w:r>
          </w:p>
        </w:tc>
        <w:tc>
          <w:tcPr>
            <w:tcW w:w="200" w:type="dxa"/>
            <w:vAlign w:val="bottom"/>
            <w:gridSpan w:val="2"/>
            <w:vMerge w:val="continue"/>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Saipan</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$ 1,054,889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$ 1,099,928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140,200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2,304,567</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2,590,053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1,724,813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399,636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4,714,502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289,375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413,503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739,531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3,832,117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3,996,717</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Home equity line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1,123,328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1,177,610</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4,955,445</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216,353</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5,174,327</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706,704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32,305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325,740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1,067,697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461,604</w:t>
            </w:r>
          </w:p>
        </w:tc>
        <w:tc>
          <w:tcPr>
            <w:tcW w:w="0" w:type="dxa"/>
            <w:vAlign w:val="bottom"/>
          </w:tcPr>
          <w:p>
            <w:pPr>
              <w:spacing w:after="0"/>
              <w:rPr>
                <w:sz w:val="1"/>
                <w:szCs w:val="1"/>
                <w:color w:val="auto"/>
              </w:rPr>
            </w:pPr>
          </w:p>
        </w:tc>
      </w:tr>
      <w:tr>
        <w:trPr>
          <w:trHeight w:val="249"/>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$ 9,854,466</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$ 3,458,578</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1,136,686</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12,498</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14,462,228</w:t>
            </w:r>
          </w:p>
        </w:tc>
        <w:tc>
          <w:tcPr>
            <w:tcW w:w="0" w:type="dxa"/>
            <w:vAlign w:val="bottom"/>
          </w:tcPr>
          <w:p>
            <w:pPr>
              <w:spacing w:after="0"/>
              <w:rPr>
                <w:sz w:val="1"/>
                <w:szCs w:val="1"/>
                <w:color w:val="auto"/>
              </w:rPr>
            </w:pPr>
          </w:p>
        </w:tc>
      </w:tr>
      <w:tr>
        <w:trPr>
          <w:trHeight w:val="197"/>
        </w:trPr>
        <w:tc>
          <w:tcPr>
            <w:tcW w:w="42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Total Loans and Leases</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8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82" w:lineRule="auto"/>
        <w:tabs>
          <w:tab w:leader="none" w:pos="3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Geographic Distribution of Loan and Lease Portfolio</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17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Hawaii</w:t>
            </w:r>
          </w:p>
        </w:tc>
        <w:tc>
          <w:tcPr>
            <w:tcW w:w="80" w:type="dxa"/>
            <w:vAlign w:val="bottom"/>
          </w:tcPr>
          <w:p>
            <w:pPr>
              <w:spacing w:after="0"/>
              <w:rPr>
                <w:sz w:val="10"/>
                <w:szCs w:val="10"/>
                <w:color w:val="auto"/>
              </w:rPr>
            </w:pPr>
          </w:p>
        </w:tc>
        <w:tc>
          <w:tcPr>
            <w:tcW w:w="920" w:type="dxa"/>
            <w:vAlign w:val="bottom"/>
          </w:tcPr>
          <w:p>
            <w:pPr>
              <w:jc w:val="right"/>
              <w:ind w:right="256"/>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Guam &amp;</w:t>
            </w:r>
          </w:p>
        </w:tc>
        <w:tc>
          <w:tcPr>
            <w:tcW w:w="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Foreign &amp;</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0" w:type="dxa"/>
            <w:vAlign w:val="bottom"/>
            <w:gridSpan w:val="2"/>
          </w:tcPr>
          <w:p>
            <w:pPr>
              <w:jc w:val="right"/>
              <w:ind w:right="16"/>
              <w:spacing w:after="0" w:line="17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Mainland</w:t>
            </w:r>
            <w:r>
              <w:rPr>
                <w:rFonts w:ascii="Times New Roman" w:cs="Times New Roman" w:eastAsia="Times New Roman" w:hAnsi="Times New Roman"/>
                <w:sz w:val="20"/>
                <w:szCs w:val="20"/>
                <w:b w:val="1"/>
                <w:bCs w:val="1"/>
                <w:color w:val="auto"/>
                <w:vertAlign w:val="superscript"/>
              </w:rPr>
              <w:t>(1)</w:t>
            </w:r>
          </w:p>
        </w:tc>
        <w:tc>
          <w:tcPr>
            <w:tcW w:w="200" w:type="dxa"/>
            <w:vAlign w:val="bottom"/>
            <w:gridSpan w:val="2"/>
            <w:vMerge w:val="continue"/>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Saipan</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Other</w:t>
            </w:r>
          </w:p>
        </w:tc>
        <w:tc>
          <w:tcPr>
            <w:tcW w:w="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979,948</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$ 1,031,600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$ 12,968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2,171,333</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2,509,943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4,590,326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808,275</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3,940,165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4,096,300</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Home equity line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1,129,433</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1,178,527</w:t>
            </w:r>
          </w:p>
        </w:tc>
        <w:tc>
          <w:tcPr>
            <w:tcW w:w="0" w:type="dxa"/>
            <w:vAlign w:val="bottom"/>
          </w:tcPr>
          <w:p>
            <w:pPr>
              <w:spacing w:after="0"/>
              <w:rPr>
                <w:sz w:val="1"/>
                <w:szCs w:val="1"/>
                <w:color w:val="auto"/>
              </w:rPr>
            </w:pPr>
          </w:p>
        </w:tc>
      </w:tr>
      <w:tr>
        <w:trPr>
          <w:trHeight w:val="209"/>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5,069,598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5,274,827</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314,681</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9,837,065</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$ 3,352,260</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1,106,316</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$ 16,888</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Total Loans and Leases</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82" w:lineRule="auto"/>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lending activities are concentrated primarily in Hawaii. However, we also have lending activities on the U.S. mainland, Guam and Saipan. Our commercial lending activities on the U.S. mainland include automobile dealer flooring activities in California, participation in the Shared National Credits Program and selective commercial real estate projects based on existing customer relationships. Our lease financing portfolio includes commercial leveraged and single investor lease financing activities both in Hawaii and on the U.S. mainland. However, no new leveraged leases are being added to the portfolio and all remaining leveraged leases are running off. Our consumer lending activities are concentrated primarily in Hawaii and, to a smaller extent, in Guam and Saipan.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Table 18 presents the contractual maturities of our loan and lease portfolio by major categories and the sensitivities to changes in interest rates as of September 30, 2026: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Maturities for Loan and Lease Portfolio</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Table 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8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Due in One</w:t>
            </w:r>
          </w:p>
        </w:tc>
        <w:tc>
          <w:tcPr>
            <w:tcW w:w="8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Due After One</w:t>
            </w:r>
          </w:p>
        </w:tc>
        <w:tc>
          <w:tcPr>
            <w:tcW w:w="80" w:type="dxa"/>
            <w:vAlign w:val="bottom"/>
          </w:tcPr>
          <w:p>
            <w:pPr>
              <w:spacing w:after="0"/>
              <w:rPr>
                <w:sz w:val="10"/>
                <w:szCs w:val="10"/>
                <w:color w:val="auto"/>
              </w:rPr>
            </w:pPr>
          </w:p>
        </w:tc>
        <w:tc>
          <w:tcPr>
            <w:tcW w:w="10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Due After Five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Due After</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gridSpan w:val="3"/>
            <w:vMerge w:val="continue"/>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Year or Less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 Five Years</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 Fifteen Years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Fifteen Years</w:t>
            </w:r>
          </w:p>
        </w:tc>
        <w:tc>
          <w:tcPr>
            <w:tcW w:w="1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847,381</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$ 1,111,134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246,070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99,982</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2,304,567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1,129,974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2,014,660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1,537,180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4,714,502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255,978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348,310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51,510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739,531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3,547,569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3,996,717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Home equity line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59,999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1,016,089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1,177,610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445,310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4,563,658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5,174,327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120,283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669,373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105,842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461,604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1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2,416,457</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$ 4,476,690</w:t>
            </w: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2,715,401</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4,853,680</w:t>
            </w:r>
          </w:p>
        </w:tc>
        <w:tc>
          <w:tcPr>
            <w:tcW w:w="80" w:type="dxa"/>
            <w:vAlign w:val="bottom"/>
            <w:tcBorders>
              <w:bottom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14,462,228</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of loans and leases with:</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Adjustable interest rates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2,217,106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$ 3,365,659</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1,644,818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255,748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7,483,331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Hybrid interest rates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114,642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1,600,341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interest rates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996,389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975,426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2,997,591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5,098,856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2,416,457</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$ 4,476,690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2,715,401</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4,853,680</w:t>
            </w:r>
          </w:p>
        </w:tc>
        <w:tc>
          <w:tcPr>
            <w:tcW w:w="8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14,462,228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Based on contractual maturities, including extension and renewal options that are not unconditionally cancellable by the Company.</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Quality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perform an internal loan review and grading or scoring procedures on an ongoing basis. The review provides management with periodic information as to the quality of the loan portfolio and effectiveness of our lending policies and procedures. The objective of the loan review and grading or scoring procedures is to identify, in a timely manner, existing or emerging credit quality issues so that appropriate steps can be initiated to avoid or minimize future losses.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purposes of managing credit risk and estimating the ACL, management has identified three portfolio segments (commercial, residential and consumer) that we use to develop our systematic methodology to determine the ACL. The categorization of loans for the evaluation of credit risk is specific to our credit risk evaluation process and these loan categories are not necessarily the same as the loan categories used for other evaluations of our loan portfolio. See “Note 4. Allowance for Credit Losses” contained in our unaudited interim consolidated financial statements for more information about our approach to estimating the ACL.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and discussion address non-performing assets and loans and leases that are 90 days past due but are still accruing interest.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Non-Performing Assets and Loans and Leases Past Due 90 Days or More and Still Accruing Interest</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19 presents information on our non-performing assets and accruing loans and leases past due 90 days or more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Non-Performing Assets and Accruing Loans and Leases Past Due 90 Days or More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gridSpan w:val="3"/>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0"/>
                <w:szCs w:val="10"/>
                <w:color w:val="auto"/>
              </w:rPr>
            </w:pPr>
          </w:p>
        </w:tc>
        <w:tc>
          <w:tcPr>
            <w:tcW w:w="1180" w:type="dxa"/>
            <w:vAlign w:val="bottom"/>
            <w:gridSpan w:val="3"/>
          </w:tcPr>
          <w:p>
            <w:pPr>
              <w:jc w:val="right"/>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20" w:type="dxa"/>
            <w:vAlign w:val="bottom"/>
            <w:gridSpan w:val="3"/>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gridSpan w:val="2"/>
            <w:vMerge w:val="continue"/>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Non-Performing Assets</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Non-Accrual Loans and Leases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1,688</w:t>
            </w:r>
          </w:p>
        </w:tc>
        <w:tc>
          <w:tcPr>
            <w:tcW w:w="200" w:type="dxa"/>
            <w:vAlign w:val="bottom"/>
          </w:tcPr>
          <w:p>
            <w:pPr>
              <w:spacing w:after="0"/>
              <w:rPr>
                <w:sz w:val="12"/>
                <w:szCs w:val="12"/>
                <w:color w:val="auto"/>
              </w:rPr>
            </w:pPr>
          </w:p>
        </w:tc>
        <w:tc>
          <w:tcPr>
            <w:tcW w:w="18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13,833</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16,700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Residential Loans: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19,244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10,030</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Loans</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29,274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26,694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Non-Accrual Loans and Leases</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45,974</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45,974</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Accruing Loans and Leases Past Due 90 Days or More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403</w:t>
            </w:r>
          </w:p>
        </w:tc>
        <w:tc>
          <w:tcPr>
            <w:tcW w:w="200" w:type="dxa"/>
            <w:vAlign w:val="bottom"/>
          </w:tcPr>
          <w:p>
            <w:pPr>
              <w:spacing w:after="0"/>
              <w:rPr>
                <w:sz w:val="12"/>
                <w:szCs w:val="12"/>
                <w:color w:val="auto"/>
              </w:rPr>
            </w:pPr>
          </w:p>
        </w:tc>
        <w:tc>
          <w:tcPr>
            <w:tcW w:w="18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1,690</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2,093</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Residential mortgage</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14,963</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Accruing Loans and Leases Past Due 90 Days or More</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19,227</w:t>
            </w:r>
          </w:p>
        </w:tc>
        <w:tc>
          <w:tcPr>
            <w:tcW w:w="200" w:type="dxa"/>
            <w:vAlign w:val="bottom"/>
            <w:tcBorders>
              <w:bottom w:val="single" w:sz="8" w:color="CCEEFF"/>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14,462,228</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14,312,529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Non-Accrual Loans and Leases to Total Loans and Leases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0.32 %</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Ratio of Non-Performing Assets to Total Loans and Leases and OREO</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49"/>
        </w:trPr>
        <w:tc>
          <w:tcPr>
            <w:tcW w:w="6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0.32</w:t>
            </w:r>
          </w:p>
        </w:tc>
        <w:tc>
          <w:tcPr>
            <w:tcW w:w="2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0.29</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vMerge w:val="restart"/>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Ratio of Non-Performing Assets and Accruing Loans and Leases Past Due 90 Days or More to Total Loans and</w:t>
            </w: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66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0.45 %</w:t>
            </w:r>
          </w:p>
        </w:tc>
        <w:tc>
          <w:tcPr>
            <w:tcW w:w="180" w:type="dxa"/>
            <w:vAlign w:val="bottom"/>
            <w:shd w:val="clear" w:color="auto" w:fill="CCEEFF"/>
          </w:tcPr>
          <w:p>
            <w:pPr>
              <w:spacing w:after="0"/>
              <w:rPr>
                <w:sz w:val="6"/>
                <w:szCs w:val="6"/>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Leases and OREO</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tcBorders>
              <w:right w:val="single" w:sz="8" w:color="CCEEFF"/>
            </w:tcBorders>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20 presents the activity in Non-Performing Assets (“NPAs”) for the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Table 20</w:t>
            </w:r>
          </w:p>
        </w:tc>
        <w:tc>
          <w:tcPr>
            <w:tcW w:w="0" w:type="dxa"/>
            <w:vAlign w:val="bottom"/>
          </w:tcPr>
          <w:p>
            <w:pPr>
              <w:spacing w:after="0"/>
              <w:rPr>
                <w:sz w:val="1"/>
                <w:szCs w:val="1"/>
                <w:color w:val="auto"/>
              </w:rPr>
            </w:pPr>
          </w:p>
        </w:tc>
      </w:tr>
      <w:tr>
        <w:trPr>
          <w:trHeight w:val="142"/>
        </w:trPr>
        <w:tc>
          <w:tcPr>
            <w:tcW w:w="64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2380" w:type="dxa"/>
            <w:vAlign w:val="bottom"/>
            <w:tcBorders>
              <w:top w:val="single" w:sz="8" w:color="auto"/>
              <w:bottom w:val="single" w:sz="8" w:color="auto"/>
            </w:tcBorders>
            <w:gridSpan w:val="5"/>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2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41,028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(11,440)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Return to accrual status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Charge-offs/write-downs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Reductions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(33,039)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level of NPAs represents an indicator of the potential for future credit losses. NPAs consist of non-accrual loans and leases and other real estate owned (“OREO”). Changes in the level of non-accrual loans and leases typically represent increases for loans and leases that reach a specified past due status, offset by reductions for loans and leases that are charged-off, paid down, sold, transferred to held for sale classification, transferred to OREO or are no longer classified as non-accrual because they have returned to accrual status as a result of continued performance and an improvement in the borrower’s financial condition and loan repayment capabilities.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NPAs were $46.0 million as of September 30, 2026, an increase of $5.0 million or 12% from December 31, 2025. The ratio of our NPAs to total loans and leases and OREO was 0.32% as of September 30, 2026, an increase of three basis points from December 31, 2025.</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largest component of our NPAs is typically residential mortgage loans. The level of these NPAs can remain elevated due to a lengthy judicial foreclosure process in Hawaii. As of September 30, 2026, residential mortgage non-accrual loans were $19.2 million, an increase of $2.8 million or 17% from December 31, 2025. This increase was due to additions in residential mortgage loans totaling $8.4 million, partially offset by payments of $3.1 million and returns to accrual status of $2.5 million. As of September 30, 2026, our residential mortgage non-accrual loans were comprised of 60 loans with a weighted average current LTV ratio of 56%, compared to 59 loans with a weighted average LTV ratio of 52% as of December 31, 2025.</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2026, commercial real estate non-accrual loans were $13.8 million, an increase of $10.8 million from December 31, 2025. This increase was primarily attributable to the addition of a $23.5 million commercial real estate loan during the third quarter of 2026, which was partially charged off by $12.5 million during the same period. The loan is secured by an office building located in downtown Seattle and was originated prior to the COVID-19 pandemic. The charge-off reflected the decline in values across the Seattle office real estate market. The majority of the property's leasable square footage is occupied by a federal government agency. The write-down was based on an assessment of the current market value of the underlying collateral.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home equity line non-accrual loans were $10.0 million, a decrease of $0.2 million or 2% from December 31, 2025. This decrease was due to payments of $2.7 million and returns to accrual status of $2.0 million, partially offset by additions of $4.5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commercial and industrial non-accrual loans were $1.7 million, a decrease of $7.1 million or 81% from December 31, 2025. This decrease was due to payments of $5.0 million and charge-offs of $2.6 million, partially offset by additions of $0.5 million.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construction non-accrual loans were $1.1 million, a decrease of $0.7 million or 40% from December 31, 2025, primarily due to returns to accrual status of $0.7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OREO represents property acquired as the result of borrower defaults on loans. OREO is recorded at fair value, less estimated selling costs, at the time of foreclosure. On an ongoing basis, properties are appraised as required by market conditions and applicable regulations. As of both September 30, 2026 and December 31, 2025, there was no OREO held.</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and Leases Past Due 90 Days or More and Still Accruing Interest. </w:t>
      </w:r>
      <w:r>
        <w:rPr>
          <w:rFonts w:ascii="Times New Roman" w:cs="Times New Roman" w:eastAsia="Times New Roman" w:hAnsi="Times New Roman"/>
          <w:sz w:val="18"/>
          <w:szCs w:val="18"/>
          <w:color w:val="auto"/>
        </w:rPr>
        <w:t>Loans and leases in this category are 90 days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past due, as to principal or interest, and are still accruing interest because they are well secured and in the process of collection.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Loans and leases past due 90 days or more and still accruing interest were $19.2 million as of September 30, 2026, an increase of $15.9 million from December 31, 2025. This increase was primarily due to a $14.9 million increase in residential mortgage loans that were 90 days or more past due and still accruing interest, primarily resulting from operational issues associated with the recent outsourcing of residential mortgage servicing. A significant portion of these loans has been brought current since quarter-end.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Loans and Leases &amp; Reserve for Unfunded Commitments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21 presents an analysis of our ACL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 for Credit Losses and Reserve for Unfunded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Table 21</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2"/>
                <w:szCs w:val="12"/>
                <w:color w:val="auto"/>
              </w:rPr>
            </w:pPr>
          </w:p>
        </w:tc>
        <w:tc>
          <w:tcPr>
            <w:tcW w:w="2280" w:type="dxa"/>
            <w:vAlign w:val="bottom"/>
            <w:tcBorders>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2"/>
                <w:szCs w:val="12"/>
                <w:color w:val="auto"/>
              </w:rPr>
            </w:pPr>
          </w:p>
        </w:tc>
        <w:tc>
          <w:tcPr>
            <w:tcW w:w="2220" w:type="dxa"/>
            <w:vAlign w:val="bottom"/>
            <w:tcBorders>
              <w:bottom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Beginning of Period</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205,728</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201,172</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204,165</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193,240</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Loans and Leases Charged-Off</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(6,918)</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(10,312)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(12,465)</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(12,465)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(19,389)</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(1,686)</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(22,783)</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(3,915)</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Home equity line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(6,281)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(16,615)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Loans and Leases Charged-Off</w:t>
            </w:r>
          </w:p>
        </w:tc>
        <w:tc>
          <w:tcPr>
            <w:tcW w:w="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(25,670)</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(6,405)</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(39,421)</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(18,232)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Recoveries on Loans and Leases Previously Charged-Off</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1,991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1,444</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1,994</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Residential Loans:</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Residential Loans</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2,198</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6,266</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Recoveries on Loans and Leases Previously Charged-Off</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8,436</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6,958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Loans and Leases Charged-Off</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(21,948)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(30,985)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20,308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30,908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204,088</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201,466</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204,088</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201,466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Components: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164,437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165,269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164,437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165,269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Borders>
              <w:bottom w:val="single" w:sz="8" w:color="CCEEFF"/>
            </w:tcBorders>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Reserve for Unfunded Commitments</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39,651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39,651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240" w:type="dxa"/>
            <w:vAlign w:val="bottom"/>
            <w:gridSpan w:val="3"/>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Allowance for Credit Losses and Reserve for Unfunded</w:t>
            </w:r>
          </w:p>
        </w:tc>
        <w:tc>
          <w:tcPr>
            <w:tcW w:w="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204,088</w:t>
            </w:r>
          </w:p>
        </w:tc>
        <w:tc>
          <w:tcPr>
            <w:tcW w:w="22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201,466</w:t>
            </w:r>
          </w:p>
        </w:tc>
        <w:tc>
          <w:tcPr>
            <w:tcW w:w="2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204,088</w:t>
            </w:r>
          </w:p>
        </w:tc>
        <w:tc>
          <w:tcPr>
            <w:tcW w:w="18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201,466</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w:t>
            </w:r>
          </w:p>
        </w:tc>
        <w:tc>
          <w:tcPr>
            <w:tcW w:w="24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4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Average Loans and Leases Outstanding</w:t>
            </w:r>
          </w:p>
        </w:tc>
        <w:tc>
          <w:tcPr>
            <w:tcW w:w="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14,496,740</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14,209,282</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14,425,550</w:t>
            </w:r>
          </w:p>
        </w:tc>
        <w:tc>
          <w:tcPr>
            <w:tcW w:w="1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14,269,030</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240" w:type="dxa"/>
            <w:vAlign w:val="bottom"/>
            <w:gridSpan w:val="3"/>
            <w:shd w:val="clear" w:color="auto" w:fill="CCEEFF"/>
          </w:tcPr>
          <w:p>
            <w:pPr>
              <w:spacing w:after="0" w:line="75" w:lineRule="exact"/>
              <w:rPr>
                <w:sz w:val="20"/>
                <w:szCs w:val="20"/>
                <w:color w:val="auto"/>
              </w:rPr>
            </w:pPr>
            <w:r>
              <w:rPr>
                <w:rFonts w:ascii="Times New Roman" w:cs="Times New Roman" w:eastAsia="Times New Roman" w:hAnsi="Times New Roman"/>
                <w:sz w:val="8"/>
                <w:szCs w:val="8"/>
                <w:color w:val="auto"/>
              </w:rPr>
              <w:t>Ratio of Net Loans and Leases Charged-Off to Average Loans and</w:t>
            </w: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0.60 %</w:t>
            </w:r>
          </w:p>
        </w:tc>
        <w:tc>
          <w:tcPr>
            <w:tcW w:w="22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0.29 %</w:t>
            </w:r>
          </w:p>
        </w:tc>
        <w:tc>
          <w:tcPr>
            <w:tcW w:w="20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5"/>
        </w:trPr>
        <w:tc>
          <w:tcPr>
            <w:tcW w:w="42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Leases Outstanding</w:t>
            </w:r>
            <w:r>
              <w:rPr>
                <w:rFonts w:ascii="Times New Roman" w:cs="Times New Roman" w:eastAsia="Times New Roman" w:hAnsi="Times New Roman"/>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4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Ratio of Allowance for Credit Losses for Loans and Leases to Loans and</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1.14 %</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1.14 %</w:t>
            </w:r>
          </w:p>
        </w:tc>
        <w:tc>
          <w:tcPr>
            <w:tcW w:w="2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1"/>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Leases Outstanding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4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Ratio of Allowance for Credit Losses for Loans and Leases to Non-</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3.58x</w:t>
            </w: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5.34x</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3.58x</w:t>
            </w:r>
          </w:p>
        </w:tc>
        <w:tc>
          <w:tcPr>
            <w:tcW w:w="2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5.34x</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accrual Loans and Leases</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Annualized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Tables 22 and 23 present the allocation of the ACL by loan and lease category, in both dollars and as a percentage of total loans and leases outstanding as of September 30, 2026 and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Allocation of the Allowance for Credit Losses by Loan and Lease Category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Table 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9"/>
          </w:tcPr>
          <w:p>
            <w:pPr>
              <w:jc w:val="center"/>
              <w:ind w:right="75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Allocated</w:t>
            </w:r>
          </w:p>
        </w:tc>
        <w:tc>
          <w:tcPr>
            <w:tcW w:w="900" w:type="dxa"/>
            <w:vAlign w:val="bottom"/>
            <w:gridSpan w:val="3"/>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Loan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ACL as</w:t>
            </w:r>
          </w:p>
        </w:tc>
        <w:tc>
          <w:tcPr>
            <w:tcW w:w="900" w:type="dxa"/>
            <w:vAlign w:val="bottom"/>
            <w:gridSpan w:val="3"/>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category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loan or</w:t>
            </w:r>
          </w:p>
        </w:tc>
        <w:tc>
          <w:tcPr>
            <w:tcW w:w="900" w:type="dxa"/>
            <w:vAlign w:val="bottom"/>
            <w:gridSpan w:val="3"/>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900" w:type="dxa"/>
            <w:vAlign w:val="bottom"/>
            <w:gridSpan w:val="3"/>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73"/>
        </w:trPr>
        <w:tc>
          <w:tcPr>
            <w:tcW w:w="6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90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0.66</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1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38,864</w:t>
            </w:r>
          </w:p>
        </w:tc>
        <w:tc>
          <w:tcPr>
            <w:tcW w:w="9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0.82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13,010</w:t>
            </w:r>
          </w:p>
        </w:tc>
        <w:tc>
          <w:tcPr>
            <w:tcW w:w="96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1.76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2,238</w:t>
            </w:r>
          </w:p>
        </w:tc>
        <w:tc>
          <w:tcPr>
            <w:tcW w:w="960" w:type="dxa"/>
            <w:vAlign w:val="bottom"/>
            <w:tcBorders>
              <w:bottom w:val="single" w:sz="8" w:color="CCEEFF"/>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0.48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commercial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69,310</w:t>
            </w:r>
          </w:p>
        </w:tc>
        <w:tc>
          <w:tcPr>
            <w:tcW w:w="96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0.84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35,183</w:t>
            </w:r>
          </w:p>
        </w:tc>
        <w:tc>
          <w:tcPr>
            <w:tcW w:w="9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0.88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line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14,412</w:t>
            </w:r>
          </w:p>
        </w:tc>
        <w:tc>
          <w:tcPr>
            <w:tcW w:w="96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1.22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residential</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49,595</w:t>
            </w:r>
          </w:p>
        </w:tc>
        <w:tc>
          <w:tcPr>
            <w:tcW w:w="960" w:type="dxa"/>
            <w:vAlign w:val="bottom"/>
            <w:tcBorders>
              <w:bottom w:val="single" w:sz="8" w:color="CCEEFF"/>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0.96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45,532</w:t>
            </w:r>
          </w:p>
        </w:tc>
        <w:tc>
          <w:tcPr>
            <w:tcW w:w="96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4.26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164,437</w:t>
            </w:r>
          </w:p>
        </w:tc>
        <w:tc>
          <w:tcPr>
            <w:tcW w:w="114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1.14 %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Allocation of the Allowance for Credit Losses by Loan and Lease Category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Table 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8"/>
          </w:tcPr>
          <w:p>
            <w:pPr>
              <w:jc w:val="center"/>
              <w:ind w:right="77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Allocated</w:t>
            </w:r>
          </w:p>
        </w:tc>
        <w:tc>
          <w:tcPr>
            <w:tcW w:w="900" w:type="dxa"/>
            <w:vAlign w:val="bottom"/>
            <w:gridSpan w:val="3"/>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Loan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ACL as</w:t>
            </w:r>
          </w:p>
        </w:tc>
        <w:tc>
          <w:tcPr>
            <w:tcW w:w="90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category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 of loan or</w:t>
            </w:r>
          </w:p>
        </w:tc>
        <w:tc>
          <w:tcPr>
            <w:tcW w:w="90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90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73"/>
        </w:trPr>
        <w:tc>
          <w:tcPr>
            <w:tcW w:w="6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90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0.96</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38,757</w:t>
            </w: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0.84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96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0.63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commercial</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0.87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20" w:type="dxa"/>
            <w:vAlign w:val="bottom"/>
          </w:tcPr>
          <w:p>
            <w:pPr>
              <w:spacing w:after="0"/>
              <w:rPr>
                <w:sz w:val="18"/>
                <w:szCs w:val="18"/>
                <w:color w:val="auto"/>
              </w:rPr>
            </w:pPr>
          </w:p>
        </w:tc>
        <w:tc>
          <w:tcPr>
            <w:tcW w:w="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line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96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residential</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51,576</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bottom w:val="single" w:sz="8" w:color="CCEEFF"/>
            </w:tcBorders>
            <w:gridSpan w:val="3"/>
          </w:tcPr>
          <w:p>
            <w:pPr>
              <w:ind w:left="580"/>
              <w:spacing w:after="0"/>
              <w:rPr>
                <w:sz w:val="20"/>
                <w:szCs w:val="20"/>
                <w:color w:val="auto"/>
              </w:rPr>
            </w:pPr>
            <w:r>
              <w:rPr>
                <w:rFonts w:ascii="Times New Roman" w:cs="Times New Roman" w:eastAsia="Times New Roman" w:hAnsi="Times New Roman"/>
                <w:sz w:val="18"/>
                <w:szCs w:val="18"/>
                <w:color w:val="auto"/>
              </w:rPr>
              <w:t>0.98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46,919</w:t>
            </w: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168,468</w:t>
            </w:r>
          </w:p>
        </w:tc>
        <w:tc>
          <w:tcPr>
            <w:tcW w:w="20" w:type="dxa"/>
            <w:vAlign w:val="bottom"/>
            <w:tcBorders>
              <w:bottom w:val="single" w:sz="8" w:color="auto"/>
            </w:tcBorders>
          </w:tcPr>
          <w:p>
            <w:pPr>
              <w:spacing w:after="0"/>
              <w:rPr>
                <w:sz w:val="18"/>
                <w:szCs w:val="18"/>
                <w:color w:val="auto"/>
              </w:rPr>
            </w:pPr>
          </w:p>
        </w:tc>
        <w:tc>
          <w:tcPr>
            <w:tcW w:w="11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1.18 %</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24 presents the net charge-offs (recoveries) to average loans and leases by category during the three and nine months ended September 30, 2026 and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Charge-Offs (Recoveries) to Average Loans and Leases</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Table 24</w:t>
            </w:r>
          </w:p>
        </w:tc>
        <w:tc>
          <w:tcPr>
            <w:tcW w:w="0" w:type="dxa"/>
            <w:vAlign w:val="bottom"/>
          </w:tcPr>
          <w:p>
            <w:pPr>
              <w:spacing w:after="0"/>
              <w:rPr>
                <w:sz w:val="1"/>
                <w:szCs w:val="1"/>
                <w:color w:val="auto"/>
              </w:rPr>
            </w:pPr>
          </w:p>
        </w:tc>
      </w:tr>
      <w:tr>
        <w:trPr>
          <w:trHeight w:val="175"/>
        </w:trPr>
        <w:tc>
          <w:tcPr>
            <w:tcW w:w="450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By Category</w:t>
            </w:r>
            <w:r>
              <w:rPr>
                <w:rFonts w:ascii="Times New Roman" w:cs="Times New Roman" w:eastAsia="Times New Roman" w:hAnsi="Times New Roman"/>
                <w:sz w:val="20"/>
                <w:szCs w:val="20"/>
                <w:b w:val="1"/>
                <w:bCs w:val="1"/>
                <w:color w:val="auto"/>
                <w:vertAlign w:val="superscript"/>
              </w:rPr>
              <w:t>(1)</w:t>
            </w: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0.01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0.54</w:t>
            </w:r>
          </w:p>
        </w:tc>
        <w:tc>
          <w:tcPr>
            <w:tcW w:w="18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commercial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0.87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460" w:type="dxa"/>
            <w:vAlign w:val="bottom"/>
          </w:tcPr>
          <w:p>
            <w:pPr>
              <w:spacing w:after="0"/>
              <w:rPr>
                <w:sz w:val="18"/>
                <w:szCs w:val="18"/>
                <w:color w:val="auto"/>
              </w:rPr>
            </w:pPr>
          </w:p>
        </w:tc>
        <w:tc>
          <w:tcPr>
            <w:tcW w:w="6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5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line</w:t>
            </w:r>
          </w:p>
        </w:tc>
        <w:tc>
          <w:tcPr>
            <w:tcW w:w="10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(0.01)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residential</w:t>
            </w:r>
          </w:p>
        </w:tc>
        <w:tc>
          <w:tcPr>
            <w:tcW w:w="10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(0.01)</w:t>
            </w:r>
          </w:p>
        </w:tc>
        <w:tc>
          <w:tcPr>
            <w:tcW w:w="660" w:type="dxa"/>
            <w:vAlign w:val="bottom"/>
          </w:tcPr>
          <w:p>
            <w:pPr>
              <w:spacing w:after="0"/>
              <w:rPr>
                <w:sz w:val="18"/>
                <w:szCs w:val="18"/>
                <w:color w:val="auto"/>
              </w:rPr>
            </w:pPr>
          </w:p>
        </w:tc>
        <w:tc>
          <w:tcPr>
            <w:tcW w:w="5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1.52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loans and leases</w:t>
            </w:r>
          </w:p>
        </w:tc>
        <w:tc>
          <w:tcPr>
            <w:tcW w:w="4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0.60 %</w:t>
            </w:r>
          </w:p>
        </w:tc>
        <w:tc>
          <w:tcPr>
            <w:tcW w:w="6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0.12 %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0.29 %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48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51" w:lineRule="exact"/>
        <w:rPr>
          <w:sz w:val="20"/>
          <w:szCs w:val="20"/>
          <w:color w:val="auto"/>
        </w:rPr>
      </w:pP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Annualized for the three and nine months ended September 30, 2026 and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the ACL was $164.4 million or 1.14% of total loans and leases outstanding, compared with an ACL of $168.5 million or 1.18% of total loans and leases outstanding as of December 31, 2025. The reserve for unfunded commitments was $39.7 million as of September 30, 2026, compared to $35.7 million as of December 31, 2025.</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charge-offs of loans and leases were $21.9 million or 0.60% of total average loans and leases, on an annualized basis, for the three months ended September 30, 2026, compared to net charge-offs of $4.2 million or 0.12% for the three months ended September 30, 2025. Net charge-offs in our commercial lending portfolio were $17.9 million and $1.3 million for the three months ended September 30, 2026 and 2025, respectively. This increase was primarily driven by a $12.5 million partial charge-off of a single commercial real estate loan and other commercial and industrial loan charge-offs during the third quarter of 2026. Net recoveries in our residential lending portfolio were $0.1 million and nil for the three months ended September 30, 2026 and 2025, respectively. Net charge-offs in our consumer lending portfolio were $4.1 million and $3.0 million for the three months ended September 30, 2026 and 2025, respectively. Net charge-offs in our consumer portfolio segment include those related to credit cards, automobile loans, installment loans and small business lines of credit and reflect the inherent risk associated with these loans.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charge-offs of loans and leases were $31.0 million or 0.29% of total average loans and leases on an annualized basis, for the nine months ended September 30, 2026, compared to $11.3 million or 0.11% of total average loans and leases, on an annualized basis, for the nine months ended September 30, 2025. Net charge-offs in our commercial lending portfolio were $20.8 million and $2.7 million for the nine months ended September 30, 2026 and 2025, respectively. Consistent with the increase for the three months ended September 30, 2026, this increase was primarily driven by a $12.5 million partial charge-off of a single commercial real estate loan and other commercial and industrial loan charge-offs during the third quarter of 2026. Net recoveries in our residential lending portfolio were $0.2 million for both the nine months ended September 30, 2026 and 2025. Net charge-offs in our consumer lending portfolio were $10.3 million and $8.9 million for the nine months ended September 30, 2026 and 2025, respectively. Net charge-offs in our consumer portfolio segment include those related to credit cards, automobile loans, installment loans and small business lines of credit and reflect the inherent risk associated with these loans.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determine the amount of each component of the ACL separately, the ACL as a whole was considered appropriate by management as of September 30, 2026 and December 31, 2025. Furthermore, as of September 30, 2026, the ACL was considered adequate based on our ongoing analysis of estimated expected credit losses, credit risk profiles, current economic outlook, coverage ratios and other relevant factors. The ACL anticipates cyclical losses consistent with a recession and includes a qualitative overlay for potential macroeconomic impacts. We will continue to monitor factors that drive expected credit losses including the uncertainty of the economy, inflation and geopolitical instability. See “Note 4. Allowance for Credit Losses” contained in our unaudited interim consolidated financial statements for more information on the ACL.</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was $995.5 million as of both September 30, 2026 and December 31, 2025. Our goodwill originated from the acquisition of the Company by BNP Paribas in December of 2001. Goodwill generated in that acquisition was recorded on the balance sheet of the Bank as a result of push down accounting treatment, and remains on our unaudited interim consolidated balance sheets.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policy is to assess goodwill for impairment at the reporting unit level on an annual basis or between annual assessments if a triggering event occurs or circumstances change that would more likely than not reduce the fair value of a reporting unit below its carrying amount. Impairment is the condition that exists when the carrying amount of a reporting unit exceeds its fair value. There was no impairment in our goodwill for the three and nine months ended September 30, 2026. Future events, including geopolitical concerns, inflation concerns, global supply chain issues, and other factors affecting the economy, that could cause a significant decline in our expected future cash flows or a significant adverse change in our business or the business climate may necessitate taking charges in future reporting periods related to the impairment of our goodwill.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assets were $866.7 million as of September 30, 2026, an increase of $38.4 million or 5% from December 31, 2025. The increase in other assets was primarily due to increases of $19.0 million in interest rate swap agreements, $15.9 million in prepaid assets, $9.9 million in low-income housing tax credit (“LIHTC”) investments and $9.2 million in current tax receivables and deferred tax assets. This was partially offset by a decrease of $11.9 million in vendor advances.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Deposits are the primary funding source for the Bank and are acquired from a broad base of local markets, including both individual and corporate customers. We obtain funds from depositors by offering a range of deposit types, including demand, savings, money market and time.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25 presents the composition of our deposits as of September 30,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Table 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0"/>
                <w:szCs w:val="10"/>
                <w:color w:val="auto"/>
              </w:rPr>
            </w:pPr>
          </w:p>
        </w:tc>
        <w:tc>
          <w:tcPr>
            <w:tcW w:w="1080" w:type="dxa"/>
            <w:vAlign w:val="bottom"/>
            <w:gridSpan w:val="2"/>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5,606,481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Savings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5,632,391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3,799,900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2,787,711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Foreign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Demand</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794,425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616,457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513,723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Time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453,482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Total Deposits</w:t>
            </w:r>
            <w:r>
              <w:rPr>
                <w:rFonts w:ascii="Times New Roman" w:cs="Times New Roman" w:eastAsia="Times New Roman" w:hAnsi="Times New Roman"/>
                <w:sz w:val="24"/>
                <w:szCs w:val="24"/>
                <w:b w:val="1"/>
                <w:bCs w:val="1"/>
                <w:color w:val="auto"/>
                <w:vertAlign w:val="superscript"/>
              </w:rPr>
              <w:t>(2)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20,204,570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Foreign deposits were comprised of Guam and Saipan deposit accounts.</w:t>
      </w:r>
    </w:p>
    <w:p>
      <w:pPr>
        <w:spacing w:after="0" w:line="27"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Public deposits were $630.0 million as of September 30, 2026, a decrease of $209.5 million or 25% compared to December 31, 2025.</w:t>
      </w:r>
    </w:p>
    <w:p>
      <w:pPr>
        <w:spacing w:after="0" w:line="2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deposits were $20.2 billion as of September 30, 2026, a decrease of $311.1 million from December 31, 2025. The decrease in deposit balances stemmed primarily from a $155.8 million decrease in non-public demand deposit balances, a $141.2 million decrease in public savings deposit balances, a $124.3 million decrease in public time deposit balances and a $22.3 million decrease in non-public money market deposit balances. These decreases were partially offset by an $81.2 million increase in non-public savings deposit balances and a $46.6 million increase in public money market deposit balances.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2026 and December 31, 2025, the amount of deposits that exceeded FDIC insurance limits were estimated to be $10.0 billion, or 49% of total deposits, and $10.1 billion, or 49% of total deposits, respectively. At September 30, 2026 and December 31, 2025, the Company had $630.0 million and $839.5 million, respectively, of public deposits, all of which were fully collateralized with investment securities. As of September 30, 2026 and December 31, 2025, the amount of deposits excluding public deposits that exceeded FDIC insurance limits were estimated to be $9.3 billion, or 46% of total deposits, and $9.3 billion, or 45% of total deposits, respectively. As of September 30, 2026 and December 31, 2025, deposit accounts above $250,000 were $11.7 billion and $11.9 billion, respectively. As of September 30, 2026 and December 31, 2025, deposit balances over $250,000 in corporate operating accounts were $2.0 billion and $2.1 billion,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Table 26 presents the estimated amount of time deposits that were in excess of the FDIC insurance limit, further segregated by time remaining until maturity, as of September 30,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Uninsured Time Deposits</w:t>
            </w:r>
          </w:p>
        </w:tc>
        <w:tc>
          <w:tcPr>
            <w:tcW w:w="2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26</w:t>
            </w:r>
          </w:p>
        </w:tc>
      </w:tr>
      <w:tr>
        <w:trPr>
          <w:trHeight w:val="210"/>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70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0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or less</w:t>
            </w:r>
          </w:p>
        </w:tc>
        <w:tc>
          <w:tcPr>
            <w:tcW w:w="27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474,074</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520,766</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2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154,879</w:t>
            </w:r>
          </w:p>
        </w:tc>
      </w:tr>
      <w:tr>
        <w:trPr>
          <w:trHeight w:val="216"/>
        </w:trPr>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Over twelve months</w:t>
            </w:r>
          </w:p>
        </w:tc>
        <w:tc>
          <w:tcPr>
            <w:tcW w:w="2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12,870</w:t>
            </w:r>
          </w:p>
        </w:tc>
      </w:tr>
      <w:tr>
        <w:trPr>
          <w:trHeight w:val="210"/>
        </w:trPr>
        <w:tc>
          <w:tcPr>
            <w:tcW w:w="4440" w:type="dxa"/>
            <w:vAlign w:val="bottom"/>
            <w:tcBorders>
              <w:bottom w:val="single" w:sz="8" w:color="CCEEFF"/>
            </w:tcBorders>
            <w:gridSpan w:val="2"/>
            <w:shd w:val="clear" w:color="auto" w:fill="CCEEFF"/>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4"/>
                <w:szCs w:val="24"/>
                <w:b w:val="1"/>
                <w:bCs w:val="1"/>
                <w:color w:val="auto"/>
                <w:vertAlign w:val="superscript"/>
              </w:rPr>
              <w:t>(1)</w:t>
            </w:r>
          </w:p>
        </w:tc>
        <w:tc>
          <w:tcPr>
            <w:tcW w:w="2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1,162,589</w:t>
            </w:r>
          </w:p>
        </w:tc>
      </w:tr>
      <w:tr>
        <w:trPr>
          <w:trHeight w:val="20"/>
        </w:trPr>
        <w:tc>
          <w:tcPr>
            <w:tcW w:w="2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88"/>
        </w:trPr>
        <w:tc>
          <w:tcPr>
            <w:tcW w:w="228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r>
    </w:tbl>
    <w:p>
      <w:pPr>
        <w:spacing w:after="0" w:line="72" w:lineRule="exact"/>
        <w:rPr>
          <w:sz w:val="20"/>
          <w:szCs w:val="20"/>
          <w:color w:val="auto"/>
        </w:rPr>
      </w:pPr>
    </w:p>
    <w:p>
      <w:pPr>
        <w:ind w:left="320" w:hanging="315"/>
        <w:spacing w:after="0"/>
        <w:tabs>
          <w:tab w:leader="none" w:pos="3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Includes $9.0 million in public time deposits that are fully collateralized with investment securities.</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Plan Obligations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 noncontributory qualified defined benefit pension plan, an unfunded supplemental executive retirement plan (“SERP”), a directors’ retirement plan (a non-qualified pension plan for eligible directors) and a postretirement benefit plan providing life insurance and healthcare benefits that we offer to our directors and employees, as applicable. The noncontributory qualified defined benefit pension plan, the unfunded supplemental executive retirement plan and the directors’ retirement plan are all frozen to new participants. On March 11, 2019, the Company’s board of directors approved an amendment to the SERP to freeze the SERP. As a result of such amendment, effective July 1, 2019, there are no new accruals of benefits, including service accruals. To calculate annual pension costs, we use the following key variables: (1) size of the employee population, length of service and estimated compensation increases; (2) actuarial assumptions and estimates; (3) expected long-term rate of return on plan assets; and (4) discount rate.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Pension and postretirement benefit plan obligations, net of pension plan assets, were $85.1 million as of September 30, 2026, a decrease of $1.9 million or 2% from December 31, 2025. This decrease was due to payments of $6.0 million, partially offset by net periodic benefit costs for the nine months ended September 30, 2026 of $4.1 million.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15. Noninterest Income and Noninterest Expense” contained in our unaudited interim consolidated financial statements for more information on our pension and postretirement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bank regulators currently use a combination of risk-based ratios and a leverage ratio to evaluate capital adequacy. The Company and the Bank are subject to the federal bank regulators’ final rules implementing Basel III and various provisions of the Dodd-Frank Wall Street Reform and Consumer Protection Act (the “Capital Rules”).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Capital Rules, among other things impose a capital measure called CET1, to which most deductions/adjustments to regulatory capital must be made. In addition, the Capital Rules specify that Tier 1 capital consists of CET1 and “Additional Tier 1 capital” instruments meeting certain specified requirements.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the Capital Rules, the minimum capital ratios are as follows:</w:t>
      </w:r>
    </w:p>
    <w:p>
      <w:pPr>
        <w:spacing w:after="0" w:line="225" w:lineRule="exact"/>
        <w:rPr>
          <w:sz w:val="20"/>
          <w:szCs w:val="20"/>
          <w:color w:val="auto"/>
        </w:rPr>
      </w:pPr>
    </w:p>
    <w:p>
      <w:pPr>
        <w:ind w:left="680" w:hanging="32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CET1 capital to risk-weighted assets,</w:t>
      </w:r>
    </w:p>
    <w:p>
      <w:pPr>
        <w:spacing w:after="0" w:line="2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Tier 1 capital (that is, CET1 capital plus Additional Tier 1 capital) to risk-weighted assets,</w:t>
      </w:r>
    </w:p>
    <w:p>
      <w:pPr>
        <w:spacing w:after="0" w:line="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Total capital (that is, Tier 1 capital plus Tier 2 capital) to risk-weighted assets, and</w:t>
      </w:r>
    </w:p>
    <w:p>
      <w:pPr>
        <w:spacing w:after="0" w:line="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Tier 1 capital to average quarterly assets.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Capital Rules also require a 2.5% capital conservation buffer designed to absorb losses during periods of economic stress. The capital conservation buffer is composed entirely of CET1, on top of these minimum risk weighted asset ratios, effectively resulting in minimum ratios of (i) 7% CET1 to risk-weighted assets, (ii) 8.5% Tier 1 capital to risk-weighted assets, and (iii) 10.5% total capital to risk-weighted assets.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Company’s capital levels remained characterized as “well-capitalized” under the Capital Rules. The Company’s regulatory capital ratios, calculated in accordance with the Capital Rules, are presented in Table 27 below. There have been no conditions or events since September 30, 2026 that management believes have changed either the Company’s or the Bank’s capital classifications. CET1 was 13.50% as of September 30, 2026, an increase of 33 basis points from December 31, 2025. The increase in CET1 was primarily due to earnings for the nine months ended September 30, 2026, partially offset by dividends declared and paid to the Company’s stockholders, common stock repurchased and an increase in risk-weighted assets.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FHI's Regulatory Capital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Table 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8"/>
        </w:trPr>
        <w:tc>
          <w:tcPr>
            <w:tcW w:w="6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2,817,544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(403,826)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credit carryforward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Equity Tier 1 Capital and Tier 1 Capital</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2,224,060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Qualifying allowance for credit losses and reserve for unfunded commitments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204,088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2,428,148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2,345,269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Risk-Weighted Assets</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gridSpan w:val="3"/>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16,469,839</w:t>
            </w:r>
          </w:p>
        </w:tc>
        <w:tc>
          <w:tcPr>
            <w:tcW w:w="2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16,259,605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FHI's Key Regulatory Capital Ratios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13.50 %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Capital Ratio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13.50 %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Ratio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14.74 %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9.61 %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stockholders’ equity was $2.8 billion as of September 30, 2026, an increase of $48.2 million or 2% from December 31, 2025. The increase in stockholders’ equity was primarily due to earnings for the nine months ended September 30, 2026 of $204.9 million. This was partially offset by dividends declared and paid to the Company’s stockholders of $95.2 million, other comprehensive loss, net of tax, of $35.7 million, primarily due to changes in our investment securities portfolio and common stock repurchased of $32.0 million.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2026, the Company announced a stock repurchase program for up to $250.0 million of its outstanding common stock during 2026. Under this plan, the Company repurchased 1,307,738 shares at a total cost of $32.0 million during the nine months ended September 30, 2026. The timing and exact amount of stock repurchases, if any, will be subject to management’s discretion and various factors, including the Company’s capital position and financial performance, as well as market conditions. The stock repurchase program may be suspended, terminated or modified at any time for any reason.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2026, the Company’s Board of Directors declared a quarterly cash dividend of $0.26 per share on our outstanding shares. The dividend is to be paid on November 27, 2026 to shareholders of record at the close of business on November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Application of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the expected impact of accounting pronouncements recently issued but not adopted by us as of September 30, 2026, see “Note 1. Organization and Basis of Presentation — Recent Accounting Pronouncements” to the unaudited interim consolidated financial statements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Governance and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Managing risk is an essential part of successfully operating our business. Management believes that the most prominent risk exposures for the Company are credit risk, market risk, liquidity risk management, capital management and operational risk. See “Analysis of Financial Condition — Liquidity and Capital Resources” and “— Capital” sections of this MD&amp;A for further discussions of liquidity risk management and capital management, respectively.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Credit risk is the risk that borrowers or counterparties will be unable or unwilling to repay their obligations in accordance with the underlying contractual terms. We manage and control credit risk in the loan and lease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includes an independent credit review process that assesses compliance with commercial, real estate and consumer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has identified three categories of loans that we use to develop our systematic methodology to determine the ACL: commercial, residential and consumer.</w:t>
      </w:r>
    </w:p>
    <w:p>
      <w:pPr>
        <w:spacing w:after="0" w:line="16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Commercial lending is further categorized into four distinct classes based on characteristics relating to the borrower, transaction and collateral. These classes are: commercial and industrial, commercial real estate, construction and lease financing. Commercial and industrial loans are primarily for the purpose of financing equipment acquisition, expansion, working capital and other general business purposes by medium to larger Hawaii based corporations, as well as U.S. mainland and international companies. Commercial and industrial loans are typically secured by non-real estate assets whereby the collateral is trading assets, enterprise value or inventory. As with many of our customers, our commercial and industrial loan customers are heavily dependent on tourism, government expenditures and real estate values. Commercial real estate loans are secured by real estate, including but not limited to structures and facilities to support activities designated as retail, health care, general office space, warehouse and industrial space. Our Bank’s underwriting policy generally requires that net cash flows from the property be sufficient to service the debt while still maintaining an appropriate amount of reserves. Commercial real estate loans in Hawaii are characterized by having a limited supply of real estate at commercially attractive locations, long delivery time frames for development and high interest rate sensitivity. Our construction lending portfolio consists primarily of land loans, single family and condominium development loans. Financing of construction loans is subject to a high degree of credit risk given the long delivery time frames for such projects. Construction lending activities are underwritten on a project financing basis whereby the cash flows or lease rents from the underlying real estate collateral or the sale of the finished inventory is the primary source of repayment. Market feasibility analysis is typically performed by assessing market comparables, market conditions and demand in the specific lending area and general community. We require presales of finished inventory or preleasing requirements prior to loan funding. However, because this analysis is typically performed on a forward looking basis, real estate construction projects typically present a higher risk profile in our lending activities. Lease financing activities include commercial single investor leases and leveraged leases used to purchase items ranging from computer equipment to transportation equipment. Underwriting of new leasing arrangements typically includes analyzing customer cash flows, evaluating secondary sources of repayment, such as the value of the leased asset, the guarantors’ net cash flows as well as other credit enhancements provided by the lessee.</w:t>
      </w:r>
    </w:p>
    <w:p>
      <w:pPr>
        <w:spacing w:after="0" w:line="2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Residential lending is further categorized into the following classes: residential mortgages (loans secured by 1-4 family residential properties and home equity loans) and home equity lines of credit. Our Bank’s underwriting standards typically require LTV ratios of not more than 80%, although higher levels are permitted with accompanying mortgage insurance. First mortgage loans secured by residential properties generally carry a moderate level of credit risk, with an average loan size of approximately $389,000 at September 30, 2026. Residential mortgage loan production is added to our loan portfolio or is sold in the secondary market, based on management’s evaluation of our liquidity, capital and loan portfolio mix as well as market conditions. Changes in interest rates, the economic environment and other market factors have impacted, and will likely continue to impact, the marketability and value of collateral and the financial condition of our borrowers which impacts the level of credit risk inherent in this portfolio, although we remain in a supply constrained housing environment in Hawaii. Geographic concentrations exist for this portfolio as nearly all residential mortgage loans and home equity lines of credit are for residences located in Hawaii, Guam or Saipan. These island locales are susceptible to a wide array of potential natural disasters including, but not limited to, hurricanes, floods, tsunamis and earthquakes. We offer home equity lines of credit with variable rates; fixed rate lock options may be available post-closing. The qualifying debt payments for all lines are underwritten at 0.95% of the credit line amount. Our procedures for underwriting home equity lines of credit include an assessment of an applicant’s overall financial capacity and repayment ability. Decisions are primarily based on repayment ability via debt-to-income ratios, LTV ratios and an evaluation of credit history.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Consumer lending is further categorized into the following classes of loans: credit cards, automobile loans and other consumer-related installment loans. Consumer loans are either unsecured or secured by the borrower’s personal assets. The average loan size is generally small, and risk is diversified among many borrowers. We offer a wide array of credit cards for business and personal use. In general, our customers are attracted to our credit card offerings on the basis of price, credit limit, reward programs and other product features. Credit card underwriting decisions are generally based on repayment ability of our borrower via DTI ratios, credit bureau information, including payment history, debt burden and credit scores, such as FICO, and analysis of financial capacity. Automobile lending activities include loans and leases secured by new or used automobiles. We originate the majority of our automobile loans and leases on an indirect basis through selected dealerships. Our procedures for underwriting automobile loans include an assessment of an applicant’s overall financial capacity and repayment ability, credit history and the ability to meet existing obligations and payments on the proposed loan or lease. Although an applicant’s creditworthiness is the primary consideration, the underwriting process also includes a comparison of the value of the collateral security to the proposed loan amount. We require borrowers to maintain full coverage automobile insurance on automobile loans and leases, with the Bank listed as either the loss payee or additional insured. Installment loans consist of open and closed end facilities for personal and household purchases. We seek to maintain reasonable levels of risk in installment lending by following prudent underwriting guidelines which include an evaluation of personal credit history and cash flow.</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changes in interest rates, foreign exchange rates, equity prices and commodity prices, including the correlation among these factors and their volatility. When the value of an instrument is tied to such external factors, the holder faces market risk. We are exposed to market risk primarily from interest rate risk, which is defined as the risk of loss of net interest income or net interest margin because of changes in interest rates.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potential cash flows, sales or replacement value of many of our assets and liabilities, especially those that earn or pay interest, are sensitive to changes in the general level of interest rates. In the banking industry, changes in interest rates can significantly impact earnings and the safety and soundness of an entity.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risk arises primarily from our core business activities of extending loans and accepting deposits. This occurs when our interest earning loans and interest-bearing deposits mature or reprice at different times, on a different basis or in unequal amounts. Interest rates may also affect loan demand, credit losses, mortgage origination volume, pre- payment speeds and other items affecting earnings.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United States and its agencies, particularly the Federal Reserve. The monetary policies of the Federal Reserve can influence the overall growth of loans, investment securities and deposits and the level of interest rates earned on assets and paid for liabilities.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 Measurement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primarily use net interest income simulation analysis to measure and analyze interest rate risk. We run various hypothetical interest rate scenarios and compare these results against a measured base case scenario. Our net interest income simulation analysis incorporates various assumptions, which we believe are reasonable but which may have a significant impact on results. These assumptions include: (1) the timing of changes in interest rates, (2) shifts or rotations in the yield curve, (3) re-pricing characteristics for market rate sensitive instruments on and off-balance sheet, (4) differing sensitivities of financial instruments due to differing underlying rate indices and (5) varying loan prepayment speeds for different interest rate scenarios. Because of limitations inherent in any approach used to measure interest rate risk, simulation results are not intended as a forecast of the actual effect of a change in market interest rates on our results but rather as a means to better plan and execute appropriate asset liability management strategies to manage our interest rate risk.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Table 28 presents, for the 12 months subsequent to September 30, 2026 and December 31, 2025, an estimate of the changes in net interest income that would result from ramps (gradual changes) and shocks (immediate changes) in market interest rates, moving in a parallel fashion over the entire yield curve, relative to the measured base case scenario. Ramp scenarios assume interest rates move gradually in parallel across the yield curve relative to the base case scenario. Shock scenarios assume an immediate and sustained parallel shift in interest rates across the entire yield curve, relative to the base case scenario. The base case scenario assumes that the balance sheet and interest rates are generally unchanged. We evaluate the sensitivity by using a static forecast, where the balance sheets as of September 30, 2026 and December 31, 2025 are held constant.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Interest Income Sensitivity Profile - Estimated Percentage Change Over 12 Months</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Table 28</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Static Forecast</w:t>
            </w: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Static Forecast</w:t>
            </w:r>
          </w:p>
        </w:tc>
        <w:tc>
          <w:tcPr>
            <w:tcW w:w="160" w:type="dxa"/>
            <w:vAlign w:val="bottom"/>
            <w:tcBorders>
              <w:top w:val="single" w:sz="8" w:color="auto"/>
            </w:tcBorders>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83"/>
        </w:trPr>
        <w:tc>
          <w:tcPr>
            <w:tcW w:w="20" w:type="dxa"/>
            <w:vAlign w:val="bottom"/>
          </w:tcPr>
          <w:p>
            <w:pPr>
              <w:spacing w:after="0"/>
              <w:rPr>
                <w:sz w:val="15"/>
                <w:szCs w:val="15"/>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Gradual Change in Interest Rates (basis points)</w:t>
            </w:r>
          </w:p>
        </w:tc>
        <w:tc>
          <w:tcPr>
            <w:tcW w:w="1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Immediate Change in Interest Rates (basis points)</w:t>
            </w: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5.5 %</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above shows the effects of a simulation which estimates the effect of a gradual and immediate sustained parallel shift in the yield curve of −100, −50, +50, +100 and +200 basis points in market interest rates over a 12-month period on our net interest income.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Currently, our interest rate profile, assuming a constant balance sheet, is such that we project net interest income will benefit from higher interest rates as our assets would reprice faster and to a greater degree than our liabilities, while in the case of lower interest rates, our assets would reprice downward and to a greater degree than our liabilities. Other factors such as changes in balance sheet composition or deposit rate behavior could result in a change in repricing sensitivity.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static balance sheet forecast as of September 30, 2026, our net interest income sensitivity profile is less sensitive in higher and lower interest rate scenarios compared to similar forecasts as of December 31, 2025. The sensitivity outcomes described above is primarily due to the impact of holding a lower federal funds position as of September 30, 2026 as compared with December 31, 2025.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comparisons above provide insight into the potential effects of changes in interest rates on net interest income. The Company believes that its approach to interest rate risk has appropriately considered its susceptibility to both rising and falling rates and has adopted strategies which minimize the impact of such risks.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have longer term interest rate risk exposures which may not be appropriately measured by net interest income simulation analysis. We use market value of equity (“MVE”) sensitivity analysis to study the impact of long-term cash flows on earnings and capital. MVE involves discounting present values of all cash flows of on-balance sheet and off-balance sheet items under different interest rate scenarios. The discounted present value of all cash flows represents our MVE. MVE analysis requires modifying the expected cash flows in each interest rate scenario, which will impact the discounted present value. The amount of base case measurement and its sensitivity to shifts in the yield curve allow management to measure longer term repricing option risk in the balance sheet.</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Market Risk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results of our simulation analyses are hypothetical, and a variety of factors might cause actual results to differ substantially from what is depicted. For example, if the timing and magnitude of interest rate changes differ from those projected, our net interest income might vary significantly. Non 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deposits or if our mix of assets and liabilities otherwise changes. For example, while we maintain relatively high levels of liquidity, a faster than expected withdrawal of deposits out of the bank may cause us to seek higher cost sources of funding. Actual results could also differ from those projected if we experience substantially different prepayment speeds in our loan portfolio than those assumed in the simulation analyses. Finally, these simulation results do not consider all the actions that we may undertake in response to potential or actual changes in interest rates, such as changes to our loan, investment, deposit, funding or hedging strategies.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seek to achieve consistent growth in net interest income and capital while managing volatility arising from changes in market interest rates. The objective of our interest rate risk management process is to increase net interest income while operating within acceptable limits established for interest rate risk and maintaining adequate levels of funding and liquidity.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manage the impact on net interest income, we manage our exposure to changes in interest rates through our asset and liability management activities within guidelines established by our ALCO and approved by our board of directors. The ALCO has the responsibility for approving and ensuring compliance with the ALCO management policies, including interest rate risk exposures. The objective of our interest rate risk management process is to maximize net interest income while operating within acceptable limits established for interest rate risk and maintaining adequate levels of funding and liquidity.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Through review and oversight by the ALCO, we attempt to engage in strategies that neutralize interest rate risk as much as possible. Our use of derivative financial instruments, as detailed in “Note 11. Derivative Financial Instruments” to the unaudited interim consolidated financial statements, has generally been limited. This is due to natural on 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uses the results of its various simulation analyses to formulate strategies to achieve a desired risk profile within the parameters of our capital and liquidity guidelines.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Operational risk is the risk of loss arising from inadequate or failed processes, people or systems, external events (such as natural disasters), or compliance, reputational or legal matters, including the risk of loss resulting from fraud, litigation and breaches in data security. Operational risk is inherent in all of our business ventures and the management of that risk is important to the achievement of our objectives. We have a framework in place that includes the reporting and assessment of any operational risk events, and the assessment of our mitigating strategies within our key business lines. This framework is implemented through our policies, processes and reporting requirements. We measure and report operational risk using the seven operational risk event types projected by the Basel Committee on Banking Supervision in Basel II: (1) external fraud;</w:t>
      </w:r>
    </w:p>
    <w:p>
      <w:pPr>
        <w:spacing w:after="0" w:line="3" w:lineRule="exact"/>
        <w:rPr>
          <w:sz w:val="20"/>
          <w:szCs w:val="20"/>
          <w:color w:val="auto"/>
        </w:rPr>
      </w:pPr>
    </w:p>
    <w:p>
      <w:pPr>
        <w:jc w:val="both"/>
        <w:ind w:firstLine="5"/>
        <w:spacing w:after="0" w:line="255" w:lineRule="auto"/>
        <w:tabs>
          <w:tab w:leader="none" w:pos="2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fraud; (3) employment practices and workplace safety; (4) clients, products and business practices; (5) damage to physical assets; (6) business disruption and system failures; and (7) execution, delivery and process management. Our operational risk review process is also a core part of our assessment of material new products or activities.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2. Management’s Discussion and Analysis of Financial Condition and Results of Operations — Risk Governance and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September 30, 2026. The Company’s disclosure controls and procedures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timely decisions regarding required disclosure. Based on this evaluation, the Company’s Chief Executive Officer and Chief Financial Officer concluded that the Company’s disclosure controls and procedures were effective as of 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September 30, 2026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in a highly regulated environment. From time to time, the Company is party to various litigation matters incidental to the conduct of our business. We are not presently party to any legal proceedings the resolution of which we believe would have a material adverse effect on our business, prospects, financial condition, liquidity, results of operation, cash flows or capital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Item 1A of Part I of the Company’s Annual Report on Form 10-K for the year ended December 31, 2025, filed with the SEC on February 27, 2026 contains a discussion of our risk factors. In addition, First Hawaiian has identified certain supplemental risk factors relate to First Hawaiian’s pending acquisition of TriCo pursuant to the Merger Agreement. These risk factors and other risks associated with the transactions contemplated by the Merger Agreement are discussed under the heading “Risk Factors” in the joint proxy statement/prospectus filed by First Hawaiian with the SEC on September 16, 2026. Except as set forth in this Item 1A and to the extent that additional factual information disclosed in this Quarterly Report on Form 10-Q relates to such risk factors, there are no material changes from the risk factors as disclosed in the Company’s Annual Report on Form 10-K for the year ended December 31, 2025 and the Company’s Quarterly Report on Form 10-Q for the quarter ended June 30,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Rule 16a-1(f) under the Exchange Act)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on the Exhibit Index and is incorporated herein by reference.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7680" w:type="dxa"/>
            <w:vAlign w:val="bottom"/>
            <w:gridSpan w:val="13"/>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Agreement and Plan of Reorganization and Merger, dated as of July 12, 2026, by and among First</w:t>
              </w:r>
            </w:hyperlink>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Hawaiian, Inc., TriCo Bancshares and Horizon Merger Sub, Inc. (incorporated by reference to Exhibit 2.1</w:t>
              </w:r>
            </w:hyperlink>
          </w:p>
        </w:tc>
        <w:tc>
          <w:tcPr>
            <w:tcW w:w="6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of the Registrant’s Current Report on Form 8-K filed on July 15, 2026* (File No. 001-14585))</w:t>
              </w:r>
            </w:hyperlink>
          </w:p>
        </w:tc>
        <w:tc>
          <w:tcPr>
            <w:tcW w:w="900" w:type="dxa"/>
            <w:vAlign w:val="bottom"/>
            <w:gridSpan w:val="6"/>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7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Second Amended and Restated Certificate of Incorporation (incorporated by reference to Exhibit 3.1 to</w:t>
              </w:r>
            </w:hyperlink>
          </w:p>
        </w:tc>
        <w:tc>
          <w:tcPr>
            <w:tcW w:w="24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the Current Report on Form 8-K filed by First Hawaiian, Inc. on August 10, 2016 (File No. 001-14585))</w:t>
              </w:r>
            </w:hyperlink>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7680" w:type="dxa"/>
            <w:vAlign w:val="bottom"/>
            <w:gridSpan w:val="13"/>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Certificate of Amendment to Amended and Restated Certificate of Incorporation (incorporated by</w:t>
              </w:r>
            </w:hyperlink>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reference to Exhibit 3.1(a) to the Quarterly Report on Form 10-Q filed by First Hawaiian, Inc. on April</w:t>
              </w:r>
            </w:hyperlink>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27, 2018 (File No. 001-14585))</w:t>
              </w:r>
            </w:hyperlink>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7680" w:type="dxa"/>
            <w:vAlign w:val="bottom"/>
            <w:gridSpan w:val="13"/>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Fifth Amended and Restated Bylaws of First Hawaiian, Inc., effective as of April 22, 2026 (incorporated</w:t>
              </w:r>
            </w:hyperlink>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by reference to Exhibit 3.1 to the Current Report on Form 8-K filed by First Hawaiian, Inc. on April 24,</w:t>
              </w:r>
            </w:hyperlink>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2026 (File No. 001-14585))</w:t>
              </w:r>
            </w:hyperlink>
          </w:p>
        </w:tc>
        <w:tc>
          <w:tcPr>
            <w:tcW w:w="56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7680" w:type="dxa"/>
            <w:vAlign w:val="bottom"/>
            <w:gridSpan w:val="1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Voting and Support Agreement (incorporated by reference to Exhibit 10.1 of the Registrant’s</w:t>
              </w:r>
            </w:hyperlink>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Current Report on Form 8-K filed on July 15, 2026 (File No. 001-14585))</w:t>
              </w:r>
            </w:hyperlink>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7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Letter Agreement, dated August 27, 2026, by and between First Hawaiian Bank and Richard P. Smith</w:t>
              </w:r>
            </w:hyperlink>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(incorporated by reference to Exhibit 10.1 to the Registrant’s Registration Statement on Form S-4/A filed</w:t>
              </w:r>
            </w:hyperlink>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on September 14, 2026* (File No. 333-298695))</w:t>
              </w:r>
            </w:hyperlink>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 of the Securities Exchange Act of</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Adopted Pursuant to Section 302 of the Sarbanes-Oxley Act of 2002</w:t>
            </w: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of the Securities Exchange Act of</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Adopted Pursuant to Section 302 of the Sarbanes-Oxley Act of 2002</w:t>
            </w: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7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7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440" w:type="dxa"/>
            <w:vAlign w:val="bottom"/>
            <w:gridSpan w:val="2"/>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r>
      <w:tr>
        <w:trPr>
          <w:trHeight w:val="4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w:t>
            </w:r>
          </w:p>
        </w:tc>
      </w:t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98" w:lineRule="exact"/>
        <w:rPr>
          <w:sz w:val="20"/>
          <w:szCs w:val="20"/>
          <w:color w:val="auto"/>
        </w:rPr>
      </w:pPr>
    </w:p>
    <w:p>
      <w:pPr>
        <w:ind w:left="1440" w:right="20" w:hanging="1435"/>
        <w:spacing w:after="0" w:line="282" w:lineRule="auto"/>
        <w:tabs>
          <w:tab w:leader="none" w:pos="1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(included in Exhibit 101)</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5"/>
        <w:spacing w:after="0" w:line="267" w:lineRule="auto"/>
        <w:tabs>
          <w:tab w:leader="none" w:pos="135"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Schedules have been omitted pursuant to Item 601(a)(5) of Regulation S-K. A copy of any omitted schedule will be furnished supplementally to the SEC upon request; provided, however, that the parties may request confidential treatment pursuant to Rule 24b-2 of the Securities Exchange Act of 1934, as amended, for any document so furnished.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100"/>
        <w:spacing w:after="0"/>
        <w:tabs>
          <w:tab w:leader="none" w:pos="488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First Hawaiian,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220"/>
              <w:spacing w:after="0"/>
              <w:rPr>
                <w:sz w:val="20"/>
                <w:szCs w:val="20"/>
                <w:color w:val="auto"/>
              </w:rPr>
            </w:pPr>
            <w:r>
              <w:rPr>
                <w:rFonts w:ascii="Times New Roman" w:cs="Times New Roman" w:eastAsia="Times New Roman" w:hAnsi="Times New Roman"/>
                <w:sz w:val="18"/>
                <w:szCs w:val="18"/>
                <w:color w:val="auto"/>
                <w:w w:val="92"/>
              </w:rPr>
              <w:t>By:</w:t>
            </w:r>
          </w:p>
        </w:tc>
        <w:tc>
          <w:tcPr>
            <w:tcW w:w="320" w:type="dxa"/>
            <w:vAlign w:val="bottom"/>
          </w:tcPr>
          <w:p>
            <w:pPr>
              <w:spacing w:after="0"/>
              <w:rPr>
                <w:sz w:val="20"/>
                <w:szCs w:val="20"/>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Robert S. Harrison</w:t>
            </w:r>
          </w:p>
        </w:tc>
      </w:tr>
      <w:tr>
        <w:trPr>
          <w:trHeight w:val="191"/>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c>
          <w:tcPr>
            <w:tcW w:w="2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President and Chief Executive</w:t>
            </w:r>
          </w:p>
        </w:tc>
      </w:t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4480" w:type="dxa"/>
            <w:vAlign w:val="bottom"/>
          </w:tcPr>
          <w:p>
            <w:pPr>
              <w:ind w:left="4220"/>
              <w:spacing w:after="0"/>
              <w:rPr>
                <w:sz w:val="20"/>
                <w:szCs w:val="20"/>
                <w:color w:val="auto"/>
              </w:rPr>
            </w:pPr>
            <w:r>
              <w:rPr>
                <w:rFonts w:ascii="Times New Roman" w:cs="Times New Roman" w:eastAsia="Times New Roman" w:hAnsi="Times New Roman"/>
                <w:sz w:val="18"/>
                <w:szCs w:val="18"/>
                <w:color w:val="auto"/>
                <w:w w:val="92"/>
              </w:rPr>
              <w:t>By:</w:t>
            </w:r>
          </w:p>
        </w:tc>
        <w:tc>
          <w:tcPr>
            <w:tcW w:w="320" w:type="dxa"/>
            <w:vAlign w:val="bottom"/>
          </w:tcPr>
          <w:p>
            <w:pPr>
              <w:spacing w:after="0"/>
              <w:rPr>
                <w:sz w:val="24"/>
                <w:szCs w:val="24"/>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James M. Moses</w:t>
            </w:r>
          </w:p>
        </w:tc>
      </w:tr>
      <w:tr>
        <w:trPr>
          <w:trHeight w:val="191"/>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M. Moses</w:t>
            </w:r>
          </w:p>
        </w:tc>
        <w:tc>
          <w:tcPr>
            <w:tcW w:w="20" w:type="dxa"/>
            <w:vAlign w:val="bottom"/>
          </w:tcPr>
          <w:p>
            <w:pPr>
              <w:spacing w:after="0"/>
              <w:rPr>
                <w:sz w:val="16"/>
                <w:szCs w:val="16"/>
                <w:color w:val="auto"/>
              </w:rPr>
            </w:pPr>
          </w:p>
        </w:tc>
      </w:tr>
      <w:tr>
        <w:trPr>
          <w:trHeight w:val="234"/>
        </w:trPr>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Chairman and Chief Financial Officer</w:t>
            </w:r>
          </w:p>
        </w:tc>
      </w:tr>
      <w:tr>
        <w:trPr>
          <w:trHeight w:val="864"/>
        </w:trPr>
        <w:tc>
          <w:tcPr>
            <w:tcW w:w="448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96</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97" w:name="page98"/>
    <w:bookmarkEnd w:id="9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of the Securities Exchange Act of 1934, as Amended, Adopted Pursuant to Section 302 of the Sarbanes-Oxley Act of 2002</w:t>
      </w: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Robert S. Harrison, certify that:</w:t>
      </w:r>
    </w:p>
    <w:p>
      <w:pPr>
        <w:spacing w:after="0" w:line="225" w:lineRule="exact"/>
        <w:rPr>
          <w:sz w:val="20"/>
          <w:szCs w:val="20"/>
          <w:color w:val="auto"/>
        </w:rPr>
      </w:pPr>
    </w:p>
    <w:p>
      <w:pPr>
        <w:ind w:left="360" w:hanging="310"/>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Hawaiian, Inc.;</w:t>
      </w:r>
    </w:p>
    <w:p>
      <w:pPr>
        <w:spacing w:after="0" w:line="21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58" w:lineRule="auto"/>
        <w:tabs>
          <w:tab w:leader="none" w:pos="3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7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17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1020" w:right="59" w:hanging="322"/>
        <w:spacing w:after="0" w:line="266" w:lineRule="auto"/>
        <w:tabs>
          <w:tab w:leader="none" w:pos="10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8" w:lineRule="auto"/>
        <w:tabs>
          <w:tab w:leader="none" w:pos="10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2"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4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020" w:right="59" w:hanging="322"/>
        <w:spacing w:after="0" w:line="258" w:lineRule="auto"/>
        <w:tabs>
          <w:tab w:leader="none" w:pos="113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2, 2026</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S. Harrison</w:t>
            </w:r>
          </w:p>
        </w:tc>
      </w:tr>
      <w:tr>
        <w:trPr>
          <w:trHeight w:val="191"/>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c>
          <w:tcPr>
            <w:tcW w:w="2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4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Chairman of the Board, President and Chief Executive</w:t>
            </w:r>
          </w:p>
        </w:tc>
      </w:tr>
      <w:tr>
        <w:trPr>
          <w:trHeight w:val="230"/>
        </w:trPr>
        <w:tc>
          <w:tcPr>
            <w:tcW w:w="446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04"/>
        </w:trPr>
        <w:tc>
          <w:tcPr>
            <w:tcW w:w="4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8" w:name="page99"/>
    <w:bookmarkEnd w:id="9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661"/>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9" w:lineRule="exact"/>
        <w:rPr>
          <w:sz w:val="20"/>
          <w:szCs w:val="20"/>
          <w:color w:val="auto"/>
        </w:rPr>
      </w:pPr>
    </w:p>
    <w:p>
      <w:pPr>
        <w:ind w:left="2041"/>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James M. Moses, certify that:</w:t>
      </w:r>
    </w:p>
    <w:p>
      <w:pPr>
        <w:spacing w:after="0" w:line="225" w:lineRule="exact"/>
        <w:rPr>
          <w:sz w:val="20"/>
          <w:szCs w:val="20"/>
          <w:color w:val="auto"/>
        </w:rPr>
      </w:pPr>
    </w:p>
    <w:p>
      <w:pPr>
        <w:ind w:left="321" w:hanging="321"/>
        <w:spacing w:after="0"/>
        <w:tabs>
          <w:tab w:leader="none" w:pos="3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Hawaiian, Inc.;</w:t>
      </w:r>
    </w:p>
    <w:p>
      <w:pPr>
        <w:spacing w:after="0" w:line="211"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41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1" w:right="20" w:hanging="333"/>
        <w:spacing w:after="0" w:line="255" w:lineRule="auto"/>
        <w:tabs>
          <w:tab w:leader="none" w:pos="110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981" w:right="20" w:hanging="333"/>
        <w:spacing w:after="0" w:line="261" w:lineRule="auto"/>
        <w:tabs>
          <w:tab w:leader="none" w:pos="100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981" w:right="20" w:hanging="333"/>
        <w:spacing w:after="0" w:line="266" w:lineRule="auto"/>
        <w:tabs>
          <w:tab w:leader="none" w:pos="10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1" w:right="20" w:hanging="333"/>
        <w:spacing w:after="0" w:line="266" w:lineRule="auto"/>
        <w:tabs>
          <w:tab w:leader="none" w:pos="99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Times New Roman" w:cs="Times New Roman" w:eastAsia="Times New Roman" w:hAnsi="Times New Roman"/>
          <w:sz w:val="18"/>
          <w:szCs w:val="18"/>
          <w:color w:val="auto"/>
        </w:rPr>
      </w:pPr>
    </w:p>
    <w:p>
      <w:pPr>
        <w:ind w:left="321" w:right="20" w:hanging="321"/>
        <w:spacing w:after="0" w:line="282" w:lineRule="auto"/>
        <w:tabs>
          <w:tab w:leader="none" w:pos="3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981" w:right="20" w:hanging="333"/>
        <w:spacing w:after="0" w:line="266" w:lineRule="auto"/>
        <w:tabs>
          <w:tab w:leader="none" w:pos="102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81" w:right="20" w:hanging="333"/>
        <w:spacing w:after="0" w:line="282" w:lineRule="auto"/>
        <w:tabs>
          <w:tab w:leader="none" w:pos="101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M. Moses</w:t>
            </w:r>
          </w:p>
        </w:tc>
      </w:tr>
      <w:tr>
        <w:trPr>
          <w:trHeight w:val="191"/>
        </w:trPr>
        <w:tc>
          <w:tcPr>
            <w:tcW w:w="46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M. Moses</w:t>
            </w:r>
          </w:p>
        </w:tc>
        <w:tc>
          <w:tcPr>
            <w:tcW w:w="2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 and Chief Financial Officer</w:t>
            </w:r>
          </w:p>
        </w:tc>
      </w:tr>
      <w:tr>
        <w:trPr>
          <w:trHeight w:val="1465"/>
        </w:trPr>
        <w:tc>
          <w:tcPr>
            <w:tcW w:w="4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17" w:right="1319" w:bottom="1440" w:gutter="0" w:footer="0" w:header="0"/>
        </w:sectPr>
      </w:pPr>
    </w:p>
    <w:bookmarkStart w:id="99" w:name="page100"/>
    <w:bookmarkEnd w:id="9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162" w:lineRule="exact"/>
        <w:rPr>
          <w:sz w:val="20"/>
          <w:szCs w:val="20"/>
          <w:color w:val="auto"/>
        </w:rPr>
      </w:pPr>
    </w:p>
    <w:p>
      <w:pPr>
        <w:jc w:val="both"/>
        <w:ind w:left="700" w:right="79" w:hanging="332"/>
        <w:spacing w:after="0" w:line="258"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First Hawaiian, Inc. (the “Company”) for the quarter ended September 30, 2026 (the “Report”) fully complies with the requirements of Section 13(a) or 15(d), as applicable, of the Securities Exchange Act of 1934, as amended; and</w:t>
      </w:r>
    </w:p>
    <w:p>
      <w:pPr>
        <w:spacing w:after="0" w:line="196" w:lineRule="exact"/>
        <w:rPr>
          <w:rFonts w:ascii="Times New Roman" w:cs="Times New Roman" w:eastAsia="Times New Roman" w:hAnsi="Times New Roman"/>
          <w:sz w:val="18"/>
          <w:szCs w:val="18"/>
          <w:color w:val="auto"/>
        </w:rPr>
      </w:pPr>
    </w:p>
    <w:p>
      <w:pPr>
        <w:ind w:left="700" w:right="79" w:hanging="332"/>
        <w:spacing w:after="0" w:line="266"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Harrison</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431165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162" w:lineRule="exact"/>
        <w:rPr>
          <w:sz w:val="20"/>
          <w:szCs w:val="20"/>
          <w:color w:val="auto"/>
        </w:rPr>
      </w:pPr>
    </w:p>
    <w:p>
      <w:pPr>
        <w:jc w:val="both"/>
        <w:ind w:left="640" w:hanging="317"/>
        <w:spacing w:after="0" w:line="258"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First Hawaiian, Inc. (the “Company”) for the quarter ended September 30, 2026 (the “Report”) fully complies with the requirements of Section 13(a) or 15(d), as applicable, of the Securities Exchange Act of 1934, as amended; and</w:t>
      </w:r>
    </w:p>
    <w:p>
      <w:pPr>
        <w:spacing w:after="0" w:line="196" w:lineRule="exact"/>
        <w:rPr>
          <w:rFonts w:ascii="Times New Roman" w:cs="Times New Roman" w:eastAsia="Times New Roman" w:hAnsi="Times New Roman"/>
          <w:sz w:val="18"/>
          <w:szCs w:val="18"/>
          <w:color w:val="auto"/>
        </w:rPr>
      </w:pPr>
    </w:p>
    <w:p>
      <w:pPr>
        <w:ind w:left="640" w:hanging="317"/>
        <w:spacing w:after="0" w:line="26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Moses</w:t>
            </w:r>
          </w:p>
        </w:tc>
      </w:tr>
      <w:tr>
        <w:trPr>
          <w:trHeight w:val="191"/>
        </w:trPr>
        <w:tc>
          <w:tcPr>
            <w:tcW w:w="4620" w:type="dxa"/>
            <w:vAlign w:val="bottom"/>
          </w:tcPr>
          <w:p>
            <w:pPr>
              <w:spacing w:after="0"/>
              <w:rPr>
                <w:sz w:val="16"/>
                <w:szCs w:val="16"/>
                <w:color w:val="auto"/>
              </w:rPr>
            </w:pP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M. Moses</w:t>
            </w:r>
          </w:p>
        </w:tc>
      </w:tr>
      <w:tr>
        <w:trPr>
          <w:trHeight w:val="234"/>
        </w:trPr>
        <w:tc>
          <w:tcPr>
            <w:tcW w:w="46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and Chief Financial Officer</w:t>
            </w:r>
          </w:p>
        </w:tc>
      </w:tr>
    </w:tbl>
    <w:p>
      <w:pPr>
        <w:spacing w:after="0" w:line="200" w:lineRule="exact"/>
        <w:rPr>
          <w:sz w:val="20"/>
          <w:szCs w:val="20"/>
          <w:color w:val="auto"/>
        </w:rPr>
      </w:pP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431165</wp:posOffset>
            </wp:positionV>
            <wp:extent cx="58807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sectPr>
      <w:pgSz w:w="11900" w:h="16838" w:orient="portrait"/>
      <w:cols w:equalWidth="0" w:num="1">
        <w:col w:w="9240"/>
      </w:cols>
      <w:pgMar w:left="1320" w:top="37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2"/>
    </w:lvl>
  </w:abstractNum>
  <w:abstractNum w:abstractNumId="3">
    <w:nsid w:val="836C40E"/>
    <w:multiLevelType w:val="hybridMultilevel"/>
    <w:lvl w:ilvl="0">
      <w:lvlJc w:val="left"/>
      <w:lvlText w:val="(%1)"/>
      <w:numFmt w:val="decimal"/>
      <w:start w:val="3"/>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2"/>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2"/>
    </w:lvl>
  </w:abstractNum>
  <w:abstractNum w:abstractNumId="18">
    <w:nsid w:val="5072367"/>
    <w:multiLevelType w:val="hybridMultilevel"/>
    <w:lvl w:ilvl="0">
      <w:lvlJc w:val="left"/>
      <w:lvlText w:val="%1."/>
      <w:numFmt w:val="decimal"/>
      <w:start w:val="13"/>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5"/>
    </w:lvl>
  </w:abstractNum>
  <w:abstractNum w:abstractNumId="22">
    <w:nsid w:val="5C482A97"/>
    <w:multiLevelType w:val="hybridMultilevel"/>
    <w:lvl w:ilvl="0">
      <w:lvlJc w:val="left"/>
      <w:lvlText w:val=" "/>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lvl w:ilvl="1">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2"/>
    </w:lvl>
  </w:abstractNum>
  <w:abstractNum w:abstractNumId="47">
    <w:nsid w:val="3DC240FB"/>
    <w:multiLevelType w:val="hybridMultilevel"/>
    <w:lvl w:ilvl="0">
      <w:lvlJc w:val="left"/>
      <w:lvlText w:val="%1"/>
      <w:numFmt w:val="decimal"/>
      <w:start w:val="104"/>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27" Type="http://schemas.openxmlformats.org/officeDocument/2006/relationships/hyperlink" Target="https://www.sec.gov/Archives/edgar/data/36377/000110465926083898/tm2620283d5_ex2-1.htm" TargetMode="External"/><Relationship Id="rId128" Type="http://schemas.openxmlformats.org/officeDocument/2006/relationships/hyperlink" Target="https://www.sec.gov/Archives/edgar/data/36377/000110465916138673/a16-5174_8ex3d1.htm" TargetMode="External"/><Relationship Id="rId129" Type="http://schemas.openxmlformats.org/officeDocument/2006/relationships/hyperlink" Target="https://www.sec.gov/Archives/edgar/data/36377/000155837018003359/fhb-20180331ex31a779200.htm" TargetMode="External"/><Relationship Id="rId130" Type="http://schemas.openxmlformats.org/officeDocument/2006/relationships/hyperlink" Target="https://www.sec.gov/Archives/edgar/data/36377/000110465926048724/tm2612652d1_ex3-1.htm" TargetMode="External"/><Relationship Id="rId131" Type="http://schemas.openxmlformats.org/officeDocument/2006/relationships/hyperlink" Target="https://www.sec.gov/Archives/edgar/data/36377/000110465926083898/tm2620283d5_ex10-1.htm" TargetMode="External"/><Relationship Id="rId132" Type="http://schemas.openxmlformats.org/officeDocument/2006/relationships/hyperlink" Target="https://www.sec.gov/Archives/edgar/data/36377/000110465926107495/tm2621888d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2026-11-02T15:23:23Z</dcterms:created>
  <dcterms:modified xsi:type="dcterms:W3CDTF">2026-11-02T15:23:23Z</dcterms:modified>
</cp:coreProperties>
</file>