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47625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60960</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47625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FIRST HAWAIIAN,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43180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131" w:lineRule="exact"/>
        <w:rPr>
          <w:sz w:val="24"/>
          <w:szCs w:val="24"/>
          <w:color w:val="auto"/>
        </w:rPr>
      </w:pPr>
    </w:p>
    <w:tbl>
      <w:tblPr>
        <w:tblLayout w:type="fixed"/>
        <w:tblInd w:w="920" w:type="dxa"/>
        <w:tblCellMar>
          <w:top w:w="0" w:type="dxa"/>
          <w:left w:w="0" w:type="dxa"/>
          <w:bottom w:w="0" w:type="dxa"/>
          <w:right w:w="0" w:type="dxa"/>
        </w:tblCellMar>
      </w:tblPr>
      <w:tr>
        <w:trPr>
          <w:trHeight w:val="224"/>
        </w:trPr>
        <w:tc>
          <w:tcPr>
            <w:tcW w:w="3680" w:type="dxa"/>
            <w:vAlign w:val="bottom"/>
          </w:tcPr>
          <w:p>
            <w:pPr>
              <w:jc w:val="center"/>
              <w:ind w:right="974"/>
              <w:spacing w:after="0"/>
              <w:rPr>
                <w:sz w:val="20"/>
                <w:szCs w:val="20"/>
                <w:color w:val="auto"/>
              </w:rPr>
            </w:pPr>
            <w:r>
              <w:rPr>
                <w:rFonts w:ascii="Times New Roman" w:cs="Times New Roman" w:eastAsia="Times New Roman" w:hAnsi="Times New Roman"/>
                <w:sz w:val="18"/>
                <w:szCs w:val="18"/>
                <w:b w:val="1"/>
                <w:bCs w:val="1"/>
                <w:color w:val="auto"/>
                <w:w w:val="99"/>
              </w:rPr>
              <w:t>001-14585</w:t>
            </w:r>
          </w:p>
        </w:tc>
        <w:tc>
          <w:tcPr>
            <w:tcW w:w="3280" w:type="dxa"/>
            <w:vAlign w:val="bottom"/>
          </w:tcPr>
          <w:p>
            <w:pPr>
              <w:jc w:val="right"/>
              <w:ind w:right="595"/>
              <w:spacing w:after="0"/>
              <w:rPr>
                <w:sz w:val="20"/>
                <w:szCs w:val="20"/>
                <w:color w:val="auto"/>
              </w:rPr>
            </w:pPr>
            <w:r>
              <w:rPr>
                <w:rFonts w:ascii="Times New Roman" w:cs="Times New Roman" w:eastAsia="Times New Roman" w:hAnsi="Times New Roman"/>
                <w:sz w:val="18"/>
                <w:szCs w:val="18"/>
                <w:b w:val="1"/>
                <w:bCs w:val="1"/>
                <w:color w:val="auto"/>
              </w:rPr>
              <w:t>99-0156159</w:t>
            </w:r>
          </w:p>
        </w:tc>
      </w:tr>
      <w:tr>
        <w:trPr>
          <w:trHeight w:val="210"/>
        </w:trPr>
        <w:tc>
          <w:tcPr>
            <w:tcW w:w="3680" w:type="dxa"/>
            <w:vAlign w:val="bottom"/>
          </w:tcPr>
          <w:p>
            <w:pPr>
              <w:jc w:val="center"/>
              <w:ind w:right="954"/>
              <w:spacing w:after="0"/>
              <w:rPr>
                <w:sz w:val="20"/>
                <w:szCs w:val="20"/>
                <w:color w:val="auto"/>
              </w:rPr>
            </w:pPr>
            <w:r>
              <w:rPr>
                <w:rFonts w:ascii="Times New Roman" w:cs="Times New Roman" w:eastAsia="Times New Roman" w:hAnsi="Times New Roman"/>
                <w:sz w:val="16"/>
                <w:szCs w:val="16"/>
                <w:color w:val="auto"/>
              </w:rPr>
              <w:t>(Commission File Number)</w:t>
            </w:r>
          </w:p>
        </w:tc>
        <w:tc>
          <w:tcPr>
            <w:tcW w:w="3280" w:type="dxa"/>
            <w:vAlign w:val="bottom"/>
          </w:tcPr>
          <w:p>
            <w:pPr>
              <w:jc w:val="center"/>
              <w:ind w:left="97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35"/>
        </w:trPr>
        <w:tc>
          <w:tcPr>
            <w:tcW w:w="3680" w:type="dxa"/>
            <w:vAlign w:val="bottom"/>
          </w:tcPr>
          <w:p>
            <w:pPr>
              <w:jc w:val="center"/>
              <w:ind w:right="954"/>
              <w:spacing w:after="0"/>
              <w:rPr>
                <w:sz w:val="20"/>
                <w:szCs w:val="20"/>
                <w:color w:val="auto"/>
              </w:rPr>
            </w:pPr>
            <w:r>
              <w:rPr>
                <w:rFonts w:ascii="Times New Roman" w:cs="Times New Roman" w:eastAsia="Times New Roman" w:hAnsi="Times New Roman"/>
                <w:sz w:val="18"/>
                <w:szCs w:val="18"/>
                <w:b w:val="1"/>
                <w:bCs w:val="1"/>
                <w:color w:val="auto"/>
              </w:rPr>
              <w:t>999 Bishop St., 29th Floor</w:t>
            </w:r>
          </w:p>
        </w:tc>
        <w:tc>
          <w:tcPr>
            <w:tcW w:w="3280" w:type="dxa"/>
            <w:vAlign w:val="bottom"/>
          </w:tcPr>
          <w:p>
            <w:pPr>
              <w:spacing w:after="0"/>
              <w:rPr>
                <w:sz w:val="24"/>
                <w:szCs w:val="24"/>
                <w:color w:val="auto"/>
              </w:rPr>
            </w:pPr>
          </w:p>
        </w:tc>
      </w:tr>
      <w:tr>
        <w:trPr>
          <w:trHeight w:val="224"/>
        </w:trPr>
        <w:tc>
          <w:tcPr>
            <w:tcW w:w="3680" w:type="dxa"/>
            <w:vAlign w:val="bottom"/>
          </w:tcPr>
          <w:p>
            <w:pPr>
              <w:jc w:val="center"/>
              <w:ind w:right="954"/>
              <w:spacing w:after="0"/>
              <w:rPr>
                <w:sz w:val="20"/>
                <w:szCs w:val="20"/>
                <w:color w:val="auto"/>
              </w:rPr>
            </w:pPr>
            <w:r>
              <w:rPr>
                <w:rFonts w:ascii="Times New Roman" w:cs="Times New Roman" w:eastAsia="Times New Roman" w:hAnsi="Times New Roman"/>
                <w:sz w:val="18"/>
                <w:szCs w:val="18"/>
                <w:b w:val="1"/>
                <w:bCs w:val="1"/>
                <w:color w:val="auto"/>
                <w:w w:val="99"/>
              </w:rPr>
              <w:t>Honolulu, Hawaii</w:t>
            </w:r>
          </w:p>
        </w:tc>
        <w:tc>
          <w:tcPr>
            <w:tcW w:w="3280" w:type="dxa"/>
            <w:vAlign w:val="bottom"/>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96813</w:t>
            </w:r>
          </w:p>
        </w:tc>
      </w:tr>
      <w:tr>
        <w:trPr>
          <w:trHeight w:val="210"/>
        </w:trPr>
        <w:tc>
          <w:tcPr>
            <w:tcW w:w="3680" w:type="dxa"/>
            <w:vAlign w:val="bottom"/>
          </w:tcPr>
          <w:p>
            <w:pPr>
              <w:jc w:val="center"/>
              <w:ind w:right="95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80" w:type="dxa"/>
            <w:vAlign w:val="bottom"/>
          </w:tcPr>
          <w:p>
            <w:pPr>
              <w:jc w:val="center"/>
              <w:ind w:left="97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(808) 525-7000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88900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8" w:lineRule="exact"/>
        <w:rPr>
          <w:sz w:val="24"/>
          <w:szCs w:val="24"/>
          <w:color w:val="auto"/>
        </w:rPr>
      </w:pPr>
    </w:p>
    <w:p>
      <w:pPr>
        <w:ind w:left="60" w:right="259" w:firstLine="311"/>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640" w:hanging="266"/>
        <w:spacing w:after="0"/>
        <w:tabs>
          <w:tab w:leader="none" w:pos="6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highlight w:val="black"/>
        </w:rPr>
      </w:pPr>
    </w:p>
    <w:p>
      <w:pPr>
        <w:ind w:left="640" w:hanging="266"/>
        <w:spacing w:after="0"/>
        <w:tabs>
          <w:tab w:leader="none" w:pos="6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highlight w:val="black"/>
        </w:rPr>
      </w:pPr>
    </w:p>
    <w:p>
      <w:pPr>
        <w:ind w:left="640" w:hanging="266"/>
        <w:spacing w:after="0"/>
        <w:tabs>
          <w:tab w:leader="none" w:pos="6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highlight w:val="black"/>
        </w:rPr>
      </w:pPr>
    </w:p>
    <w:p>
      <w:pPr>
        <w:ind w:left="60" w:right="1139" w:firstLine="314"/>
        <w:spacing w:after="0" w:line="430" w:lineRule="auto"/>
        <w:tabs>
          <w:tab w:leader="none" w:pos="654"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ectPr>
          <w:pgSz w:w="11900" w:h="16838" w:orient="portrait"/>
          <w:cols w:equalWidth="0" w:num="1">
            <w:col w:w="9019"/>
          </w:cols>
          <w:pgMar w:left="1440" w:top="979" w:right="1440" w:bottom="1440" w:gutter="0" w:footer="0" w:header="0"/>
        </w:sectPr>
      </w:pPr>
    </w:p>
    <w:p>
      <w:pPr>
        <w:ind w:left="106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3040" w:space="720"/>
            <w:col w:w="1300" w:space="620"/>
            <w:col w:w="3339"/>
          </w:cols>
          <w:pgMar w:left="1440" w:top="979" w:right="1440"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FHB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140" w:lineRule="exact"/>
        <w:rPr>
          <w:sz w:val="24"/>
          <w:szCs w:val="24"/>
          <w:color w:val="auto"/>
        </w:rPr>
      </w:pPr>
    </w:p>
    <w:p>
      <w:pPr>
        <w:sectPr>
          <w:pgSz w:w="11900" w:h="16838" w:orient="portrait"/>
          <w:cols w:equalWidth="0" w:num="3">
            <w:col w:w="3540" w:space="720"/>
            <w:col w:w="1180" w:space="720"/>
            <w:col w:w="2859"/>
          </w:cols>
          <w:pgMar w:left="1440" w:top="979" w:right="1440" w:bottom="1440" w:gutter="0" w:footer="0" w:header="0"/>
          <w:type w:val="continuous"/>
        </w:sectPr>
      </w:pPr>
    </w:p>
    <w:p>
      <w:pPr>
        <w:ind w:left="60" w:right="139" w:firstLine="324"/>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6" w:lineRule="exact"/>
        <w:rPr>
          <w:sz w:val="24"/>
          <w:szCs w:val="24"/>
          <w:color w:val="auto"/>
        </w:rPr>
      </w:pPr>
    </w:p>
    <w:p>
      <w:pPr>
        <w:ind w:left="60" w:right="319"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476250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99060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9" w:right="1440"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On April 24, 2026, First Hawaiian, Inc. (together with its consolidated subsidiary, “First Hawaiian”) reported its earnings for the quarter ended March 31, 2026. A copy of First Hawaiian’s press release containing this information is being furnished as Exhibit 99.1 to this Current Report on Form 8-K and is incorporated herein by reference.</w:t>
      </w:r>
    </w:p>
    <w:p>
      <w:pPr>
        <w:spacing w:after="0" w:line="149"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All information provided in this Current Report on Form 8-K, including Exhibit 99.1, shall not be deemed to be “filed” for purposes of Section 18 of the Securities Exchange Act of 1934, as amended (the “Exchange Act”), or otherwise subject to the liabilities under that Section, and shall not be deemed to be incorporated by reference into any filing of First Hawaiian under the Securities Act of 1933, as amended, or the Exchange Act except as expressly set forth by specific reference in such a filing.</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00" w:hanging="65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gridSpan w:val="2"/>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First Hawaiian, Inc. dated April 24, 2026 containing financial information for its quarter</w:t>
            </w: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ended March 31, 2026.</w:t>
            </w:r>
          </w:p>
        </w:tc>
        <w:tc>
          <w:tcPr>
            <w:tcW w:w="2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80" w:right="619" w:hanging="1136"/>
        <w:spacing w:after="0" w:line="282" w:lineRule="auto"/>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94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FIRST HAWAIIAN, INC.</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2026</w:t>
            </w:r>
          </w:p>
        </w:tc>
        <w:tc>
          <w:tcPr>
            <w:tcW w:w="59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Robert S. Harrison</w:t>
            </w:r>
          </w:p>
        </w:tc>
      </w:tr>
      <w:tr>
        <w:trPr>
          <w:trHeight w:val="191"/>
        </w:trPr>
        <w:tc>
          <w:tcPr>
            <w:tcW w:w="2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S. Harrison</w:t>
            </w: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w:t>
            </w:r>
          </w:p>
        </w:tc>
      </w:tr>
      <w:tr>
        <w:trPr>
          <w:trHeight w:val="216"/>
        </w:trPr>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2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2134870</wp:posOffset>
            </wp:positionH>
            <wp:positionV relativeFrom="paragraph">
              <wp:posOffset>542925</wp:posOffset>
            </wp:positionV>
            <wp:extent cx="2245995"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59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7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First Hawaiian, Inc. Reports First Quarter 2026 Financial Results and Declares Dividend</w:t>
      </w:r>
    </w:p>
    <w:p>
      <w:pPr>
        <w:spacing w:after="0" w:line="175"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HONOLULU, Hawaii April 24, 2026--(Globe Newswire)--First Hawaiian, Inc. (NASDAQ:FHB), (“First Hawaiian” or the “Company”) today reported financial results for its quarter ended March 31, 2026.</w:t>
      </w:r>
    </w:p>
    <w:p>
      <w:pPr>
        <w:spacing w:after="0" w:line="94" w:lineRule="exact"/>
        <w:rPr>
          <w:sz w:val="20"/>
          <w:szCs w:val="20"/>
          <w:color w:val="auto"/>
        </w:rPr>
      </w:pPr>
    </w:p>
    <w:p>
      <w:pPr>
        <w:jc w:val="both"/>
        <w:ind w:left="60" w:right="60"/>
        <w:spacing w:after="0" w:line="261" w:lineRule="auto"/>
        <w:rPr>
          <w:sz w:val="20"/>
          <w:szCs w:val="20"/>
          <w:color w:val="auto"/>
        </w:rPr>
      </w:pPr>
      <w:r>
        <w:rPr>
          <w:rFonts w:ascii="Times New Roman" w:cs="Times New Roman" w:eastAsia="Times New Roman" w:hAnsi="Times New Roman"/>
          <w:sz w:val="18"/>
          <w:szCs w:val="18"/>
          <w:color w:val="auto"/>
        </w:rPr>
        <w:t>“I’m pleased to report that First Hawaiian started 2026 with a strong first quarter,” said Bob Harrison, Chairman, President, and CEO. “We had good growth in loans and deposits, and credit quality remained excellent. Our commitment to our communities is just as strong, as we actively support recovery efforts following the recent floods in Hawai‘i and Typhoon Sinlaku’s impact on Guam and Saipan. We will continue to stand alongside our customers across our markets throughout the recovery.”</w:t>
      </w:r>
    </w:p>
    <w:p>
      <w:pPr>
        <w:spacing w:after="0" w:line="99" w:lineRule="exact"/>
        <w:rPr>
          <w:sz w:val="20"/>
          <w:szCs w:val="20"/>
          <w:color w:val="auto"/>
        </w:rPr>
      </w:pPr>
    </w:p>
    <w:p>
      <w:pPr>
        <w:jc w:val="both"/>
        <w:ind w:left="60" w:right="60"/>
        <w:spacing w:after="0" w:line="282" w:lineRule="auto"/>
        <w:rPr>
          <w:sz w:val="20"/>
          <w:szCs w:val="20"/>
          <w:color w:val="auto"/>
        </w:rPr>
      </w:pPr>
      <w:r>
        <w:rPr>
          <w:rFonts w:ascii="Times New Roman" w:cs="Times New Roman" w:eastAsia="Times New Roman" w:hAnsi="Times New Roman"/>
          <w:sz w:val="18"/>
          <w:szCs w:val="18"/>
          <w:color w:val="auto"/>
        </w:rPr>
        <w:t>On April 22, 2026, the Company’s Board of Directors declared a quarterly cash dividend of $0.26 per share. The dividend will be payable on May 29, 2026, to stockholders of record at the close of business on May 18,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67" w:lineRule="exact"/>
        <w:rPr>
          <w:sz w:val="20"/>
          <w:szCs w:val="20"/>
          <w:color w:val="auto"/>
        </w:rPr>
      </w:pPr>
    </w:p>
    <w:p>
      <w:pPr>
        <w:ind w:left="800" w:hanging="243"/>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$67.8 million, or $0.55 per diluted share</w:t>
      </w:r>
    </w:p>
    <w:p>
      <w:pPr>
        <w:spacing w:after="0" w:line="6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and leases increased $128.3 million versus prior quarter</w:t>
      </w:r>
    </w:p>
    <w:p>
      <w:pPr>
        <w:spacing w:after="0" w:line="6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increased $261.7 million versus prior quarter</w:t>
      </w:r>
    </w:p>
    <w:p>
      <w:pPr>
        <w:spacing w:after="0" w:line="6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declined 2 basis points to 3.19%</w:t>
      </w:r>
    </w:p>
    <w:p>
      <w:pPr>
        <w:spacing w:after="0" w:line="6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 $5.0 million provision for credit losses</w:t>
      </w:r>
    </w:p>
    <w:p>
      <w:pPr>
        <w:spacing w:after="0" w:line="63" w:lineRule="exact"/>
        <w:rPr>
          <w:rFonts w:ascii="Times New Roman" w:cs="Times New Roman" w:eastAsia="Times New Roman" w:hAnsi="Times New Roman"/>
          <w:sz w:val="18"/>
          <w:szCs w:val="18"/>
          <w:color w:val="auto"/>
        </w:rPr>
      </w:pPr>
    </w:p>
    <w:p>
      <w:pPr>
        <w:ind w:left="800" w:hanging="243"/>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declared a quarterly dividend of $0.26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were $24.3 billion at March 31, 2026 versus $24.0 billion at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loans and leases were $14.4 billion as of March 31, 2026, an increase of $128.3 million from $14.3 billion as of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deposits were $20.8 billion as of March 31, 2026, an increase of $261.7 million from $20.5 billion as of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interest income for the first quarter of 2026 was $167.5 million, a decrease of $2.8 million compared to $170.3 million for the prior quarter.</w:t>
      </w:r>
    </w:p>
    <w:p>
      <w:pPr>
        <w:spacing w:after="0" w:line="108" w:lineRule="exact"/>
        <w:rPr>
          <w:sz w:val="20"/>
          <w:szCs w:val="20"/>
          <w:color w:val="auto"/>
        </w:rPr>
      </w:pPr>
    </w:p>
    <w:p>
      <w:pPr>
        <w:ind w:right="1260"/>
        <w:spacing w:after="0" w:line="430" w:lineRule="auto"/>
        <w:rPr>
          <w:sz w:val="20"/>
          <w:szCs w:val="20"/>
          <w:color w:val="auto"/>
        </w:rPr>
      </w:pPr>
      <w:r>
        <w:rPr>
          <w:rFonts w:ascii="Times New Roman" w:cs="Times New Roman" w:eastAsia="Times New Roman" w:hAnsi="Times New Roman"/>
          <w:sz w:val="18"/>
          <w:szCs w:val="18"/>
          <w:color w:val="auto"/>
        </w:rPr>
        <w:t xml:space="preserve">The net interest margin was 3.19% in the first quarter of 2026, 2 basis points lower than the prior quarter’s margin of 3.21%. </w:t>
      </w:r>
      <w:r>
        <w:rPr>
          <w:rFonts w:ascii="Times New Roman" w:cs="Times New Roman" w:eastAsia="Times New Roman" w:hAnsi="Times New Roman"/>
          <w:sz w:val="18"/>
          <w:szCs w:val="18"/>
          <w:b w:val="1"/>
          <w:bCs w:val="1"/>
          <w:color w:val="auto"/>
        </w:rPr>
        <w:t>Provision Expense</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During the quarter ended March 31, 2026, we recorded a $5.0 million provision for credit losses. In the quarter ended December 31, 2025, we recorded a $7.7 million provision for credit losses.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6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Noninterest income was $52.8 million in the first quarter of 2026, $2.7 million lower compared to noninterest income of $55.6 million in the prior quarter.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Noninterest expense was $127.9 million in the first quarter of 2026, $2.8 million higher compared to noninterest expense of $125.1 million in the prior quarter.</w:t>
      </w:r>
    </w:p>
    <w:p>
      <w:pPr>
        <w:spacing w:after="0" w:line="95" w:lineRule="exact"/>
        <w:rPr>
          <w:sz w:val="20"/>
          <w:szCs w:val="20"/>
          <w:color w:val="auto"/>
        </w:rPr>
      </w:pPr>
    </w:p>
    <w:p>
      <w:pPr>
        <w:ind w:right="1600"/>
        <w:spacing w:after="0" w:line="422" w:lineRule="auto"/>
        <w:rPr>
          <w:sz w:val="20"/>
          <w:szCs w:val="20"/>
          <w:color w:val="auto"/>
        </w:rPr>
      </w:pPr>
      <w:r>
        <w:rPr>
          <w:rFonts w:ascii="Times New Roman" w:cs="Times New Roman" w:eastAsia="Times New Roman" w:hAnsi="Times New Roman"/>
          <w:sz w:val="18"/>
          <w:szCs w:val="18"/>
          <w:color w:val="auto"/>
        </w:rPr>
        <w:t xml:space="preserve">The efficiency ratio was 57.8% and 55.1% for the quarters ended March 31, 2026 and December 31, 2025, respectively. </w:t>
      </w:r>
      <w:r>
        <w:rPr>
          <w:rFonts w:ascii="Times New Roman" w:cs="Times New Roman" w:eastAsia="Times New Roman" w:hAnsi="Times New Roman"/>
          <w:sz w:val="18"/>
          <w:szCs w:val="18"/>
          <w:b w:val="1"/>
          <w:bCs w:val="1"/>
          <w:color w:val="auto"/>
        </w:rPr>
        <w:t>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was 22.5% and 24.8% for the quarters ended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7"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allowance for credit losses was $169.3 million, or 1.17% of total loans and leases, as of March 31, 2026, compared to $168.5 million, or 1.18% of total loans and leases, as of December 31, 2025. The reserve for unfunded commitments was $34.9 million as of March 31, 2026 and $35.7 million as of December 31, 2025. Net charge-offs were $4.9 million, or 0.14% of average loans and leases on an annualized basis, for the quarter ended March 31, 2026, compared to net charge-offs of $5.0 million, or 0.14% of average loans and leases on an annualized basis, for the quarter ended December 31, 2025. Total non-performing assets were $39.7 million, or 0.27% of total loans and leases and other real estate owned, on March 31, 2026, compared to total non-performing assets of $41.0 million, or 0.29% of total loans and leases and other real estate owned, on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stockholders' equity was $2.8 billion at March 31, 2026 and December 31, 2025.</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tier 1 leverage, common equity tier 1 and total capital ratios were 9.21%, 13.12% and 14.37%, respectively, on March 31, 2026, compared with 9.27%, 13.17% and 14.42%, respectively, on December 31, 2025.</w:t>
      </w:r>
    </w:p>
    <w:p>
      <w:pPr>
        <w:spacing w:after="0" w:line="1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repurchased approximately 1.3 million shares of common stock at a total cost of $32.0 million under the stock repurchase program in the first quarter. The average cost was $24.47 per share repurchased.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Hawaiian, Inc.</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First Hawaiian, Inc. (NASDAQ:FHB) is a bank holding company headquartered in Honolulu, Hawaii. Its principal subsidiary, First Hawaiian Bank, founded in 1858 under the name Bishop &amp; Company, is Hawaii’s oldest and largest financial institution with branch locations throughout Hawaii, Guam and Saipan. The company offers a comprehensive suite of banking services to consumer and commercial customers including deposit products, loans, wealth management, insurance, trust, retirement planning, credit card and merchant processing services. Customers may also access their accounts through ATMs, online and mobile banking channels. For more information about First Hawaiian, Inc., visit the Company’s website, </w:t>
      </w:r>
      <w:r>
        <w:rPr>
          <w:rFonts w:ascii="Times New Roman" w:cs="Times New Roman" w:eastAsia="Times New Roman" w:hAnsi="Times New Roman"/>
          <w:sz w:val="18"/>
          <w:szCs w:val="18"/>
          <w:u w:val="single" w:color="auto"/>
          <w:color w:val="auto"/>
        </w:rPr>
        <w:t>www.fhb.com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Hawaiian will host a conference call to discuss the Company’s results today at 1:00 p.m. Eastern Time, 7:00 a.m. Hawaii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access the call by phone, please register via the following link:</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https://register-conf.media-server.com/register/BI91896a5e1d8b487a89f5948ca1270853,</w:t>
      </w:r>
      <w:r>
        <w:rPr>
          <w:rFonts w:ascii="Times New Roman" w:cs="Times New Roman" w:eastAsia="Times New Roman" w:hAnsi="Times New Roman"/>
          <w:sz w:val="18"/>
          <w:szCs w:val="18"/>
          <w:color w:val="auto"/>
        </w:rPr>
        <w:t xml:space="preserve"> and you will be provided with dial in details. To avoid delays, we encourage participants to dial into the conference call fifteen minutes ahead of the scheduled start time.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live webcast of the conference call, including a slide presentation, will be available at the following link: www.fhb.com/earnings. The archive of the webcast will be available at the same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328930</wp:posOffset>
            </wp:positionV>
            <wp:extent cx="649795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7" w:right="8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there can be no assurance that actual results will not prove to be materially different from the results expressed or implied by the forward-looking statements. A number of important factors could cause actual results or performance to differ materially from the forward-looking statements, including (without limitation) the risks and uncertainties associated with the domestic and global economic environment and capital market conditions and other risk factors. For a discussion of some of these risks and important factors that could affect our future results and financial condition, see our U.S. Securities and Exchange Commission (“SEC”) filings, including, but not limited to, our Annual Report on Form 10-K for the year ended December 31, 2025.</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75"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Return on average tangible assets, return on average tangible stockholders’ equity, tangible book value per share and tangible stockholders’ equity to tangible assets are non-GAAP financial measures. We believe that these measurements are useful for investors, regulators, management and others to evaluate financial performance and capital adequacy relative to other financial institutions. Although these non-GAAP financial measures are frequently used by stakeholders in the evaluation of a company, they have limitations as analytical tools and should not be considered in isolation or as a substitute for analysis of our results or financial condition as reported under GAAP. Investors should consider our performance and capital adequacy as reported under GAAP and all other relevant information when assessing our performance and capital adequacy.</w:t>
      </w:r>
    </w:p>
    <w:p>
      <w:pPr>
        <w:spacing w:after="0" w:line="133"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Table 12 at the end of this document provides a reconciliation of these non-GAAP financial measures with their most directly comparable GAAP measures.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654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16"/>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Kevin Haseyama, CFA</w:t>
            </w:r>
          </w:p>
        </w:tc>
        <w:tc>
          <w:tcPr>
            <w:tcW w:w="65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Lindsay Chambers</w:t>
            </w:r>
          </w:p>
        </w:tc>
      </w:tr>
      <w:tr>
        <w:trPr>
          <w:trHeight w:val="216"/>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(808) 525-6268</w:t>
            </w:r>
          </w:p>
        </w:tc>
        <w:tc>
          <w:tcPr>
            <w:tcW w:w="65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(808) 525-6254</w:t>
            </w:r>
          </w:p>
        </w:tc>
      </w:tr>
      <w:tr>
        <w:trPr>
          <w:trHeight w:val="234"/>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khaseyama@fhb.com</w:t>
            </w:r>
          </w:p>
        </w:tc>
        <w:tc>
          <w:tcPr>
            <w:tcW w:w="65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lchambers@fhb.com</w:t>
            </w:r>
          </w:p>
        </w:tc>
      </w:tr>
      <w:tr>
        <w:trPr>
          <w:trHeight w:val="763"/>
        </w:trPr>
        <w:tc>
          <w:tcPr>
            <w:tcW w:w="370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Highlights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Table 1</w:t>
            </w:r>
          </w:p>
        </w:tc>
        <w:tc>
          <w:tcPr>
            <w:tcW w:w="0" w:type="dxa"/>
            <w:vAlign w:val="bottom"/>
          </w:tcPr>
          <w:p>
            <w:pPr>
              <w:spacing w:after="0"/>
              <w:rPr>
                <w:sz w:val="1"/>
                <w:szCs w:val="1"/>
                <w:color w:val="auto"/>
              </w:rPr>
            </w:pPr>
          </w:p>
        </w:tc>
      </w:tr>
      <w:tr>
        <w:trPr>
          <w:trHeight w:val="142"/>
        </w:trPr>
        <w:tc>
          <w:tcPr>
            <w:tcW w:w="5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960" w:type="dxa"/>
            <w:vAlign w:val="bottom"/>
            <w:tcBorders>
              <w:top w:val="single" w:sz="8" w:color="auto"/>
              <w:bottom w:val="single" w:sz="8" w:color="auto"/>
            </w:tcBorders>
            <w:gridSpan w:val="6"/>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104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560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60" w:type="dxa"/>
            <w:vAlign w:val="bottom"/>
            <w:gridSpan w:val="2"/>
            <w:vMerge w:val="continue"/>
          </w:tcPr>
          <w:p>
            <w:pPr>
              <w:spacing w:after="0"/>
              <w:rPr>
                <w:sz w:val="15"/>
                <w:szCs w:val="15"/>
                <w:color w:val="auto"/>
              </w:rPr>
            </w:pPr>
          </w:p>
        </w:tc>
        <w:tc>
          <w:tcPr>
            <w:tcW w:w="9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Results:</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interest income</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167,530</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170,302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160,526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Noninterest income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52,819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Noninterest expense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127,885</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125,102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123,560</w:t>
            </w: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67,784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59,248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0.55</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0.55</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0.26</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payout ratio</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47.27 %</w:t>
            </w:r>
          </w:p>
        </w:tc>
        <w:tc>
          <w:tcPr>
            <w:tcW w:w="120" w:type="dxa"/>
            <w:vAlign w:val="bottom"/>
          </w:tcPr>
          <w:p>
            <w:pPr>
              <w:spacing w:after="0"/>
              <w:rPr>
                <w:sz w:val="17"/>
                <w:szCs w:val="17"/>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46.43 %</w:t>
            </w:r>
          </w:p>
        </w:tc>
        <w:tc>
          <w:tcPr>
            <w:tcW w:w="180" w:type="dxa"/>
            <w:vAlign w:val="bottom"/>
          </w:tcPr>
          <w:p>
            <w:pPr>
              <w:spacing w:after="0"/>
              <w:rPr>
                <w:sz w:val="17"/>
                <w:szCs w:val="17"/>
                <w:color w:val="auto"/>
              </w:rPr>
            </w:pP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55.32 %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b w:val="1"/>
                <w:bCs w:val="1"/>
                <w:color w:val="auto"/>
              </w:rPr>
              <w:t>Performance Ratios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interest margin</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3.19 %</w:t>
            </w:r>
          </w:p>
        </w:tc>
        <w:tc>
          <w:tcPr>
            <w:tcW w:w="120" w:type="dxa"/>
            <w:vAlign w:val="bottom"/>
          </w:tcPr>
          <w:p>
            <w:pPr>
              <w:spacing w:after="0"/>
              <w:rPr>
                <w:sz w:val="17"/>
                <w:szCs w:val="17"/>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3.21 %</w:t>
            </w:r>
          </w:p>
        </w:tc>
        <w:tc>
          <w:tcPr>
            <w:tcW w:w="180" w:type="dxa"/>
            <w:vAlign w:val="bottom"/>
          </w:tcPr>
          <w:p>
            <w:pPr>
              <w:spacing w:after="0"/>
              <w:rPr>
                <w:sz w:val="17"/>
                <w:szCs w:val="17"/>
                <w:color w:val="auto"/>
              </w:rPr>
            </w:pP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3.08 %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Efficiency ratio</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57.77 %</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55.14 %</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58.22 %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Return on average total assets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1.14 %</w:t>
            </w:r>
          </w:p>
        </w:tc>
        <w:tc>
          <w:tcPr>
            <w:tcW w:w="120" w:type="dxa"/>
            <w:vAlign w:val="bottom"/>
          </w:tcPr>
          <w:p>
            <w:pPr>
              <w:spacing w:after="0"/>
              <w:rPr>
                <w:sz w:val="17"/>
                <w:szCs w:val="17"/>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1.16 %</w:t>
            </w:r>
          </w:p>
        </w:tc>
        <w:tc>
          <w:tcPr>
            <w:tcW w:w="180" w:type="dxa"/>
            <w:vAlign w:val="bottom"/>
          </w:tcPr>
          <w:p>
            <w:pPr>
              <w:spacing w:after="0"/>
              <w:rPr>
                <w:sz w:val="17"/>
                <w:szCs w:val="17"/>
                <w:color w:val="auto"/>
              </w:rPr>
            </w:pPr>
          </w:p>
        </w:tc>
        <w:tc>
          <w:tcPr>
            <w:tcW w:w="12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1.01 %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Return on average tangible assets (non-GAAP)</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1.19 %</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1.21 %</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1.05 %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Return on average total stockholders' equity</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9.86 %</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3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8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Return on average tangible stockholders' equity (non-GAAP)</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15.33 %</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15.76 %</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14.59 %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Balances: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Average loans and leases</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14,289,418</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14,251,470</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14,309,998</w:t>
            </w: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Average earning assets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21,332,641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21,215,262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21,169,194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Average assets</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24,083,280</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23,925,000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23,890,459</w:t>
            </w: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Average deposits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20,623,573</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20,510,346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20,354,040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Average stockholders' equity</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2,788,826</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2,756,241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2,641,978</w:t>
            </w: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Market Value Per Share: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Closing</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24.64</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High</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28.35</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Low</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23.26</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2"/>
        </w:trPr>
        <w:tc>
          <w:tcPr>
            <w:tcW w:w="5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128" w:right="8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18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2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Loans and leases</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14,440,835</w:t>
            </w:r>
          </w:p>
        </w:tc>
        <w:tc>
          <w:tcPr>
            <w:tcW w:w="28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14,293,036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24,264,548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23,955,252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23,744,958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20,777,353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20,215,816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2,767,760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2,769,365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2,648,852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of Common Stock:</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Book value</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Tangible book value (non-GAAP)</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Non-accrual loans and leases / total loans and leases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0.27 %</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16"/>
        </w:trPr>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Allowance for credit losses for loans and leases / total loans and leases</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1.17 %</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13.12 %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12.93 %</w:t>
            </w:r>
          </w:p>
        </w:tc>
        <w:tc>
          <w:tcPr>
            <w:tcW w:w="0" w:type="dxa"/>
            <w:vAlign w:val="bottom"/>
          </w:tcPr>
          <w:p>
            <w:pPr>
              <w:spacing w:after="0"/>
              <w:rPr>
                <w:sz w:val="1"/>
                <w:szCs w:val="1"/>
                <w:color w:val="auto"/>
              </w:rPr>
            </w:pPr>
          </w:p>
        </w:tc>
      </w:tr>
      <w:tr>
        <w:trPr>
          <w:trHeight w:val="216"/>
        </w:trPr>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Tier 1 Capital Ratio</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13.12 %</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12.93 %</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 Ratio</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14.37 %</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14.42 %</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14.17 %</w:t>
            </w:r>
          </w:p>
        </w:tc>
        <w:tc>
          <w:tcPr>
            <w:tcW w:w="0" w:type="dxa"/>
            <w:vAlign w:val="bottom"/>
          </w:tcPr>
          <w:p>
            <w:pPr>
              <w:spacing w:after="0"/>
              <w:rPr>
                <w:sz w:val="1"/>
                <w:szCs w:val="1"/>
                <w:color w:val="auto"/>
              </w:rPr>
            </w:pPr>
          </w:p>
        </w:tc>
      </w:tr>
      <w:tr>
        <w:trPr>
          <w:trHeight w:val="216"/>
        </w:trPr>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Tier 1 Leverage Ratio</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9.21 %</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9.27 %</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9.01 %</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11.41 %</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11.56 %</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11.16 %</w:t>
            </w:r>
          </w:p>
        </w:tc>
        <w:tc>
          <w:tcPr>
            <w:tcW w:w="0" w:type="dxa"/>
            <w:vAlign w:val="bottom"/>
          </w:tcPr>
          <w:p>
            <w:pPr>
              <w:spacing w:after="0"/>
              <w:rPr>
                <w:sz w:val="1"/>
                <w:szCs w:val="1"/>
                <w:color w:val="auto"/>
              </w:rPr>
            </w:pPr>
          </w:p>
        </w:tc>
      </w:tr>
      <w:tr>
        <w:trPr>
          <w:trHeight w:val="216"/>
        </w:trPr>
        <w:tc>
          <w:tcPr>
            <w:tcW w:w="62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Tangible stockholders' equity to tangible assets (non-GAAP)</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7.62 %</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7.27 %</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Non-Financial Data:</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Number of branches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Number of ATMs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Number of Full-Time Equivalent Employees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hanging="330"/>
        <w:spacing w:after="0" w:line="236" w:lineRule="auto"/>
        <w:tabs>
          <w:tab w:leader="none" w:pos="34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Except for the efficiency ratio, amounts are annualized for the three months ended March 31, 2026, December 31, 2025 and March 31, 2025.</w:t>
      </w:r>
    </w:p>
    <w:p>
      <w:pPr>
        <w:spacing w:after="0" w:line="156" w:lineRule="exact"/>
        <w:rPr>
          <w:rFonts w:ascii="Times New Roman" w:cs="Times New Roman" w:eastAsia="Times New Roman" w:hAnsi="Times New Roman"/>
          <w:sz w:val="26"/>
          <w:szCs w:val="26"/>
          <w:color w:val="auto"/>
          <w:vertAlign w:val="superscript"/>
        </w:rPr>
      </w:pPr>
    </w:p>
    <w:p>
      <w:pPr>
        <w:jc w:val="both"/>
        <w:ind w:left="340" w:hanging="330"/>
        <w:spacing w:after="0" w:line="238" w:lineRule="auto"/>
        <w:tabs>
          <w:tab w:leader="none" w:pos="34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Return on average tangible assets, return on average tangible stockholders’ equity, tangible book value per share and tangible stockholders’ equity to tangible assets are non-GAAP financial measures. We compute our return on average tangible assets as the ratio of net income to average tangible assets, which is calculated by subtracting (and thereby effectively excluding) amounts related to the effect of goodwill from our average total assets. We compute our return on average tangible stockholders’ equity as the ratio of net income to average tangible stockholders’ equity, which is calculated by subtracting (and thereby effectively excluding) amounts related to the effect of goodwill from our average total stockholders’ equity. We compute our tangible book value per share as the ratio of tangible stockholders’ equity to outstanding shares. Tangible stockholders’ equity is calculated by subtracting (and thereby effectively excluding) amounts related to the effect of goodwill from our total stockholders’ equity. We compute our tangible stockholders’ equity to tangible assets as the ratio of tangible stockholders’ equity to tangible assets, each of which we calculate by subtracting (and thereby effectively excluding) the value of our goodwill. For a reconciliation to the most directly comparable GAAP financial measure, see Table 12, 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612140</wp:posOffset>
            </wp:positionV>
            <wp:extent cx="649795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332" w:right="8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3"/>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Table 2</w:t>
            </w:r>
          </w:p>
        </w:tc>
        <w:tc>
          <w:tcPr>
            <w:tcW w:w="0" w:type="dxa"/>
            <w:vAlign w:val="bottom"/>
          </w:tcPr>
          <w:p>
            <w:pPr>
              <w:spacing w:after="0"/>
              <w:rPr>
                <w:sz w:val="1"/>
                <w:szCs w:val="1"/>
                <w:color w:val="auto"/>
              </w:rPr>
            </w:pPr>
          </w:p>
        </w:tc>
      </w:tr>
      <w:tr>
        <w:trPr>
          <w:trHeight w:val="142"/>
        </w:trPr>
        <w:tc>
          <w:tcPr>
            <w:tcW w:w="54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5"/>
          </w:tcPr>
          <w:p>
            <w:pPr>
              <w:jc w:val="right"/>
              <w:ind w:right="163"/>
              <w:spacing w:after="0" w:line="142"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46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0" w:type="dxa"/>
            <w:vAlign w:val="bottom"/>
            <w:gridSpan w:val="2"/>
            <w:vMerge w:val="restart"/>
          </w:tcPr>
          <w:p>
            <w:pPr>
              <w:jc w:val="right"/>
              <w:ind w:right="143"/>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8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1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vMerge w:val="continue"/>
          </w:tcPr>
          <w:p>
            <w:pPr>
              <w:spacing w:after="0"/>
              <w:rPr>
                <w:sz w:val="15"/>
                <w:szCs w:val="15"/>
                <w:color w:val="auto"/>
              </w:rPr>
            </w:pPr>
          </w:p>
        </w:tc>
        <w:tc>
          <w:tcPr>
            <w:tcW w:w="11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vMerge w:val="continue"/>
          </w:tcPr>
          <w:p>
            <w:pPr>
              <w:spacing w:after="0"/>
              <w:rPr>
                <w:sz w:val="15"/>
                <w:szCs w:val="15"/>
                <w:color w:val="auto"/>
              </w:rPr>
            </w:pPr>
          </w:p>
        </w:tc>
        <w:tc>
          <w:tcPr>
            <w:tcW w:w="11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and lease financing</w:t>
            </w:r>
          </w:p>
        </w:tc>
        <w:tc>
          <w:tcPr>
            <w:tcW w:w="46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186,389</w:t>
            </w:r>
          </w:p>
        </w:tc>
        <w:tc>
          <w:tcPr>
            <w:tcW w:w="40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192,483</w:t>
            </w:r>
          </w:p>
        </w:tc>
        <w:tc>
          <w:tcPr>
            <w:tcW w:w="46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Available-for-sale investment securities</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14,884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Held-to-maturity investment securities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15,063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13,362</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13,648</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interest income</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229,698</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236,839</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235,150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62,064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66,441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Short-term borrowings</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interest expense</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62,168</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66,537</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74,624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interest income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167,530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170,302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160,526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5,000</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7,700</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162,530</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162,602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Noninterest income</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Service charges on deposit accounts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8,156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8,175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Credit and debit card fees</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15,083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service charges and fees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13,784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13,829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Trust and investment services income</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9,146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Bank-owned life insurance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4,091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securities gains, net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2,559</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3,568</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noninterest income</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52,819</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55,551</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Noninterest expense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64,090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64,768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Contracted services and professional fees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13,964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7,816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7,092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Equipment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14,781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Regulatory assessment and fees</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3,248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Advertising and marketing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2,252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Card rewards program</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8,404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13,330</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noninterest expense</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127,885</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125,102</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87,464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93,051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76,943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19,680</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23,120</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67,784</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69,931</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48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Basic earnings per share</w:t>
            </w:r>
          </w:p>
        </w:tc>
        <w:tc>
          <w:tcPr>
            <w:tcW w:w="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0.55</w:t>
            </w:r>
          </w:p>
        </w:tc>
        <w:tc>
          <w:tcPr>
            <w:tcW w:w="2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0.57</w:t>
            </w:r>
          </w:p>
        </w:tc>
        <w:tc>
          <w:tcPr>
            <w:tcW w:w="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8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0.55</w:t>
            </w:r>
          </w:p>
        </w:tc>
        <w:tc>
          <w:tcPr>
            <w:tcW w:w="2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0.56</w:t>
            </w:r>
          </w:p>
        </w:tc>
        <w:tc>
          <w:tcPr>
            <w:tcW w:w="26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8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Basic weighted-average outstanding shares</w:t>
            </w:r>
          </w:p>
        </w:tc>
        <w:tc>
          <w:tcPr>
            <w:tcW w:w="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122,457,604</w:t>
            </w:r>
          </w:p>
        </w:tc>
        <w:tc>
          <w:tcPr>
            <w:tcW w:w="2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123,342,709</w:t>
            </w:r>
          </w:p>
        </w:tc>
        <w:tc>
          <w:tcPr>
            <w:tcW w:w="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126,281,802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Diluted weighted-average outstanding shares</w:t>
            </w: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123,345,708</w:t>
            </w: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124,158,037</w:t>
            </w: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127,166,932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5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128" w:right="8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Table 3</w:t>
            </w:r>
          </w:p>
        </w:tc>
        <w:tc>
          <w:tcPr>
            <w:tcW w:w="0" w:type="dxa"/>
            <w:vAlign w:val="bottom"/>
          </w:tcPr>
          <w:p>
            <w:pPr>
              <w:spacing w:after="0"/>
              <w:rPr>
                <w:sz w:val="1"/>
                <w:szCs w:val="1"/>
                <w:color w:val="auto"/>
              </w:rPr>
            </w:pPr>
          </w:p>
        </w:tc>
      </w:tr>
      <w:tr>
        <w:trPr>
          <w:trHeight w:val="117"/>
        </w:trPr>
        <w:tc>
          <w:tcPr>
            <w:tcW w:w="6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 except share amount)</w:t>
            </w:r>
          </w:p>
        </w:tc>
        <w:tc>
          <w:tcPr>
            <w:tcW w:w="400" w:type="dxa"/>
            <w:vAlign w:val="bottom"/>
            <w:tcBorders>
              <w:top w:val="single" w:sz="8" w:color="auto"/>
            </w:tcBorders>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tcBorders>
              <w:top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Borders>
              <w:top w:val="single" w:sz="8" w:color="auto"/>
            </w:tcBorders>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0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225,727</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228,734</w:t>
            </w: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1,493,421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Available-for-sale, at fair value (amortized cost: $2,270,792 as of March 31, 2026,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2,080,004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$2,246,716 as of December 31, 2025 and $2,091,034 as of March 31, 2025)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2,076,233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Held-to-maturity, at amortized cost (fair value: $3,074,133 as of March 31, 2026,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3,480,022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$3,188,775 as of December 31, 2025 and $3,250,275 as of March 31, 2025)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3,533,082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3,724,908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leases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14,440,835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14,293,036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169,318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loans and leases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14,271,517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14,144,061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302,807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514,069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819,733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24,264,548</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23,955,252</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23,744,958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Interest-bearing</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14,257,290</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13,968,376</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Noninterest-bearing</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6,520,063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6,547,292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20,777,353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 payable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621,215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571,167</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21,496,788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21,185,887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300,000,000 shares;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issued/outstanding: 142,627,813 / 121,648,973 shares as of March 31, 2026,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issued/outstanding: 142,184,584 / 122,689,256 shares as of December 31, 2025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issued/outstanding: 142,139,353 / 125,692,598 shares as of March 31, 2025)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2,580,501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2,576,540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1,114,759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(372,747)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(368,140)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stock (20,978,840 shares as of March 31, 2026, 19,495,328 shares as of</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(556,179)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2025 and 16,446,755 shares as of March 31, 2025)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(519,342)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(443,545)</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2,767,760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2,769,365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24,264,548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23,955,252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23,744,958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6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128" w:right="8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Balances and Interest Rates</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Table 4</w:t>
            </w: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6"/>
          </w:tcPr>
          <w:p>
            <w:pPr>
              <w:jc w:val="center"/>
              <w:ind w:left="26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6"/>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6"/>
          </w:tcPr>
          <w:p>
            <w:pPr>
              <w:jc w:val="center"/>
              <w:ind w:left="26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80" w:type="dxa"/>
            <w:vAlign w:val="bottom"/>
          </w:tcPr>
          <w:p>
            <w:pPr>
              <w:spacing w:after="0"/>
              <w:rPr>
                <w:sz w:val="10"/>
                <w:szCs w:val="10"/>
                <w:color w:val="auto"/>
              </w:rPr>
            </w:pPr>
          </w:p>
        </w:tc>
        <w:tc>
          <w:tcPr>
            <w:tcW w:w="84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0" w:type="dxa"/>
            <w:vAlign w:val="bottom"/>
          </w:tcPr>
          <w:p>
            <w:pPr>
              <w:spacing w:after="0"/>
              <w:rPr>
                <w:sz w:val="10"/>
                <w:szCs w:val="10"/>
                <w:color w:val="auto"/>
              </w:rPr>
            </w:pPr>
          </w:p>
        </w:tc>
        <w:tc>
          <w:tcPr>
            <w:tcW w:w="820" w:type="dxa"/>
            <w:vAlign w:val="bottom"/>
            <w:gridSpan w:val="4"/>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40" w:type="dxa"/>
            <w:vAlign w:val="bottom"/>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80" w:type="dxa"/>
            <w:vAlign w:val="bottom"/>
          </w:tcPr>
          <w:p>
            <w:pPr>
              <w:spacing w:after="0"/>
              <w:rPr>
                <w:sz w:val="10"/>
                <w:szCs w:val="10"/>
                <w:color w:val="auto"/>
              </w:rPr>
            </w:pPr>
          </w:p>
        </w:tc>
        <w:tc>
          <w:tcPr>
            <w:tcW w:w="84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4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Yield/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0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14"/>
                <w:szCs w:val="14"/>
                <w:color w:val="auto"/>
              </w:rPr>
              <w:t xml:space="preserve">  ​​​</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14"/>
                <w:szCs w:val="14"/>
                <w:color w:val="auto"/>
              </w:rPr>
              <w:t xml:space="preserve"> ​​​</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14"/>
                <w:szCs w:val="14"/>
                <w:color w:val="auto"/>
              </w:rPr>
              <w:t xml:space="preserve">  ​​​</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Earning Assets</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Deposits in Other Banks</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1,455.0</w:t>
            </w:r>
          </w:p>
        </w:tc>
        <w:tc>
          <w:tcPr>
            <w:tcW w:w="34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3.68</w:t>
            </w:r>
          </w:p>
        </w:tc>
        <w:tc>
          <w:tcPr>
            <w:tcW w:w="2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1,331.8</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1,171.1</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Available-for-Sale Investment Securities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Taxable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2,050.7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14.9</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Non-Taxable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5.52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Held-to-Maturity Investment Securities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Taxable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2,916.5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2,973.8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3,164.0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Non-Taxable</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592.6</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2.39</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594.3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599.0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Investment Securities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5,560.6</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5,604.3</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5,655.8</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2.16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Loans Held for Sale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0.9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6.28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and Leases</w:t>
            </w:r>
            <w:r>
              <w:rPr>
                <w:rFonts w:ascii="Times New Roman" w:cs="Times New Roman" w:eastAsia="Times New Roman" w:hAnsi="Times New Roman"/>
                <w:sz w:val="10"/>
                <w:szCs w:val="10"/>
                <w:color w:val="auto"/>
              </w:rPr>
              <w:t>(1)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2,170.6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4,608.4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4,599.2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775.5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804.5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937.0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4,081.8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1,175.4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13.7</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1,034.5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7.84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443.2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3.75</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Loans and Leases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14,289.4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187.0</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5.29</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14,251.5</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193.1</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5.38</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14,310.0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192.7</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ind w:left="140"/>
              <w:spacing w:after="0" w:line="142" w:lineRule="exact"/>
              <w:rPr>
                <w:sz w:val="20"/>
                <w:szCs w:val="20"/>
                <w:color w:val="auto"/>
              </w:rPr>
            </w:pPr>
            <w:r>
              <w:rPr>
                <w:rFonts w:ascii="Times New Roman" w:cs="Times New Roman" w:eastAsia="Times New Roman" w:hAnsi="Times New Roman"/>
                <w:sz w:val="14"/>
                <w:szCs w:val="14"/>
                <w:color w:val="auto"/>
              </w:rPr>
              <w:t>5.44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Earning Assets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26.7</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0.1</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2.52</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27.4</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5.69</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5.48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Earning Assets</w:t>
            </w:r>
            <w:r>
              <w:rPr>
                <w:rFonts w:ascii="Times New Roman" w:cs="Times New Roman" w:eastAsia="Times New Roman" w:hAnsi="Times New Roman"/>
                <w:sz w:val="10"/>
                <w:szCs w:val="10"/>
                <w:color w:val="auto"/>
              </w:rPr>
              <w:t>(2)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21,332.6</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230.7</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4.37</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21,215.3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237.8</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4.46</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21,169.2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236.4</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ind w:left="140"/>
              <w:spacing w:after="0" w:line="142" w:lineRule="exact"/>
              <w:rPr>
                <w:sz w:val="20"/>
                <w:szCs w:val="20"/>
                <w:color w:val="auto"/>
              </w:rPr>
            </w:pPr>
            <w:r>
              <w:rPr>
                <w:rFonts w:ascii="Times New Roman" w:cs="Times New Roman" w:eastAsia="Times New Roman" w:hAnsi="Times New Roman"/>
                <w:sz w:val="14"/>
                <w:szCs w:val="14"/>
                <w:color w:val="auto"/>
              </w:rPr>
              <w:t>4.51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Due from Banks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221.1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2,524.3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2,488.6</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2,485.4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24,083.3</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23,925.0</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23,890.5</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6,404.5</w:t>
            </w:r>
          </w:p>
        </w:tc>
        <w:tc>
          <w:tcPr>
            <w:tcW w:w="340" w:type="dxa"/>
            <w:vAlign w:val="bottom"/>
            <w:gridSpan w:val="2"/>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18.9</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w:t>
            </w:r>
          </w:p>
        </w:tc>
        <w:tc>
          <w:tcPr>
            <w:tcW w:w="2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6,288.5</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6,232.5</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4,358.9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4,185.4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Time</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3,381.3</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23.4</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2.80</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3,368.8</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3,317.1</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14,144.7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13,842.7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13,471.8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2.16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Interest-Bearing Liabilities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0.1</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3.40</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14,157.2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13,852.2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13,749.3</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2.20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Interest Income</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168.5</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171.3</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161.8</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Interest Rate Spread</w:t>
            </w:r>
            <w:r>
              <w:rPr>
                <w:rFonts w:ascii="Times New Roman" w:cs="Times New Roman" w:eastAsia="Times New Roman" w:hAnsi="Times New Roman"/>
                <w:sz w:val="10"/>
                <w:szCs w:val="10"/>
                <w:color w:val="auto"/>
              </w:rPr>
              <w:t>(3)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2.59 %</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2.55</w:t>
            </w:r>
          </w:p>
        </w:tc>
        <w:tc>
          <w:tcPr>
            <w:tcW w:w="240" w:type="dxa"/>
            <w:vAlign w:val="bottom"/>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4"/>
                <w:szCs w:val="14"/>
                <w:color w:val="auto"/>
              </w:rPr>
              <w:t>2.31</w:t>
            </w:r>
          </w:p>
        </w:tc>
        <w:tc>
          <w:tcPr>
            <w:tcW w:w="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Interest Margin</w:t>
            </w:r>
            <w:r>
              <w:rPr>
                <w:rFonts w:ascii="Times New Roman" w:cs="Times New Roman" w:eastAsia="Times New Roman" w:hAnsi="Times New Roman"/>
                <w:sz w:val="10"/>
                <w:szCs w:val="10"/>
                <w:color w:val="auto"/>
              </w:rPr>
              <w:t>(4)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3.19 %</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Noninterest-Bearing Demand Deposits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6,478.9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6,667.6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6,882.2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658.4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2,788.8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2,756.2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24,083.3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23,925.0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23,890.5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5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0"/>
        <w:spacing w:after="0" w:line="206" w:lineRule="auto"/>
        <w:tabs>
          <w:tab w:leader="none" w:pos="340"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Non-performing loans and leases are included in the respective average loan and lease balances. Income, if any, on such loans and leases is recognized on a cash basis.</w:t>
      </w:r>
    </w:p>
    <w:p>
      <w:pPr>
        <w:spacing w:after="0" w:line="88" w:lineRule="exact"/>
        <w:rPr>
          <w:rFonts w:ascii="Times New Roman" w:cs="Times New Roman" w:eastAsia="Times New Roman" w:hAnsi="Times New Roman"/>
          <w:sz w:val="26"/>
          <w:szCs w:val="26"/>
          <w:color w:val="auto"/>
          <w:vertAlign w:val="superscript"/>
        </w:rPr>
      </w:pPr>
    </w:p>
    <w:p>
      <w:pPr>
        <w:ind w:left="340" w:hanging="330"/>
        <w:spacing w:after="0" w:line="206" w:lineRule="auto"/>
        <w:tabs>
          <w:tab w:leader="none" w:pos="340"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Interest income includes taxable-equivalent basis adjustments of $1.0 million, $1.0 million and $1.2 million for the three months ended March 31, 2026, December 31, 2025 and March 31, 2025, respectively.</w:t>
      </w:r>
    </w:p>
    <w:p>
      <w:pPr>
        <w:spacing w:after="0" w:line="88" w:lineRule="exact"/>
        <w:rPr>
          <w:rFonts w:ascii="Times New Roman" w:cs="Times New Roman" w:eastAsia="Times New Roman" w:hAnsi="Times New Roman"/>
          <w:sz w:val="26"/>
          <w:szCs w:val="26"/>
          <w:color w:val="auto"/>
          <w:vertAlign w:val="superscript"/>
        </w:rPr>
      </w:pPr>
    </w:p>
    <w:p>
      <w:pPr>
        <w:ind w:left="340" w:hanging="330"/>
        <w:spacing w:after="0" w:line="206" w:lineRule="auto"/>
        <w:tabs>
          <w:tab w:leader="none" w:pos="340"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Interest rate spread is the difference between the average yield on earning assets and the average rate paid on interest-bearing liabilities, on a fully taxable-equivalent basis.</w:t>
      </w:r>
    </w:p>
    <w:p>
      <w:pPr>
        <w:spacing w:after="0" w:line="88" w:lineRule="exact"/>
        <w:rPr>
          <w:rFonts w:ascii="Times New Roman" w:cs="Times New Roman" w:eastAsia="Times New Roman" w:hAnsi="Times New Roman"/>
          <w:sz w:val="26"/>
          <w:szCs w:val="26"/>
          <w:color w:val="auto"/>
          <w:vertAlign w:val="superscript"/>
        </w:rPr>
      </w:pPr>
    </w:p>
    <w:p>
      <w:pPr>
        <w:ind w:left="340" w:hanging="330"/>
        <w:spacing w:after="0" w:line="206" w:lineRule="auto"/>
        <w:tabs>
          <w:tab w:leader="none" w:pos="340"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Net interest margin is net interest income annualized for the three months ended March 31, 2026, December 31, 2025 and March 31, 2025, on a fully taxable-equivalent basis, divided by average total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669925</wp:posOffset>
            </wp:positionV>
            <wp:extent cx="649795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128" w:right="8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Analysis of Change in Net Interest Income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Table 5</w:t>
            </w:r>
          </w:p>
        </w:tc>
        <w:tc>
          <w:tcPr>
            <w:tcW w:w="0" w:type="dxa"/>
            <w:vAlign w:val="bottom"/>
          </w:tcPr>
          <w:p>
            <w:pPr>
              <w:spacing w:after="0"/>
              <w:rPr>
                <w:sz w:val="1"/>
                <w:szCs w:val="1"/>
                <w:color w:val="auto"/>
              </w:rPr>
            </w:pPr>
          </w:p>
        </w:tc>
      </w:tr>
      <w:tr>
        <w:trPr>
          <w:trHeight w:val="117"/>
        </w:trPr>
        <w:tc>
          <w:tcPr>
            <w:tcW w:w="2580" w:type="dxa"/>
            <w:vAlign w:val="bottom"/>
            <w:tcBorders>
              <w:top w:val="single" w:sz="8" w:color="auto"/>
            </w:tcBorders>
          </w:tcPr>
          <w:p>
            <w:pPr>
              <w:spacing w:after="0"/>
              <w:rPr>
                <w:sz w:val="10"/>
                <w:szCs w:val="10"/>
                <w:color w:val="auto"/>
              </w:rPr>
            </w:pPr>
          </w:p>
        </w:tc>
        <w:tc>
          <w:tcPr>
            <w:tcW w:w="49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380" w:type="dxa"/>
            <w:vAlign w:val="bottom"/>
            <w:tcBorders>
              <w:top w:val="single" w:sz="8" w:color="auto"/>
            </w:tcBorders>
            <w:gridSpan w:val="9"/>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Compared to December 31, 2025</w:t>
            </w:r>
          </w:p>
        </w:tc>
        <w:tc>
          <w:tcPr>
            <w:tcW w:w="0" w:type="dxa"/>
            <w:vAlign w:val="bottom"/>
          </w:tcPr>
          <w:p>
            <w:pPr>
              <w:spacing w:after="0"/>
              <w:rPr>
                <w:sz w:val="1"/>
                <w:szCs w:val="1"/>
                <w:color w:val="auto"/>
              </w:rPr>
            </w:pPr>
          </w:p>
        </w:tc>
      </w:tr>
      <w:tr>
        <w:trPr>
          <w:trHeight w:val="142"/>
        </w:trPr>
        <w:tc>
          <w:tcPr>
            <w:tcW w:w="7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0"/>
                <w:szCs w:val="10"/>
                <w:b w:val="1"/>
                <w:bCs w:val="1"/>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2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Interest-Bearing Deposits in Other Banks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Investment Securities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Held-to-Maturity Investment Securities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Non-Taxable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and Leases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Residential mortgage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equity line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financing</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Loans and Leases</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Earning Assets</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Savings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Time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Short-Term Borrowings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Interest-Bearing Liabilities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58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0"/>
        <w:spacing w:after="0" w:line="206" w:lineRule="auto"/>
        <w:tabs>
          <w:tab w:leader="none" w:pos="340"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change in interest income and expense not solely due to changes in volume or rate has been allocated on a pro-rata basis to the volume and rate columns.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549910</wp:posOffset>
            </wp:positionV>
            <wp:extent cx="649795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331" w:right="8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Analysis of Change in Net Interest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Table 6</w:t>
            </w:r>
          </w:p>
        </w:tc>
        <w:tc>
          <w:tcPr>
            <w:tcW w:w="0" w:type="dxa"/>
            <w:vAlign w:val="bottom"/>
          </w:tcPr>
          <w:p>
            <w:pPr>
              <w:spacing w:after="0"/>
              <w:rPr>
                <w:sz w:val="1"/>
                <w:szCs w:val="1"/>
                <w:color w:val="auto"/>
              </w:rPr>
            </w:pPr>
          </w:p>
        </w:tc>
      </w:tr>
      <w:tr>
        <w:trPr>
          <w:trHeight w:val="117"/>
        </w:trPr>
        <w:tc>
          <w:tcPr>
            <w:tcW w:w="2580" w:type="dxa"/>
            <w:vAlign w:val="bottom"/>
            <w:tcBorders>
              <w:top w:val="single" w:sz="8" w:color="auto"/>
            </w:tcBorders>
          </w:tcPr>
          <w:p>
            <w:pPr>
              <w:spacing w:after="0"/>
              <w:rPr>
                <w:sz w:val="10"/>
                <w:szCs w:val="10"/>
                <w:color w:val="auto"/>
              </w:rPr>
            </w:pPr>
          </w:p>
        </w:tc>
        <w:tc>
          <w:tcPr>
            <w:tcW w:w="4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380" w:type="dxa"/>
            <w:vAlign w:val="bottom"/>
            <w:tcBorders>
              <w:top w:val="single" w:sz="8" w:color="auto"/>
            </w:tcBorders>
            <w:gridSpan w:val="9"/>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Compared to March 31, 2025</w:t>
            </w:r>
          </w:p>
        </w:tc>
        <w:tc>
          <w:tcPr>
            <w:tcW w:w="0" w:type="dxa"/>
            <w:vAlign w:val="bottom"/>
          </w:tcPr>
          <w:p>
            <w:pPr>
              <w:spacing w:after="0"/>
              <w:rPr>
                <w:sz w:val="1"/>
                <w:szCs w:val="1"/>
                <w:color w:val="auto"/>
              </w:rPr>
            </w:pPr>
          </w:p>
        </w:tc>
      </w:tr>
      <w:tr>
        <w:trPr>
          <w:trHeight w:val="142"/>
        </w:trPr>
        <w:tc>
          <w:tcPr>
            <w:tcW w:w="7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0"/>
                <w:szCs w:val="10"/>
                <w:b w:val="1"/>
                <w:bCs w:val="1"/>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2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Interest-Bearing Deposits in Other Banks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Investment Securities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Held-to-Maturity Investment Securities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Non-Taxable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and Leases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Residential:</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 equity line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financing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Loans and Leases</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Earning Assets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Savings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Time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Short-Term Borrowings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Interest-Bearing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58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0"/>
        <w:spacing w:after="0" w:line="206" w:lineRule="auto"/>
        <w:tabs>
          <w:tab w:leader="none" w:pos="340"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change in interest income and expense not solely due to changes in volume or rate has been allocated on a pro-rata basis to the volume and rate columns.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344170</wp:posOffset>
            </wp:positionV>
            <wp:extent cx="649795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128" w:right="8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Loans and Leases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Table 7</w:t>
            </w:r>
          </w:p>
        </w:tc>
        <w:tc>
          <w:tcPr>
            <w:tcW w:w="0" w:type="dxa"/>
            <w:vAlign w:val="bottom"/>
          </w:tcPr>
          <w:p>
            <w:pPr>
              <w:spacing w:after="0"/>
              <w:rPr>
                <w:sz w:val="1"/>
                <w:szCs w:val="1"/>
                <w:color w:val="auto"/>
              </w:rPr>
            </w:pPr>
          </w:p>
        </w:tc>
      </w:tr>
      <w:tr>
        <w:trPr>
          <w:trHeight w:val="117"/>
        </w:trPr>
        <w:tc>
          <w:tcPr>
            <w:tcW w:w="60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top w:val="single" w:sz="8" w:color="auto"/>
            </w:tcBorders>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jc w:val="right"/>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40" w:type="dxa"/>
            <w:vAlign w:val="bottom"/>
            <w:tcBorders>
              <w:top w:val="single" w:sz="8" w:color="auto"/>
            </w:tcBorders>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2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vMerge w:val="continue"/>
          </w:tcPr>
          <w:p>
            <w:pPr>
              <w:spacing w:after="0"/>
              <w:rPr>
                <w:sz w:val="15"/>
                <w:szCs w:val="15"/>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vMerge w:val="continue"/>
          </w:tcPr>
          <w:p>
            <w:pPr>
              <w:spacing w:after="0"/>
              <w:rPr>
                <w:sz w:val="15"/>
                <w:szCs w:val="15"/>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2,241,882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2,171,333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4,715,741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4,590,326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mortgage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4,063,933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Home equity line</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1,176,228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1,178,527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residential</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5,240,161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5,274,827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1,030,002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443,747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14,440,835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14,312,529</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14,293,036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6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344" w:right="8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Table 8</w:t>
            </w:r>
          </w:p>
        </w:tc>
        <w:tc>
          <w:tcPr>
            <w:tcW w:w="0" w:type="dxa"/>
            <w:vAlign w:val="bottom"/>
          </w:tcPr>
          <w:p>
            <w:pPr>
              <w:spacing w:after="0"/>
              <w:rPr>
                <w:sz w:val="1"/>
                <w:szCs w:val="1"/>
                <w:color w:val="auto"/>
              </w:rPr>
            </w:pPr>
          </w:p>
        </w:tc>
      </w:tr>
      <w:tr>
        <w:trPr>
          <w:trHeight w:val="117"/>
        </w:trPr>
        <w:tc>
          <w:tcPr>
            <w:tcW w:w="60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tcBorders>
              <w:top w:val="single" w:sz="8" w:color="auto"/>
            </w:tcBorders>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Borders>
              <w:top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Borders>
              <w:top w:val="single" w:sz="8" w:color="auto"/>
            </w:tcBorders>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vMerge w:val="continue"/>
          </w:tcPr>
          <w:p>
            <w:pPr>
              <w:spacing w:after="0"/>
              <w:rPr>
                <w:sz w:val="15"/>
                <w:szCs w:val="15"/>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vMerge w:val="continue"/>
          </w:tcPr>
          <w:p>
            <w:pPr>
              <w:spacing w:after="0"/>
              <w:rPr>
                <w:sz w:val="15"/>
                <w:szCs w:val="15"/>
                <w:color w:val="auto"/>
              </w:rPr>
            </w:pPr>
          </w:p>
        </w:tc>
        <w:tc>
          <w:tcPr>
            <w:tcW w:w="10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6,520,063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6,547,292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6,566,192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6,308,873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4,310,474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4,289,370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3,380,624</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3,370,133</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20,777,353</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20,515,668</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6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128" w:right="8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Non-Performing Assets and Accruing Loans and Leases Past Due 90 Days or More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Table 9</w:t>
            </w:r>
          </w:p>
        </w:tc>
        <w:tc>
          <w:tcPr>
            <w:tcW w:w="0" w:type="dxa"/>
            <w:vAlign w:val="bottom"/>
          </w:tcPr>
          <w:p>
            <w:pPr>
              <w:spacing w:after="0"/>
              <w:rPr>
                <w:sz w:val="1"/>
                <w:szCs w:val="1"/>
                <w:color w:val="auto"/>
              </w:rPr>
            </w:pPr>
          </w:p>
        </w:tc>
      </w:tr>
      <w:tr>
        <w:trPr>
          <w:trHeight w:val="117"/>
        </w:trPr>
        <w:tc>
          <w:tcPr>
            <w:tcW w:w="64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Borders>
              <w:top w:val="single" w:sz="8" w:color="auto"/>
            </w:tcBorders>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Borders>
              <w:top w:val="single" w:sz="8" w:color="auto"/>
            </w:tcBorders>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Borders>
              <w:top w:val="single" w:sz="8" w:color="auto"/>
            </w:tcBorders>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vMerge w:val="continue"/>
          </w:tcPr>
          <w:p>
            <w:pPr>
              <w:spacing w:after="0"/>
              <w:rPr>
                <w:sz w:val="15"/>
                <w:szCs w:val="15"/>
                <w:color w:val="auto"/>
              </w:rPr>
            </w:pP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vMerge w:val="continue"/>
          </w:tcPr>
          <w:p>
            <w:pPr>
              <w:spacing w:after="0"/>
              <w:rPr>
                <w:sz w:val="15"/>
                <w:szCs w:val="15"/>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Non-Performing Assets</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Non-Accrual Loans and Leases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Loans: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4,960</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8,805</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1,788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691</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Commercial Loans</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10,391</w:t>
            </w: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14,334</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Residential Loans:</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17,665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11,624</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10,271</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Residential Loans</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29,289</w:t>
            </w: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26,694</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19,597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Non-Accrual Loans and Leases</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39,680</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41,028</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Non-Performing Assets</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39,680</w:t>
            </w:r>
          </w:p>
        </w:tc>
        <w:tc>
          <w:tcPr>
            <w:tcW w:w="2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41,028</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Accruing Loans and Leases Past Due 90 Days or More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715</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3,620</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Accruing Loans and Leases Past Due 90 Days or More</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4,344</w:t>
            </w:r>
          </w:p>
        </w:tc>
        <w:tc>
          <w:tcPr>
            <w:tcW w:w="2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3,357</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14,440,835</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14,312,529</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14,293,036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6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128" w:right="8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Losses and Reserve for Unfunded Commitments</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 10</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7"/>
          </w:tcPr>
          <w:p>
            <w:pPr>
              <w:jc w:val="center"/>
              <w:ind w:left="668"/>
              <w:spacing w:after="0" w:line="142"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6220" w:type="dxa"/>
            <w:vAlign w:val="bottom"/>
            <w:gridSpan w:val="2"/>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9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gridSpan w:val="2"/>
            <w:vMerge w:val="continue"/>
          </w:tcPr>
          <w:p>
            <w:pPr>
              <w:spacing w:after="0"/>
              <w:rPr>
                <w:sz w:val="15"/>
                <w:szCs w:val="15"/>
                <w:color w:val="auto"/>
              </w:rPr>
            </w:pPr>
          </w:p>
        </w:tc>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Beginning of Period</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204,165</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201,466</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193,240</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and Leases Charged-Off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Loans and Leases Charged-Off</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(7,469)</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(6,664)</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(6,498)</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Recoveries on Loans and Leases Previously Charged-Off</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 Loans: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Commercial Loans</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Residential Loans: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Home equity line</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Residential Loans</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1,429</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Recoveries on Loans and Leases Previously Charged-Off</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2,569</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Loans and Leases Charged-Off</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(3,781)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5,000</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7,700</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204,265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204,165</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199,959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Components: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169,318</w:t>
            </w:r>
          </w:p>
        </w:tc>
        <w:tc>
          <w:tcPr>
            <w:tcW w:w="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168,468</w:t>
            </w:r>
          </w:p>
        </w:tc>
        <w:tc>
          <w:tcPr>
            <w:tcW w:w="4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166,612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Reserve for Unfunded Commitments</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34,947</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35,697</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33,347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Allowance for Credit Losses and Reserve for Unfunded Commitments</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204,265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204,165</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199,959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Average Loans and Leases Outstanding</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14,289,418</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14,251,470</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14,309,998</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Ratio of Net Loans and Leases Charged-Off to Average Loans and Leases Outstanding</w:t>
            </w:r>
            <w:r>
              <w:rPr>
                <w:rFonts w:ascii="Times New Roman" w:cs="Times New Roman" w:eastAsia="Times New Roman" w:hAnsi="Times New Roman"/>
                <w:sz w:val="10"/>
                <w:szCs w:val="10"/>
                <w:color w:val="auto"/>
              </w:rPr>
              <w:t>(1)</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0.14</w:t>
            </w:r>
          </w:p>
        </w:tc>
        <w:tc>
          <w:tcPr>
            <w:tcW w:w="2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0.14</w:t>
            </w:r>
          </w:p>
        </w:tc>
        <w:tc>
          <w:tcPr>
            <w:tcW w:w="220" w:type="dxa"/>
            <w:vAlign w:val="bottom"/>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0.11</w:t>
            </w:r>
          </w:p>
        </w:tc>
        <w:tc>
          <w:tcPr>
            <w:tcW w:w="220" w:type="dxa"/>
            <w:vAlign w:val="bottom"/>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6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Ratio of Allowance for Credit Losses for Loans and Leases to Loans and Leases 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1.17 %</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Allowance for Credit Losses for Loans and Leases to Non-accrual Loans and Leases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4.27x</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4.11x</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8.25x</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80" w:type="dxa"/>
            <w:vAlign w:val="bottom"/>
            <w:tcBorders>
              <w:bottom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hanging="330"/>
        <w:spacing w:after="0" w:line="236" w:lineRule="auto"/>
        <w:tabs>
          <w:tab w:leader="none" w:pos="340"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Annualized for the three months ended March 31, 2026, December 31, 2025 and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593725</wp:posOffset>
            </wp:positionV>
            <wp:extent cx="649795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128" w:right="8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3"/>
        </w:trPr>
        <w:tc>
          <w:tcPr>
            <w:tcW w:w="490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Loans and Leases by Year of Origination and Credit Quality Indicator</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Table 11</w:t>
            </w:r>
          </w:p>
        </w:tc>
        <w:tc>
          <w:tcPr>
            <w:tcW w:w="0" w:type="dxa"/>
            <w:vAlign w:val="bottom"/>
          </w:tcPr>
          <w:p>
            <w:pPr>
              <w:spacing w:after="0"/>
              <w:rPr>
                <w:sz w:val="1"/>
                <w:szCs w:val="1"/>
                <w:color w:val="auto"/>
              </w:rPr>
            </w:pPr>
          </w:p>
        </w:tc>
      </w:tr>
      <w:tr>
        <w:trPr>
          <w:trHeight w:val="117"/>
        </w:trPr>
        <w:tc>
          <w:tcPr>
            <w:tcW w:w="2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Revolving</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 Term</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1"/>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0"/>
                <w:szCs w:val="10"/>
                <w:color w:val="auto"/>
              </w:rPr>
            </w:pPr>
          </w:p>
        </w:tc>
        <w:tc>
          <w:tcPr>
            <w:tcW w:w="8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8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Commercial Lending</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39,118</w:t>
            </w:r>
          </w:p>
        </w:tc>
        <w:tc>
          <w:tcPr>
            <w:tcW w:w="60" w:type="dxa"/>
            <w:vAlign w:val="bottom"/>
          </w:tcPr>
          <w:p>
            <w:pPr>
              <w:spacing w:after="0"/>
              <w:rPr>
                <w:sz w:val="12"/>
                <w:szCs w:val="12"/>
                <w:color w:val="auto"/>
              </w:rPr>
            </w:pP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287,976</w:t>
            </w:r>
          </w:p>
        </w:tc>
        <w:tc>
          <w:tcPr>
            <w:tcW w:w="80" w:type="dxa"/>
            <w:vAlign w:val="bottom"/>
          </w:tcPr>
          <w:p>
            <w:pPr>
              <w:spacing w:after="0"/>
              <w:rPr>
                <w:sz w:val="12"/>
                <w:szCs w:val="12"/>
                <w:color w:val="auto"/>
              </w:rPr>
            </w:pP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121,084</w:t>
            </w:r>
          </w:p>
        </w:tc>
        <w:tc>
          <w:tcPr>
            <w:tcW w:w="60" w:type="dxa"/>
            <w:vAlign w:val="bottom"/>
          </w:tcPr>
          <w:p>
            <w:pPr>
              <w:spacing w:after="0"/>
              <w:rPr>
                <w:sz w:val="12"/>
                <w:szCs w:val="12"/>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59,643</w:t>
            </w:r>
          </w:p>
        </w:tc>
        <w:tc>
          <w:tcPr>
            <w:tcW w:w="60" w:type="dxa"/>
            <w:vAlign w:val="bottom"/>
          </w:tcPr>
          <w:p>
            <w:pPr>
              <w:spacing w:after="0"/>
              <w:rPr>
                <w:sz w:val="12"/>
                <w:szCs w:val="12"/>
                <w:color w:val="auto"/>
              </w:rPr>
            </w:pP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88,428</w:t>
            </w:r>
          </w:p>
        </w:tc>
        <w:tc>
          <w:tcPr>
            <w:tcW w:w="60" w:type="dxa"/>
            <w:vAlign w:val="bottom"/>
          </w:tcPr>
          <w:p>
            <w:pPr>
              <w:spacing w:after="0"/>
              <w:rPr>
                <w:sz w:val="12"/>
                <w:szCs w:val="12"/>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360,068</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1,084,181</w:t>
            </w:r>
          </w:p>
        </w:tc>
        <w:tc>
          <w:tcPr>
            <w:tcW w:w="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29,066</w:t>
            </w:r>
          </w:p>
        </w:tc>
        <w:tc>
          <w:tcPr>
            <w:tcW w:w="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2,069,564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2,733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1,690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4,439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3,164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19,234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32,253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0"/>
                <w:szCs w:val="10"/>
                <w:color w:val="auto"/>
              </w:rPr>
              <w:t>(1)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14,670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8,089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3,116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51,183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98,763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240" w:type="dxa"/>
            <w:vAlign w:val="bottom"/>
            <w:gridSpan w:val="2"/>
          </w:tcPr>
          <w:p>
            <w:pPr>
              <w:ind w:left="340"/>
              <w:spacing w:after="0" w:line="106" w:lineRule="exact"/>
              <w:rPr>
                <w:sz w:val="20"/>
                <w:szCs w:val="20"/>
                <w:color w:val="auto"/>
              </w:rPr>
            </w:pPr>
            <w:r>
              <w:rPr>
                <w:rFonts w:ascii="Times New Roman" w:cs="Times New Roman" w:eastAsia="Times New Roman" w:hAnsi="Times New Roman"/>
                <w:sz w:val="12"/>
                <w:szCs w:val="12"/>
                <w:color w:val="auto"/>
              </w:rPr>
              <w:t>Total Commercial and</w:t>
            </w: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58,687</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308,140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131,906</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65,892</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96,994</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382,176</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1,169,021</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29,066</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2,241,882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245,499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732,845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290,053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415,324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728,453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1,987,673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98,893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6,790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4,505,530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1,659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50,911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72,086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3,035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128,369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57,133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16,863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81,722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0"/>
                <w:szCs w:val="10"/>
                <w:color w:val="auto"/>
              </w:rPr>
              <w:t>(1)</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40" w:type="dxa"/>
            <w:vAlign w:val="bottom"/>
            <w:tcBorders>
              <w:top w:val="single" w:sz="8" w:color="CCEEFF"/>
            </w:tcBorders>
            <w:gridSpan w:val="2"/>
            <w:shd w:val="clear" w:color="auto" w:fill="CCEEFF"/>
          </w:tcPr>
          <w:p>
            <w:pPr>
              <w:ind w:left="340"/>
              <w:spacing w:after="0" w:line="129"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245,723</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732,845</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296,245</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417,720</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836,497</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2,076,742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103,179</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6,790</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4,715,741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4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8,033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101,880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256,657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79,748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193,998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37,280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37,491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715,087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27,979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0"/>
                <w:szCs w:val="10"/>
                <w:color w:val="auto"/>
              </w:rPr>
              <w:t>(1)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8,395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5,881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4,878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40" w:type="dxa"/>
            <w:vAlign w:val="bottom"/>
            <w:tcBorders>
              <w:bottom w:val="single" w:sz="8" w:color="CCEEFF"/>
            </w:tcBorders>
            <w:gridSpan w:val="2"/>
          </w:tcPr>
          <w:p>
            <w:pPr>
              <w:ind w:left="340"/>
              <w:spacing w:after="0" w:line="129" w:lineRule="exact"/>
              <w:rPr>
                <w:sz w:val="20"/>
                <w:szCs w:val="20"/>
                <w:color w:val="auto"/>
              </w:rPr>
            </w:pPr>
            <w:r>
              <w:rPr>
                <w:rFonts w:ascii="Times New Roman" w:cs="Times New Roman" w:eastAsia="Times New Roman" w:hAnsi="Times New Roman"/>
                <w:sz w:val="14"/>
                <w:szCs w:val="14"/>
                <w:color w:val="auto"/>
              </w:rPr>
              <w:t>Total Construction</w:t>
            </w: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9,667</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110,275</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262,538</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84,626</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224,075</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39,948</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38,173</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769,302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Lease Financing</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Risk rating: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68,176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65,980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80,294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87,568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38,834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97,878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438,730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4,072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40" w:type="dxa"/>
            <w:vAlign w:val="bottom"/>
            <w:tcBorders>
              <w:bottom w:val="single" w:sz="8" w:color="CCEEFF"/>
            </w:tcBorders>
            <w:gridSpan w:val="2"/>
          </w:tcPr>
          <w:p>
            <w:pPr>
              <w:ind w:left="340"/>
              <w:spacing w:after="0" w:line="129" w:lineRule="exact"/>
              <w:rPr>
                <w:sz w:val="20"/>
                <w:szCs w:val="20"/>
                <w:color w:val="auto"/>
              </w:rPr>
            </w:pPr>
            <w:r>
              <w:rPr>
                <w:rFonts w:ascii="Times New Roman" w:cs="Times New Roman" w:eastAsia="Times New Roman" w:hAnsi="Times New Roman"/>
                <w:sz w:val="14"/>
                <w:szCs w:val="14"/>
                <w:color w:val="auto"/>
              </w:rPr>
              <w:t>Total Lease Financing</w:t>
            </w: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68,176</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65,980</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84,366</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88,291</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39,056</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97,878</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443,747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4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Commercial Lending</w:t>
            </w:r>
          </w:p>
        </w:tc>
        <w:tc>
          <w:tcPr>
            <w:tcW w:w="180" w:type="dxa"/>
            <w:vAlign w:val="bottom"/>
            <w:tcBorders>
              <w:bottom w:val="single" w:sz="8" w:color="auto"/>
            </w:tcBorders>
            <w:shd w:val="clear" w:color="auto" w:fill="CCEEFF"/>
          </w:tcPr>
          <w:p>
            <w:pPr>
              <w:jc w:val="right"/>
              <w:ind w:right="39"/>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382,253</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39"/>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1,217,240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39"/>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775,055</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656,529</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39"/>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1,196,622</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2,596,744</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1,310,373</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35,856</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8,170,672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240" w:type="dxa"/>
            <w:vAlign w:val="bottom"/>
            <w:gridSpan w:val="2"/>
          </w:tcPr>
          <w:p>
            <w:pPr>
              <w:ind w:left="220"/>
              <w:spacing w:after="0" w:line="106" w:lineRule="exact"/>
              <w:rPr>
                <w:sz w:val="20"/>
                <w:szCs w:val="20"/>
                <w:color w:val="auto"/>
              </w:rPr>
            </w:pPr>
            <w:r>
              <w:rPr>
                <w:rFonts w:ascii="Times New Roman" w:cs="Times New Roman" w:eastAsia="Times New Roman" w:hAnsi="Times New Roman"/>
                <w:sz w:val="12"/>
                <w:szCs w:val="12"/>
                <w:color w:val="auto"/>
              </w:rPr>
              <w:t>Current period gross charge-offs</w:t>
            </w:r>
          </w:p>
        </w:tc>
        <w:tc>
          <w:tcPr>
            <w:tcW w:w="180" w:type="dxa"/>
            <w:vAlign w:val="bottom"/>
          </w:tcPr>
          <w:p>
            <w:pPr>
              <w:jc w:val="right"/>
              <w:ind w:right="39"/>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9"/>
                <w:szCs w:val="9"/>
                <w:color w:val="auto"/>
              </w:rPr>
            </w:pPr>
          </w:p>
        </w:tc>
        <w:tc>
          <w:tcPr>
            <w:tcW w:w="180" w:type="dxa"/>
            <w:vAlign w:val="bottom"/>
          </w:tcPr>
          <w:p>
            <w:pPr>
              <w:jc w:val="right"/>
              <w:ind w:right="39"/>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9"/>
                <w:szCs w:val="9"/>
                <w:color w:val="auto"/>
              </w:rPr>
            </w:pPr>
          </w:p>
        </w:tc>
        <w:tc>
          <w:tcPr>
            <w:tcW w:w="180" w:type="dxa"/>
            <w:vAlign w:val="bottom"/>
          </w:tcPr>
          <w:p>
            <w:pPr>
              <w:jc w:val="right"/>
              <w:ind w:right="39"/>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46</w:t>
            </w:r>
          </w:p>
        </w:tc>
        <w:tc>
          <w:tcPr>
            <w:tcW w:w="60" w:type="dxa"/>
            <w:vAlign w:val="bottom"/>
          </w:tcPr>
          <w:p>
            <w:pPr>
              <w:spacing w:after="0"/>
              <w:rPr>
                <w:sz w:val="9"/>
                <w:szCs w:val="9"/>
                <w:color w:val="auto"/>
              </w:rPr>
            </w:pPr>
          </w:p>
        </w:tc>
        <w:tc>
          <w:tcPr>
            <w:tcW w:w="180" w:type="dxa"/>
            <w:vAlign w:val="bottom"/>
          </w:tcPr>
          <w:p>
            <w:pPr>
              <w:jc w:val="right"/>
              <w:ind w:right="19"/>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9"/>
                <w:szCs w:val="9"/>
                <w:color w:val="auto"/>
              </w:rPr>
            </w:pPr>
          </w:p>
        </w:tc>
        <w:tc>
          <w:tcPr>
            <w:tcW w:w="180" w:type="dxa"/>
            <w:vAlign w:val="bottom"/>
          </w:tcPr>
          <w:p>
            <w:pPr>
              <w:jc w:val="right"/>
              <w:ind w:right="39"/>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10</w:t>
            </w:r>
          </w:p>
        </w:tc>
        <w:tc>
          <w:tcPr>
            <w:tcW w:w="60" w:type="dxa"/>
            <w:vAlign w:val="bottom"/>
          </w:tcPr>
          <w:p>
            <w:pPr>
              <w:spacing w:after="0"/>
              <w:rPr>
                <w:sz w:val="9"/>
                <w:szCs w:val="9"/>
                <w:color w:val="auto"/>
              </w:rPr>
            </w:pPr>
          </w:p>
        </w:tc>
        <w:tc>
          <w:tcPr>
            <w:tcW w:w="180" w:type="dxa"/>
            <w:vAlign w:val="bottom"/>
          </w:tcPr>
          <w:p>
            <w:pPr>
              <w:jc w:val="right"/>
              <w:ind w:right="19"/>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708</w:t>
            </w:r>
          </w:p>
        </w:tc>
        <w:tc>
          <w:tcPr>
            <w:tcW w:w="60" w:type="dxa"/>
            <w:vAlign w:val="bottom"/>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1,861</w:t>
            </w:r>
          </w:p>
        </w:tc>
        <w:tc>
          <w:tcPr>
            <w:tcW w:w="60" w:type="dxa"/>
            <w:vAlign w:val="bottom"/>
          </w:tcPr>
          <w:p>
            <w:pPr>
              <w:spacing w:after="0"/>
              <w:rPr>
                <w:sz w:val="9"/>
                <w:szCs w:val="9"/>
                <w:color w:val="auto"/>
              </w:rPr>
            </w:pP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9"/>
                <w:szCs w:val="9"/>
                <w:color w:val="auto"/>
              </w:rPr>
            </w:pPr>
          </w:p>
        </w:tc>
        <w:tc>
          <w:tcPr>
            <w:tcW w:w="1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2,625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9"/>
              </w:rPr>
              <w:t>(continued)</w:t>
            </w:r>
          </w:p>
        </w:tc>
        <w:tc>
          <w:tcPr>
            <w:tcW w:w="0" w:type="dxa"/>
            <w:vAlign w:val="bottom"/>
          </w:tcPr>
          <w:p>
            <w:pPr>
              <w:spacing w:after="0"/>
              <w:rPr>
                <w:sz w:val="1"/>
                <w:szCs w:val="1"/>
                <w:color w:val="auto"/>
              </w:rPr>
            </w:pPr>
          </w:p>
        </w:tc>
      </w:tr>
      <w:tr>
        <w:trPr>
          <w:trHeight w:val="543"/>
        </w:trPr>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344" w:right="8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 Term</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1"/>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 Basis by Origination Year</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(continued)</w:t>
            </w:r>
          </w:p>
        </w:tc>
        <w:tc>
          <w:tcPr>
            <w:tcW w:w="180" w:type="dxa"/>
            <w:vAlign w:val="bottom"/>
          </w:tcPr>
          <w:p>
            <w:pPr>
              <w:spacing w:after="0"/>
              <w:rPr>
                <w:sz w:val="10"/>
                <w:szCs w:val="10"/>
                <w:color w:val="auto"/>
              </w:rPr>
            </w:pPr>
          </w:p>
        </w:tc>
        <w:tc>
          <w:tcPr>
            <w:tcW w:w="6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0"/>
                <w:szCs w:val="10"/>
                <w:color w:val="auto"/>
              </w:rPr>
            </w:pPr>
          </w:p>
        </w:tc>
        <w:tc>
          <w:tcPr>
            <w:tcW w:w="8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8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60" w:type="dxa"/>
            <w:vAlign w:val="bottom"/>
          </w:tcPr>
          <w:p>
            <w:pPr>
              <w:spacing w:after="0"/>
              <w:rPr>
                <w:sz w:val="10"/>
                <w:szCs w:val="10"/>
                <w:color w:val="auto"/>
              </w:rPr>
            </w:pPr>
          </w:p>
        </w:tc>
        <w:tc>
          <w:tcPr>
            <w:tcW w:w="6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Residential Lending</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Mortgage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55,081</w:t>
            </w:r>
          </w:p>
        </w:tc>
        <w:tc>
          <w:tcPr>
            <w:tcW w:w="60" w:type="dxa"/>
            <w:vAlign w:val="bottom"/>
          </w:tcPr>
          <w:p>
            <w:pPr>
              <w:spacing w:after="0"/>
              <w:rPr>
                <w:sz w:val="12"/>
                <w:szCs w:val="12"/>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194,338</w:t>
            </w:r>
          </w:p>
        </w:tc>
        <w:tc>
          <w:tcPr>
            <w:tcW w:w="80" w:type="dxa"/>
            <w:vAlign w:val="bottom"/>
          </w:tcPr>
          <w:p>
            <w:pPr>
              <w:spacing w:after="0"/>
              <w:rPr>
                <w:sz w:val="12"/>
                <w:szCs w:val="12"/>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141,798</w:t>
            </w:r>
          </w:p>
        </w:tc>
        <w:tc>
          <w:tcPr>
            <w:tcW w:w="60" w:type="dxa"/>
            <w:vAlign w:val="bottom"/>
          </w:tcPr>
          <w:p>
            <w:pPr>
              <w:spacing w:after="0"/>
              <w:rPr>
                <w:sz w:val="12"/>
                <w:szCs w:val="12"/>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177,437</w:t>
            </w:r>
          </w:p>
        </w:tc>
        <w:tc>
          <w:tcPr>
            <w:tcW w:w="60" w:type="dxa"/>
            <w:vAlign w:val="bottom"/>
          </w:tcPr>
          <w:p>
            <w:pPr>
              <w:spacing w:after="0"/>
              <w:rPr>
                <w:sz w:val="12"/>
                <w:szCs w:val="12"/>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445,925</w:t>
            </w:r>
          </w:p>
        </w:tc>
        <w:tc>
          <w:tcPr>
            <w:tcW w:w="60" w:type="dxa"/>
            <w:vAlign w:val="bottom"/>
          </w:tcPr>
          <w:p>
            <w:pPr>
              <w:spacing w:after="0"/>
              <w:rPr>
                <w:sz w:val="12"/>
                <w:szCs w:val="12"/>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2,310,043</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3,324,622</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5,446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21,151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18,967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25,654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55,761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260,895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387,874</w:t>
            </w:r>
          </w:p>
        </w:tc>
        <w:tc>
          <w:tcPr>
            <w:tcW w:w="0" w:type="dxa"/>
            <w:vAlign w:val="bottom"/>
          </w:tcPr>
          <w:p>
            <w:pPr>
              <w:spacing w:after="0"/>
              <w:rPr>
                <w:sz w:val="1"/>
                <w:szCs w:val="1"/>
                <w:color w:val="auto"/>
              </w:rPr>
            </w:pPr>
          </w:p>
        </w:tc>
      </w:tr>
      <w:tr>
        <w:trPr>
          <w:trHeight w:val="149"/>
        </w:trPr>
        <w:tc>
          <w:tcPr>
            <w:tcW w:w="21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6,936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2,095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5,513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24,724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74,911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114,337</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3,099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24,615</w:t>
            </w: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1,960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2,980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19,722</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xml:space="preserve">No Score </w:t>
            </w:r>
            <w:r>
              <w:rPr>
                <w:rFonts w:ascii="Times New Roman" w:cs="Times New Roman" w:eastAsia="Times New Roman" w:hAnsi="Times New Roman"/>
                <w:sz w:val="10"/>
                <w:szCs w:val="10"/>
                <w:color w:val="auto"/>
              </w:rPr>
              <w:t>(3)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8,064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5,077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5,352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15,747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85,591</w:t>
            </w:r>
          </w:p>
        </w:tc>
        <w:tc>
          <w:tcPr>
            <w:tcW w:w="0" w:type="dxa"/>
            <w:vAlign w:val="bottom"/>
          </w:tcPr>
          <w:p>
            <w:pPr>
              <w:spacing w:after="0"/>
              <w:rPr>
                <w:sz w:val="1"/>
                <w:szCs w:val="1"/>
                <w:color w:val="auto"/>
              </w:rPr>
            </w:pPr>
          </w:p>
        </w:tc>
      </w:tr>
      <w:tr>
        <w:trPr>
          <w:trHeight w:val="148"/>
        </w:trPr>
        <w:tc>
          <w:tcPr>
            <w:tcW w:w="2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0"/>
                <w:szCs w:val="10"/>
                <w:color w:val="auto"/>
              </w:rPr>
              <w:t>(2)</w:t>
            </w:r>
          </w:p>
        </w:tc>
        <w:tc>
          <w:tcPr>
            <w:tcW w:w="1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2,541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7,176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11,124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13,352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44,311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107,172</w:t>
            </w:r>
          </w:p>
        </w:tc>
        <w:tc>
          <w:tcPr>
            <w:tcW w:w="0" w:type="dxa"/>
            <w:vAlign w:val="bottom"/>
          </w:tcPr>
          <w:p>
            <w:pPr>
              <w:spacing w:after="0"/>
              <w:rPr>
                <w:sz w:val="1"/>
                <w:szCs w:val="1"/>
                <w:color w:val="auto"/>
              </w:rPr>
            </w:pPr>
          </w:p>
        </w:tc>
      </w:tr>
      <w:tr>
        <w:trPr>
          <w:trHeight w:val="129"/>
        </w:trPr>
        <w:tc>
          <w:tcPr>
            <w:tcW w:w="2240" w:type="dxa"/>
            <w:vAlign w:val="bottom"/>
            <w:tcBorders>
              <w:top w:val="single" w:sz="8" w:color="CCEEFF"/>
            </w:tcBorders>
            <w:gridSpan w:val="2"/>
            <w:shd w:val="clear" w:color="auto" w:fill="CCEEFF"/>
          </w:tcPr>
          <w:p>
            <w:pPr>
              <w:ind w:left="340"/>
              <w:spacing w:after="0" w:line="129" w:lineRule="exact"/>
              <w:rPr>
                <w:sz w:val="20"/>
                <w:szCs w:val="20"/>
                <w:color w:val="auto"/>
              </w:rPr>
            </w:pPr>
            <w:r>
              <w:rPr>
                <w:rFonts w:ascii="Times New Roman" w:cs="Times New Roman" w:eastAsia="Times New Roman" w:hAnsi="Times New Roman"/>
                <w:sz w:val="14"/>
                <w:szCs w:val="14"/>
                <w:color w:val="auto"/>
              </w:rPr>
              <w:t>Total Residential Mortgage</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63,226</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250,730</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177,786</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227,151</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561,588</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2,775,025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8,427</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4,063,933</w:t>
            </w:r>
          </w:p>
        </w:tc>
        <w:tc>
          <w:tcPr>
            <w:tcW w:w="0" w:type="dxa"/>
            <w:vAlign w:val="bottom"/>
          </w:tcPr>
          <w:p>
            <w:pPr>
              <w:spacing w:after="0"/>
              <w:rPr>
                <w:sz w:val="1"/>
                <w:szCs w:val="1"/>
                <w:color w:val="auto"/>
              </w:rPr>
            </w:pPr>
          </w:p>
        </w:tc>
      </w:tr>
      <w:tr>
        <w:trPr>
          <w:trHeight w:val="128"/>
        </w:trPr>
        <w:tc>
          <w:tcPr>
            <w:tcW w:w="224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Home Equity Line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927,710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928,063</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179,282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180,835</w:t>
            </w:r>
          </w:p>
        </w:tc>
        <w:tc>
          <w:tcPr>
            <w:tcW w:w="0" w:type="dxa"/>
            <w:vAlign w:val="bottom"/>
          </w:tcPr>
          <w:p>
            <w:pPr>
              <w:spacing w:after="0"/>
              <w:rPr>
                <w:sz w:val="1"/>
                <w:szCs w:val="1"/>
                <w:color w:val="auto"/>
              </w:rPr>
            </w:pPr>
          </w:p>
        </w:tc>
      </w:tr>
      <w:tr>
        <w:trPr>
          <w:trHeight w:val="148"/>
        </w:trPr>
        <w:tc>
          <w:tcPr>
            <w:tcW w:w="21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42,052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42,459</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13,280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14,101</w:t>
            </w: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9,946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10,017</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xml:space="preserve">No Score </w:t>
            </w:r>
            <w:r>
              <w:rPr>
                <w:rFonts w:ascii="Times New Roman" w:cs="Times New Roman" w:eastAsia="Times New Roman" w:hAnsi="Times New Roman"/>
                <w:sz w:val="10"/>
                <w:szCs w:val="10"/>
                <w:color w:val="auto"/>
              </w:rPr>
              <w:t>(3)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753</w:t>
            </w:r>
          </w:p>
        </w:tc>
        <w:tc>
          <w:tcPr>
            <w:tcW w:w="0" w:type="dxa"/>
            <w:vAlign w:val="bottom"/>
          </w:tcPr>
          <w:p>
            <w:pPr>
              <w:spacing w:after="0"/>
              <w:rPr>
                <w:sz w:val="1"/>
                <w:szCs w:val="1"/>
                <w:color w:val="auto"/>
              </w:rPr>
            </w:pPr>
          </w:p>
        </w:tc>
      </w:tr>
      <w:tr>
        <w:trPr>
          <w:trHeight w:val="129"/>
        </w:trPr>
        <w:tc>
          <w:tcPr>
            <w:tcW w:w="2240" w:type="dxa"/>
            <w:vAlign w:val="bottom"/>
            <w:tcBorders>
              <w:bottom w:val="single" w:sz="8" w:color="CCEEFF"/>
            </w:tcBorders>
            <w:gridSpan w:val="2"/>
          </w:tcPr>
          <w:p>
            <w:pPr>
              <w:ind w:left="340"/>
              <w:spacing w:after="0" w:line="129" w:lineRule="exact"/>
              <w:rPr>
                <w:sz w:val="20"/>
                <w:szCs w:val="20"/>
                <w:color w:val="auto"/>
              </w:rPr>
            </w:pPr>
            <w:r>
              <w:rPr>
                <w:rFonts w:ascii="Times New Roman" w:cs="Times New Roman" w:eastAsia="Times New Roman" w:hAnsi="Times New Roman"/>
                <w:sz w:val="14"/>
                <w:szCs w:val="14"/>
                <w:color w:val="auto"/>
              </w:rPr>
              <w:t>Total Home Equity Line</w:t>
            </w:r>
          </w:p>
        </w:tc>
        <w:tc>
          <w:tcPr>
            <w:tcW w:w="1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1,173,023</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3,205</w:t>
            </w:r>
          </w:p>
        </w:tc>
        <w:tc>
          <w:tcPr>
            <w:tcW w:w="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1,176,228</w:t>
            </w:r>
          </w:p>
        </w:tc>
        <w:tc>
          <w:tcPr>
            <w:tcW w:w="0" w:type="dxa"/>
            <w:vAlign w:val="bottom"/>
          </w:tcPr>
          <w:p>
            <w:pPr>
              <w:spacing w:after="0"/>
              <w:rPr>
                <w:sz w:val="1"/>
                <w:szCs w:val="1"/>
                <w:color w:val="auto"/>
              </w:rPr>
            </w:pPr>
          </w:p>
        </w:tc>
      </w:tr>
      <w:tr>
        <w:trPr>
          <w:trHeight w:val="128"/>
        </w:trPr>
        <w:tc>
          <w:tcPr>
            <w:tcW w:w="22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4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Residential Lending</w:t>
            </w:r>
          </w:p>
        </w:tc>
        <w:tc>
          <w:tcPr>
            <w:tcW w:w="18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63,226</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250,730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177,786</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227,151</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561,588</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2,775,025</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1,181,450</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3,205</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5,240,161</w:t>
            </w:r>
          </w:p>
        </w:tc>
        <w:tc>
          <w:tcPr>
            <w:tcW w:w="0" w:type="dxa"/>
            <w:vAlign w:val="bottom"/>
          </w:tcPr>
          <w:p>
            <w:pPr>
              <w:spacing w:after="0"/>
              <w:rPr>
                <w:sz w:val="1"/>
                <w:szCs w:val="1"/>
                <w:color w:val="auto"/>
              </w:rPr>
            </w:pPr>
          </w:p>
        </w:tc>
      </w:tr>
      <w:tr>
        <w:trPr>
          <w:trHeight w:val="128"/>
        </w:trPr>
        <w:tc>
          <w:tcPr>
            <w:tcW w:w="224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Consumer Lending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FICO:</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740 and greater</w:t>
            </w:r>
          </w:p>
        </w:tc>
        <w:tc>
          <w:tcPr>
            <w:tcW w:w="1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33,204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101,067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58,946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38,378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41,556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17,925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95,475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386,642</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680 - 739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24,220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80,977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43,398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24,700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20,837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10,393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291,349</w:t>
            </w:r>
          </w:p>
        </w:tc>
        <w:tc>
          <w:tcPr>
            <w:tcW w:w="0" w:type="dxa"/>
            <w:vAlign w:val="bottom"/>
          </w:tcPr>
          <w:p>
            <w:pPr>
              <w:spacing w:after="0"/>
              <w:rPr>
                <w:sz w:val="1"/>
                <w:szCs w:val="1"/>
                <w:color w:val="auto"/>
              </w:rPr>
            </w:pPr>
          </w:p>
        </w:tc>
      </w:tr>
      <w:tr>
        <w:trPr>
          <w:trHeight w:val="148"/>
        </w:trPr>
        <w:tc>
          <w:tcPr>
            <w:tcW w:w="21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620 - 679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15,474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45,858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17,506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9,762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51,631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157,994</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550 - 619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12,576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8,565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5,877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6,434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4,201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17,550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57,199</w:t>
            </w:r>
          </w:p>
        </w:tc>
        <w:tc>
          <w:tcPr>
            <w:tcW w:w="0" w:type="dxa"/>
            <w:vAlign w:val="bottom"/>
          </w:tcPr>
          <w:p>
            <w:pPr>
              <w:spacing w:after="0"/>
              <w:rPr>
                <w:sz w:val="1"/>
                <w:szCs w:val="1"/>
                <w:color w:val="auto"/>
              </w:rPr>
            </w:pPr>
          </w:p>
        </w:tc>
      </w:tr>
      <w:tr>
        <w:trPr>
          <w:trHeight w:val="148"/>
        </w:trPr>
        <w:tc>
          <w:tcPr>
            <w:tcW w:w="22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Less than 550</w:t>
            </w:r>
          </w:p>
        </w:tc>
        <w:tc>
          <w:tcPr>
            <w:tcW w:w="1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4,779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4,993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3,216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3,499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6,156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26,160</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xml:space="preserve">No Score </w:t>
            </w:r>
            <w:r>
              <w:rPr>
                <w:rFonts w:ascii="Times New Roman" w:cs="Times New Roman" w:eastAsia="Times New Roman" w:hAnsi="Times New Roman"/>
                <w:sz w:val="10"/>
                <w:szCs w:val="10"/>
                <w:color w:val="auto"/>
              </w:rPr>
              <w:t>(3)</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35,918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39,551</w:t>
            </w:r>
          </w:p>
        </w:tc>
        <w:tc>
          <w:tcPr>
            <w:tcW w:w="0" w:type="dxa"/>
            <w:vAlign w:val="bottom"/>
          </w:tcPr>
          <w:p>
            <w:pPr>
              <w:spacing w:after="0"/>
              <w:rPr>
                <w:sz w:val="1"/>
                <w:szCs w:val="1"/>
                <w:color w:val="auto"/>
              </w:rPr>
            </w:pPr>
          </w:p>
        </w:tc>
      </w:tr>
      <w:tr>
        <w:trPr>
          <w:trHeight w:val="148"/>
        </w:trPr>
        <w:tc>
          <w:tcPr>
            <w:tcW w:w="2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0"/>
                <w:szCs w:val="10"/>
                <w:color w:val="auto"/>
              </w:rPr>
              <w:t>(2)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4,503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65,106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71,107</w:t>
            </w:r>
          </w:p>
        </w:tc>
        <w:tc>
          <w:tcPr>
            <w:tcW w:w="0" w:type="dxa"/>
            <w:vAlign w:val="bottom"/>
          </w:tcPr>
          <w:p>
            <w:pPr>
              <w:spacing w:after="0"/>
              <w:rPr>
                <w:sz w:val="1"/>
                <w:szCs w:val="1"/>
                <w:color w:val="auto"/>
              </w:rPr>
            </w:pPr>
          </w:p>
        </w:tc>
      </w:tr>
      <w:tr>
        <w:trPr>
          <w:trHeight w:val="129"/>
        </w:trPr>
        <w:tc>
          <w:tcPr>
            <w:tcW w:w="224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Total Consumer Lending</w:t>
            </w:r>
          </w:p>
        </w:tc>
        <w:tc>
          <w:tcPr>
            <w:tcW w:w="18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76,685</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250,700</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133,412</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81,964</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83,146</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42,928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358,126</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3,041</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1,030,002</w:t>
            </w:r>
          </w:p>
        </w:tc>
        <w:tc>
          <w:tcPr>
            <w:tcW w:w="0" w:type="dxa"/>
            <w:vAlign w:val="bottom"/>
          </w:tcPr>
          <w:p>
            <w:pPr>
              <w:spacing w:after="0"/>
              <w:rPr>
                <w:sz w:val="1"/>
                <w:szCs w:val="1"/>
                <w:color w:val="auto"/>
              </w:rPr>
            </w:pPr>
          </w:p>
        </w:tc>
      </w:tr>
      <w:tr>
        <w:trPr>
          <w:trHeight w:val="128"/>
        </w:trPr>
        <w:tc>
          <w:tcPr>
            <w:tcW w:w="224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680</w:t>
            </w:r>
          </w:p>
        </w:tc>
        <w:tc>
          <w:tcPr>
            <w:tcW w:w="8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778</w:t>
            </w:r>
          </w:p>
        </w:tc>
        <w:tc>
          <w:tcPr>
            <w:tcW w:w="60" w:type="dxa"/>
            <w:vAlign w:val="bottom"/>
          </w:tcPr>
          <w:p>
            <w:pPr>
              <w:spacing w:after="0"/>
              <w:rPr>
                <w:sz w:val="11"/>
                <w:szCs w:val="11"/>
                <w:color w:val="auto"/>
              </w:rPr>
            </w:pPr>
          </w:p>
        </w:tc>
        <w:tc>
          <w:tcPr>
            <w:tcW w:w="1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582</w:t>
            </w:r>
          </w:p>
        </w:tc>
        <w:tc>
          <w:tcPr>
            <w:tcW w:w="6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370</w:t>
            </w:r>
          </w:p>
        </w:tc>
        <w:tc>
          <w:tcPr>
            <w:tcW w:w="60" w:type="dxa"/>
            <w:vAlign w:val="bottom"/>
          </w:tcPr>
          <w:p>
            <w:pPr>
              <w:spacing w:after="0"/>
              <w:rPr>
                <w:sz w:val="11"/>
                <w:szCs w:val="11"/>
                <w:color w:val="auto"/>
              </w:rPr>
            </w:pPr>
          </w:p>
        </w:tc>
        <w:tc>
          <w:tcPr>
            <w:tcW w:w="18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593</w:t>
            </w:r>
          </w:p>
        </w:tc>
        <w:tc>
          <w:tcPr>
            <w:tcW w:w="6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1,645</w:t>
            </w:r>
          </w:p>
        </w:tc>
        <w:tc>
          <w:tcPr>
            <w:tcW w:w="6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196</w:t>
            </w:r>
          </w:p>
        </w:tc>
        <w:tc>
          <w:tcPr>
            <w:tcW w:w="6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4,844</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1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522,164</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1,718,670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1,086,253</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965,644</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1,841,356</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5,414,697</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2,849,949</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42,102</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14,440,835</w:t>
            </w:r>
          </w:p>
        </w:tc>
        <w:tc>
          <w:tcPr>
            <w:tcW w:w="0" w:type="dxa"/>
            <w:vAlign w:val="bottom"/>
          </w:tcPr>
          <w:p>
            <w:pPr>
              <w:spacing w:after="0"/>
              <w:rPr>
                <w:sz w:val="1"/>
                <w:szCs w:val="1"/>
                <w:color w:val="auto"/>
              </w:rPr>
            </w:pPr>
          </w:p>
        </w:tc>
      </w:tr>
      <w:tr>
        <w:trPr>
          <w:trHeight w:val="115"/>
        </w:trPr>
        <w:tc>
          <w:tcPr>
            <w:tcW w:w="2240" w:type="dxa"/>
            <w:vAlign w:val="bottom"/>
            <w:gridSpan w:val="2"/>
            <w:shd w:val="clear" w:color="auto" w:fill="CCEEFF"/>
          </w:tcPr>
          <w:p>
            <w:pPr>
              <w:ind w:left="220"/>
              <w:spacing w:after="0" w:line="116"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7"/>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37"/>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680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37"/>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824</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17"/>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582</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37"/>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380</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17"/>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1,301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3,506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196</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7,469</w:t>
            </w:r>
          </w:p>
        </w:tc>
        <w:tc>
          <w:tcPr>
            <w:tcW w:w="0" w:type="dxa"/>
            <w:vAlign w:val="bottom"/>
          </w:tcPr>
          <w:p>
            <w:pPr>
              <w:spacing w:after="0"/>
              <w:rPr>
                <w:sz w:val="1"/>
                <w:szCs w:val="1"/>
                <w:color w:val="auto"/>
              </w:rPr>
            </w:pPr>
          </w:p>
        </w:tc>
      </w:tr>
      <w:tr>
        <w:trPr>
          <w:trHeight w:val="108"/>
        </w:trPr>
        <w:tc>
          <w:tcPr>
            <w:tcW w:w="2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right="420" w:hanging="330"/>
        <w:spacing w:after="0" w:line="218" w:lineRule="auto"/>
        <w:tabs>
          <w:tab w:leader="none" w:pos="340"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Other credit quality indicators used for monitoring purposes are primarily FICO scores. The majority of the loans in this population were originated to borrowers with a prime FICO score (680 and above). As of March 31, 2026, the majority of the loans in this population were current.</w:t>
      </w:r>
    </w:p>
    <w:p>
      <w:pPr>
        <w:spacing w:after="0" w:line="88" w:lineRule="exact"/>
        <w:rPr>
          <w:rFonts w:ascii="Times New Roman" w:cs="Times New Roman" w:eastAsia="Times New Roman" w:hAnsi="Times New Roman"/>
          <w:sz w:val="26"/>
          <w:szCs w:val="26"/>
          <w:color w:val="auto"/>
          <w:vertAlign w:val="superscript"/>
        </w:rPr>
      </w:pPr>
    </w:p>
    <w:p>
      <w:pPr>
        <w:ind w:left="340" w:right="60" w:hanging="330"/>
        <w:spacing w:after="0" w:line="206" w:lineRule="auto"/>
        <w:tabs>
          <w:tab w:leader="none" w:pos="340"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Other credit quality indicators used for monitoring purposes are primarily internal risk ratings. The majority of the loans in this population were graded with a “Pass” rating. As of March 31, 2026, the majority of the loans in this population were current.</w:t>
      </w:r>
    </w:p>
    <w:p>
      <w:pPr>
        <w:spacing w:after="0" w:line="88" w:lineRule="exact"/>
        <w:rPr>
          <w:rFonts w:ascii="Times New Roman" w:cs="Times New Roman" w:eastAsia="Times New Roman" w:hAnsi="Times New Roman"/>
          <w:sz w:val="26"/>
          <w:szCs w:val="26"/>
          <w:color w:val="auto"/>
          <w:vertAlign w:val="superscript"/>
        </w:rPr>
      </w:pPr>
    </w:p>
    <w:p>
      <w:pPr>
        <w:ind w:left="340" w:right="320" w:hanging="330"/>
        <w:spacing w:after="0" w:line="206" w:lineRule="auto"/>
        <w:tabs>
          <w:tab w:leader="none" w:pos="340"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No FICO scores are primarily related to loans and leases extended to non-residents. Loans and leases of this nature are primarily secured by collateral and/or are closely monitored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687070</wp:posOffset>
            </wp:positionV>
            <wp:extent cx="649795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116" w:right="8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3"/>
        </w:trPr>
        <w:tc>
          <w:tcPr>
            <w:tcW w:w="6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GAAP to Non-GAAP Reconciliation</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Table 12</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10"/>
          </w:tcPr>
          <w:p>
            <w:pPr>
              <w:jc w:val="center"/>
              <w:ind w:left="708"/>
              <w:spacing w:after="0" w:line="142"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400" w:type="dxa"/>
            <w:vAlign w:val="bottom"/>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Statement Data:</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67,784</w:t>
            </w:r>
          </w:p>
        </w:tc>
        <w:tc>
          <w:tcPr>
            <w:tcW w:w="20" w:type="dxa"/>
            <w:vAlign w:val="bottom"/>
          </w:tcPr>
          <w:p>
            <w:pPr>
              <w:spacing w:after="0"/>
              <w:rPr>
                <w:sz w:val="12"/>
                <w:szCs w:val="12"/>
                <w:color w:val="auto"/>
              </w:rPr>
            </w:pPr>
          </w:p>
        </w:tc>
        <w:tc>
          <w:tcPr>
            <w:tcW w:w="3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69,931</w:t>
            </w:r>
          </w:p>
        </w:tc>
        <w:tc>
          <w:tcPr>
            <w:tcW w:w="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59,248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total stockholders' equity</w:t>
            </w:r>
          </w:p>
        </w:tc>
        <w:tc>
          <w:tcPr>
            <w:tcW w:w="36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2,788,826</w:t>
            </w:r>
          </w:p>
        </w:tc>
        <w:tc>
          <w:tcPr>
            <w:tcW w:w="20" w:type="dxa"/>
            <w:vAlign w:val="bottom"/>
          </w:tcPr>
          <w:p>
            <w:pPr>
              <w:spacing w:after="0"/>
              <w:rPr>
                <w:sz w:val="12"/>
                <w:szCs w:val="12"/>
                <w:color w:val="auto"/>
              </w:rPr>
            </w:pPr>
          </w:p>
        </w:tc>
        <w:tc>
          <w:tcPr>
            <w:tcW w:w="3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2,756,241</w:t>
            </w:r>
          </w:p>
        </w:tc>
        <w:tc>
          <w:tcPr>
            <w:tcW w:w="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2,641,978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Less: average goodwill</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995,492</w:t>
            </w:r>
          </w:p>
        </w:tc>
        <w:tc>
          <w:tcPr>
            <w:tcW w:w="2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995,492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995,492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Average tangible stockholders' equity</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1,793,334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1,760,749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1,646,486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total assets</w:t>
            </w:r>
          </w:p>
        </w:tc>
        <w:tc>
          <w:tcPr>
            <w:tcW w:w="36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24,083,280</w:t>
            </w:r>
          </w:p>
        </w:tc>
        <w:tc>
          <w:tcPr>
            <w:tcW w:w="20" w:type="dxa"/>
            <w:vAlign w:val="bottom"/>
          </w:tcPr>
          <w:p>
            <w:pPr>
              <w:spacing w:after="0"/>
              <w:rPr>
                <w:sz w:val="12"/>
                <w:szCs w:val="12"/>
                <w:color w:val="auto"/>
              </w:rPr>
            </w:pPr>
          </w:p>
        </w:tc>
        <w:tc>
          <w:tcPr>
            <w:tcW w:w="3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23,925,000</w:t>
            </w:r>
          </w:p>
        </w:tc>
        <w:tc>
          <w:tcPr>
            <w:tcW w:w="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23,890,459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Less: average goodwill</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995,492</w:t>
            </w:r>
          </w:p>
        </w:tc>
        <w:tc>
          <w:tcPr>
            <w:tcW w:w="2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995,492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995,492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Average tangible assets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23,087,788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22,929,508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22,894,967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Return on average total stockholders' equity</w:t>
            </w:r>
            <w:r>
              <w:rPr>
                <w:rFonts w:ascii="Times New Roman" w:cs="Times New Roman" w:eastAsia="Times New Roman" w:hAnsi="Times New Roman"/>
                <w:sz w:val="10"/>
                <w:szCs w:val="10"/>
                <w:color w:val="auto"/>
              </w:rPr>
              <w:t>(1)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9.86 %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10.07 %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9.09 %</w:t>
            </w: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Return on average tangible stockholders' equity (non-GAAP)</w:t>
            </w:r>
            <w:r>
              <w:rPr>
                <w:rFonts w:ascii="Times New Roman" w:cs="Times New Roman" w:eastAsia="Times New Roman" w:hAnsi="Times New Roman"/>
                <w:sz w:val="10"/>
                <w:szCs w:val="10"/>
                <w:color w:val="auto"/>
              </w:rPr>
              <w:t>(1)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15.33 %</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15.76 %</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14.59 %</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Return on average total assets</w:t>
            </w:r>
            <w:r>
              <w:rPr>
                <w:rFonts w:ascii="Times New Roman" w:cs="Times New Roman" w:eastAsia="Times New Roman" w:hAnsi="Times New Roman"/>
                <w:sz w:val="10"/>
                <w:szCs w:val="10"/>
                <w:color w:val="auto"/>
              </w:rPr>
              <w:t>(1)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1.14 %</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1.16 %</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1.01 %</w:t>
            </w:r>
          </w:p>
        </w:tc>
        <w:tc>
          <w:tcPr>
            <w:tcW w:w="0" w:type="dxa"/>
            <w:vAlign w:val="bottom"/>
          </w:tcPr>
          <w:p>
            <w:pPr>
              <w:spacing w:after="0"/>
              <w:rPr>
                <w:sz w:val="1"/>
                <w:szCs w:val="1"/>
                <w:color w:val="auto"/>
              </w:rPr>
            </w:pPr>
          </w:p>
        </w:tc>
      </w:tr>
      <w:tr>
        <w:trPr>
          <w:trHeight w:val="19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Return on average tangible assets (non-GAAP)</w:t>
            </w:r>
            <w:r>
              <w:rPr>
                <w:rFonts w:ascii="Times New Roman" w:cs="Times New Roman" w:eastAsia="Times New Roman" w:hAnsi="Times New Roman"/>
                <w:sz w:val="10"/>
                <w:szCs w:val="10"/>
                <w:color w:val="auto"/>
              </w:rPr>
              <w:t>(1)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1.19 %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1.21 %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1.05 %</w:t>
            </w:r>
          </w:p>
        </w:tc>
        <w:tc>
          <w:tcPr>
            <w:tcW w:w="0" w:type="dxa"/>
            <w:vAlign w:val="bottom"/>
          </w:tcPr>
          <w:p>
            <w:pPr>
              <w:spacing w:after="0"/>
              <w:rPr>
                <w:sz w:val="1"/>
                <w:szCs w:val="1"/>
                <w:color w:val="auto"/>
              </w:rPr>
            </w:pPr>
          </w:p>
        </w:tc>
      </w:tr>
      <w:tr>
        <w:trPr>
          <w:trHeight w:val="460"/>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36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gridSpan w:val="3"/>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40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36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2,767,760</w:t>
            </w:r>
          </w:p>
        </w:tc>
        <w:tc>
          <w:tcPr>
            <w:tcW w:w="20" w:type="dxa"/>
            <w:vAlign w:val="bottom"/>
          </w:tcPr>
          <w:p>
            <w:pPr>
              <w:spacing w:after="0"/>
              <w:rPr>
                <w:sz w:val="12"/>
                <w:szCs w:val="12"/>
                <w:color w:val="auto"/>
              </w:rPr>
            </w:pPr>
          </w:p>
        </w:tc>
        <w:tc>
          <w:tcPr>
            <w:tcW w:w="3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2,769,365</w:t>
            </w:r>
          </w:p>
        </w:tc>
        <w:tc>
          <w:tcPr>
            <w:tcW w:w="20" w:type="dxa"/>
            <w:vAlign w:val="bottom"/>
          </w:tcPr>
          <w:p>
            <w:pPr>
              <w:spacing w:after="0"/>
              <w:rPr>
                <w:sz w:val="12"/>
                <w:szCs w:val="12"/>
                <w:color w:val="auto"/>
              </w:rPr>
            </w:pPr>
          </w:p>
        </w:tc>
        <w:tc>
          <w:tcPr>
            <w:tcW w:w="40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2,648,852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Less: goodwill</w:t>
            </w:r>
          </w:p>
        </w:tc>
        <w:tc>
          <w:tcPr>
            <w:tcW w:w="2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995,492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995,492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995,492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Tangible stockholders' equity</w:t>
            </w:r>
          </w:p>
        </w:tc>
        <w:tc>
          <w:tcPr>
            <w:tcW w:w="220" w:type="dxa"/>
            <w:vAlign w:val="bottom"/>
          </w:tcPr>
          <w:p>
            <w:pPr>
              <w:spacing w:after="0"/>
              <w:rPr>
                <w:sz w:val="12"/>
                <w:szCs w:val="12"/>
                <w:color w:val="auto"/>
              </w:rPr>
            </w:pPr>
          </w:p>
        </w:tc>
        <w:tc>
          <w:tcPr>
            <w:tcW w:w="14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1,772,268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1,773,873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1,653,360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gridSpan w:val="3"/>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24,264,548</w:t>
            </w:r>
          </w:p>
        </w:tc>
        <w:tc>
          <w:tcPr>
            <w:tcW w:w="20" w:type="dxa"/>
            <w:vAlign w:val="bottom"/>
          </w:tcPr>
          <w:p>
            <w:pPr>
              <w:spacing w:after="0"/>
              <w:rPr>
                <w:sz w:val="12"/>
                <w:szCs w:val="12"/>
                <w:color w:val="auto"/>
              </w:rPr>
            </w:pPr>
          </w:p>
        </w:tc>
        <w:tc>
          <w:tcPr>
            <w:tcW w:w="3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23,955,252</w:t>
            </w:r>
          </w:p>
        </w:tc>
        <w:tc>
          <w:tcPr>
            <w:tcW w:w="20" w:type="dxa"/>
            <w:vAlign w:val="bottom"/>
          </w:tcPr>
          <w:p>
            <w:pPr>
              <w:spacing w:after="0"/>
              <w:rPr>
                <w:sz w:val="12"/>
                <w:szCs w:val="12"/>
                <w:color w:val="auto"/>
              </w:rPr>
            </w:pPr>
          </w:p>
        </w:tc>
        <w:tc>
          <w:tcPr>
            <w:tcW w:w="40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23,744,958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Less: goodwill</w:t>
            </w:r>
          </w:p>
        </w:tc>
        <w:tc>
          <w:tcPr>
            <w:tcW w:w="2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995,492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995,492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995,492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Tangible assets</w:t>
            </w:r>
          </w:p>
        </w:tc>
        <w:tc>
          <w:tcPr>
            <w:tcW w:w="220" w:type="dxa"/>
            <w:vAlign w:val="bottom"/>
          </w:tcPr>
          <w:p>
            <w:pPr>
              <w:spacing w:after="0"/>
              <w:rPr>
                <w:sz w:val="12"/>
                <w:szCs w:val="12"/>
                <w:color w:val="auto"/>
              </w:rPr>
            </w:pPr>
          </w:p>
        </w:tc>
        <w:tc>
          <w:tcPr>
            <w:tcW w:w="14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23,269,056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22,959,760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22,749,466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outstanding</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121,648,973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122,689,256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125,692,598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stockholders' equity to total assets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11.41 %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w:t>
            </w:r>
          </w:p>
        </w:tc>
        <w:tc>
          <w:tcPr>
            <w:tcW w:w="2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Tangible stockholders' equity to tangible assets (non-GAAP)</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7.62 %</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2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Book value per share</w:t>
            </w:r>
          </w:p>
        </w:tc>
        <w:tc>
          <w:tcPr>
            <w:tcW w:w="360" w:type="dxa"/>
            <w:vAlign w:val="bottom"/>
            <w:gridSpan w:val="3"/>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22.75</w:t>
            </w:r>
          </w:p>
        </w:tc>
        <w:tc>
          <w:tcPr>
            <w:tcW w:w="2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22.57</w:t>
            </w:r>
          </w:p>
        </w:tc>
        <w:tc>
          <w:tcPr>
            <w:tcW w:w="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Tangible book value per share (non-GAAP)</w:t>
            </w:r>
          </w:p>
        </w:tc>
        <w:tc>
          <w:tcPr>
            <w:tcW w:w="36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14.57</w:t>
            </w:r>
          </w:p>
        </w:tc>
        <w:tc>
          <w:tcPr>
            <w:tcW w:w="2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20" w:type="dxa"/>
            <w:vAlign w:val="bottom"/>
          </w:tcPr>
          <w:p>
            <w:pPr>
              <w:spacing w:after="0"/>
              <w:rPr>
                <w:sz w:val="16"/>
                <w:szCs w:val="16"/>
                <w:color w:val="auto"/>
              </w:rPr>
            </w:pPr>
          </w:p>
        </w:tc>
        <w:tc>
          <w:tcPr>
            <w:tcW w:w="4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16287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56" w:lineRule="exact"/>
        <w:rPr>
          <w:sz w:val="20"/>
          <w:szCs w:val="20"/>
          <w:color w:val="auto"/>
        </w:rPr>
      </w:pPr>
    </w:p>
    <w:p>
      <w:pPr>
        <w:ind w:left="340" w:hanging="330"/>
        <w:spacing w:after="0"/>
        <w:tabs>
          <w:tab w:leader="none" w:pos="34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Annualized for the three months ended March 31, 2026, December 31, 2025 and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344170</wp:posOffset>
            </wp:positionV>
            <wp:extent cx="649795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sectPr>
      <w:pgSz w:w="11900" w:h="16838" w:orient="portrait"/>
      <w:cols w:equalWidth="0" w:num="1">
        <w:col w:w="10220"/>
      </w:cols>
      <w:pgMar w:left="820" w:top="12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04"/>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2026-04-24T07:05:37Z</dcterms:created>
  <dcterms:modified xsi:type="dcterms:W3CDTF">2026-04-24T07:05:37Z</dcterms:modified>
</cp:coreProperties>
</file>