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20283d8_425.htm"/>
      <w:bookmarkStart w:id="1" w:name="kstm2620283d8_425"/>
      <w:bookmarkEnd w:id="0"/>
      <w:bookmarkEnd w:id="1"/>
      <w:r>
        <w:rPr>
          <w:rFonts w:ascii="Times New Roman;Times;Serif" w:hAnsi="Times New Roman;Times;Serif"/>
          <w:b w:val="false"/>
          <w:i w:val="false"/>
          <w:caps w:val="false"/>
          <w:smallCaps w:val="false"/>
          <w:sz w:val="20"/>
        </w:rPr>
        <w:t>Filed by: First Hawaiian,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TriCo Bancshares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000-10661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filing relates to the proposed transaction between First Hawaiian, Inc. (“FHI”) and TriCo Bancshares (“TriCo”) pursuant to the Agreement and Plan of Reorganization and Merger, dated as of July 12, 2026, by and among FHI, TriCo and Horizon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email was sent by Robert Harrison, Chairman, President &amp; Chief Executive Officer of First Hawaiian Bank, to employees of First Hawaiian Bank on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 FHB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announced our Second Quarter 2026 financial results, delivering another strong quarter for First Hawaiian with net income of $73.4 million. Our results reflect disciplined execution across the bank, including continued loan growth, higher net interest margin, and ongoing optimization of our deposit mix by reducing our reliance on public time deposits. Most importantly, they reflect the trust our customers place in us and the outstanding work each of you does every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you're serving customers in our branches, supporting operations behind the scenes, growing relationships, managing risk, or helping your colleagues succeed, your commitment continues to strengthen our bank and position us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that backdrop, our key financial results as of June 30, 2026, compared to March 31, 2026,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Total Assets: $23.6 billion, down 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Deposits: $20.2 billion, down 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Loans and Leases: $14.6 billion, increase of 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Net Interest Margin: 3.25%, increase of 6 basis points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Net Income: $73.4 million, up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June 30, 2025, our performance was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Total Assets: Decrease of 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Deposits: Decrease of 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Loans and Leases: Increase of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recently announced an exciting milestone for First Hawaiian Bank: our pending acquisition of Tri Counties Bank. When completed, the transaction will expand our presence into California while reinforcing our position as the clear market leader in Hawaii and creating the sixth-largest bank headquartered in the western United States. It brings together two organizations with shared values and a common commitment to serving customers and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acquisition will represent an exciting new chapter for our company, our priorities remain unchanged. We must continue executing at a high level by growing relationships, attracting deposits, responsibly growing loans, delivering exceptional service, and supporting one another. Staying focused on our priorities will position us well as we move through the regulatory and stockholder approval process and begin planning for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you will have opportunities to support integration planning over the coming months. As we've shared previously, those efforts will be coordinated through the Integration Management Office to ensure we remain aligned throughout the process. Until then, our focus should remain on continuing to serve our customers and communities with the excellence they expect from First Hawaiian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everything you've done to make this another successful quarter. I appreciate your continued commitment to our customers, our communities, and one another. I look forward to what we'll accomplish in the months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Mahalo,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the parties’ ability to attract and retain customer deposits,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2411</Words>
  <Characters>13674</Characters>
  <CharactersWithSpaces>16086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