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fhb-20261023x8k.htm"/>
      <w:bookmarkStart w:id="1" w:name="ksfhb20261023x8k"/>
      <w:bookmarkEnd w:id="0"/>
      <w:bookmarkEnd w:id="1"/>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bookmarkStart w:id="2" w:name="_d8faf3f5_ec1f_4ba7_811b_144488c044a8"/>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October 23, 2026</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FIRST HAWAIIAN,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TkBu2eBzdk6AZB4DtP1ySw_2_0"/>
      <w:bookmarkStart w:id="4" w:name="_aee77ee9_dafa_46d3_b28d_951ddef283c3"/>
      <w:bookmarkStart w:id="5" w:name="Tc_TkBu2eBzdk6AZB4DtP1ySw_2_0"/>
      <w:bookmarkStart w:id="6" w:name="_aee77ee9_dafa_46d3_b28d_951ddef283c3"/>
      <w:bookmarkEnd w:id="5"/>
      <w:bookmarkEnd w:id="6"/>
    </w:p>
    <w:tbl>
      <w:tblPr>
        <w:tblW w:w="3455" w:type="dxa"/>
        <w:jc w:val="left"/>
        <w:tblInd w:w="0" w:type="dxa"/>
        <w:tblLayout w:type="fixed"/>
        <w:tblCellMar>
          <w:top w:w="0" w:type="dxa"/>
          <w:left w:w="0" w:type="dxa"/>
          <w:bottom w:w="0" w:type="dxa"/>
          <w:right w:w="0" w:type="dxa"/>
        </w:tblCellMar>
      </w:tblPr>
      <w:tblGrid>
        <w:gridCol w:w="3301"/>
        <w:gridCol w:w="154"/>
      </w:tblGrid>
      <w:tr>
        <w:trPr/>
        <w:tc>
          <w:tcPr>
            <w:tcW w:w="330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7790" cy="175260"/>
                      <wp:effectExtent l="0" t="0" r="0" b="0"/>
                      <wp:wrapNone/>
                      <wp:docPr id="1" name="Frame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nDHjpxw7v0K_HyKO__vRXg_2_2"/>
      <w:bookmarkStart w:id="8" w:name="Tc_bgCRs0Kof0SavLvu5ZPV2w_2_0"/>
      <w:bookmarkStart w:id="9" w:name="_88523b24_2e6f_4540_b105_78119031669a"/>
      <w:bookmarkStart w:id="10" w:name="Tc_nDHjpxw7v0K_HyKO__vRXg_2_2"/>
      <w:bookmarkStart w:id="11" w:name="Tc_bgCRs0Kof0SavLvu5ZPV2w_2_0"/>
      <w:bookmarkStart w:id="12" w:name="_88523b24_2e6f_4540_b105_78119031669a"/>
      <w:bookmarkEnd w:id="10"/>
      <w:bookmarkEnd w:id="11"/>
      <w:bookmarkEnd w:id="12"/>
    </w:p>
    <w:tbl>
      <w:tblPr>
        <w:tblW w:w="4776" w:type="dxa"/>
        <w:jc w:val="left"/>
        <w:tblInd w:w="0" w:type="dxa"/>
        <w:tblLayout w:type="fixed"/>
        <w:tblCellMar>
          <w:top w:w="0" w:type="dxa"/>
          <w:left w:w="0" w:type="dxa"/>
          <w:bottom w:w="0" w:type="dxa"/>
          <w:right w:w="0" w:type="dxa"/>
        </w:tblCellMar>
      </w:tblPr>
      <w:tblGrid>
        <w:gridCol w:w="2086"/>
        <w:gridCol w:w="109"/>
        <w:gridCol w:w="2581"/>
      </w:tblGrid>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1"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001-14585</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99-0156159</w:t>
            </w:r>
          </w:p>
        </w:tc>
      </w:tr>
      <w:tr>
        <w:trPr/>
        <w:tc>
          <w:tcPr>
            <w:tcW w:w="20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 w:name="Tc__6NozbZkf0OaJ1mPCIwUmQ_3_2"/>
      <w:bookmarkStart w:id="14" w:name="Tc_Rr-ENtIlFEK_xPv4kNV6tw_3_0"/>
      <w:bookmarkStart w:id="15" w:name="Tc_k023fHkBF02LpNWajfOhbg_2_0"/>
      <w:bookmarkStart w:id="16" w:name="Tc_CfMnODXuGkSeh96_VKq75A_1_0"/>
      <w:bookmarkStart w:id="17" w:name="_d9680f8d_8da4_40ff_a3b5_0b0bf0e1fd86"/>
      <w:bookmarkStart w:id="18" w:name="Tc__6NozbZkf0OaJ1mPCIwUmQ_3_2"/>
      <w:bookmarkStart w:id="19" w:name="Tc_Rr-ENtIlFEK_xPv4kNV6tw_3_0"/>
      <w:bookmarkStart w:id="20" w:name="Tc_k023fHkBF02LpNWajfOhbg_2_0"/>
      <w:bookmarkStart w:id="21" w:name="Tc_CfMnODXuGkSeh96_VKq75A_1_0"/>
      <w:bookmarkStart w:id="22" w:name="_d9680f8d_8da4_40ff_a3b5_0b0bf0e1fd86"/>
      <w:bookmarkEnd w:id="18"/>
      <w:bookmarkEnd w:id="19"/>
      <w:bookmarkEnd w:id="20"/>
      <w:bookmarkEnd w:id="21"/>
      <w:bookmarkEnd w:id="22"/>
    </w:p>
    <w:tbl>
      <w:tblPr>
        <w:tblW w:w="4056" w:type="dxa"/>
        <w:jc w:val="left"/>
        <w:tblInd w:w="0" w:type="dxa"/>
        <w:tblLayout w:type="fixed"/>
        <w:tblCellMar>
          <w:top w:w="0" w:type="dxa"/>
          <w:left w:w="0" w:type="dxa"/>
          <w:bottom w:w="0" w:type="dxa"/>
          <w:right w:w="0" w:type="dxa"/>
        </w:tblCellMar>
      </w:tblPr>
      <w:tblGrid>
        <w:gridCol w:w="3016"/>
        <w:gridCol w:w="109"/>
        <w:gridCol w:w="931"/>
      </w:tblGrid>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999 Bishop St., 29th Floor</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Honolulu, Hawaii</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96813</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(808) 525-7000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0"/>
        <w:ind w:left="0" w:right="0" w:firstLine="345"/>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   </w:t>
      </w:r>
      <w:r>
        <w:rPr>
          <w:rFonts w:ascii="Times New Roman;Times;serif" w:hAnsi="Times New Roman;Times;serif"/>
          <w:sz w:val="18"/>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   </w:t>
      </w:r>
      <w:r>
        <w:rPr>
          <w:rFonts w:ascii="Times New Roman;Times;serif" w:hAnsi="Times New Roman;Times;serif"/>
          <w:sz w:val="18"/>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   </w:t>
      </w:r>
      <w:r>
        <w:rPr>
          <w:rFonts w:ascii="Times New Roman;Times;serif" w:hAnsi="Times New Roman;Times;serif"/>
          <w:sz w:val="18"/>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   </w:t>
      </w:r>
      <w:r>
        <w:rPr>
          <w:rFonts w:ascii="Times New Roman;Times;serif" w:hAnsi="Times New Roman;Times;serif"/>
          <w:sz w:val="18"/>
        </w:rPr>
        <w:t>Pre-commencement communications pursuant to Rule 13e-4(c) under the Exchange Act (17 CFR 240.13e-4(c))</w:t>
      </w:r>
    </w:p>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bfAdHG9Nj0WDC4g1-0vClw_1_2"/>
      <w:bookmarkStart w:id="24" w:name="Tc_DFpAbwjOVE680tdHwYi4jg_1_0"/>
      <w:bookmarkStart w:id="25" w:name="Tc_zwIIE6JDikaCmMpI0cmHKg_0_2"/>
      <w:bookmarkStart w:id="26" w:name="Tc_2STHE4B15E-6ke0UGGMJhQ_0_1"/>
      <w:bookmarkStart w:id="27" w:name="Tc_Z68LHYZKak6DcmbVQ4-Evw_0_0"/>
      <w:bookmarkStart w:id="28" w:name="_d75cd6b8_b6af_4cbe_8e55_e5342e7b7c60"/>
      <w:bookmarkStart w:id="29" w:name="Tc_bfAdHG9Nj0WDC4g1-0vClw_1_2"/>
      <w:bookmarkStart w:id="30" w:name="Tc_DFpAbwjOVE680tdHwYi4jg_1_0"/>
      <w:bookmarkStart w:id="31" w:name="Tc_zwIIE6JDikaCmMpI0cmHKg_0_2"/>
      <w:bookmarkStart w:id="32" w:name="Tc_2STHE4B15E-6ke0UGGMJhQ_0_1"/>
      <w:bookmarkStart w:id="33" w:name="Tc_Z68LHYZKak6DcmbVQ4-Evw_0_0"/>
      <w:bookmarkStart w:id="34" w:name="_d75cd6b8_b6af_4cbe_8e55_e5342e7b7c60"/>
      <w:bookmarkEnd w:id="29"/>
      <w:bookmarkEnd w:id="30"/>
      <w:bookmarkEnd w:id="31"/>
      <w:bookmarkEnd w:id="32"/>
      <w:bookmarkEnd w:id="33"/>
      <w:bookmarkEnd w:id="34"/>
    </w:p>
    <w:tbl>
      <w:tblPr>
        <w:tblW w:w="8208" w:type="dxa"/>
        <w:jc w:val="left"/>
        <w:tblInd w:w="0" w:type="dxa"/>
        <w:tblLayout w:type="fixed"/>
        <w:tblCellMar>
          <w:top w:w="0" w:type="dxa"/>
          <w:left w:w="0" w:type="dxa"/>
          <w:bottom w:w="0" w:type="dxa"/>
          <w:right w:w="0" w:type="dxa"/>
        </w:tblCellMar>
      </w:tblPr>
      <w:tblGrid>
        <w:gridCol w:w="3106"/>
        <w:gridCol w:w="1561"/>
        <w:gridCol w:w="3541"/>
      </w:tblGrid>
      <w:tr>
        <w:trPr/>
        <w:tc>
          <w:tcPr>
            <w:tcW w:w="3106" w:type="dxa"/>
            <w:tcBorders/>
            <w:vAlign w:val="center"/>
          </w:tcPr>
          <w:p>
            <w:pPr>
              <w:pStyle w:val="TableContents"/>
              <w:bidi w:val="0"/>
              <w:spacing w:lineRule="auto" w:line="328"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vAlign w:val="center"/>
          </w:tcPr>
          <w:p>
            <w:pPr>
              <w:pStyle w:val="TableContents"/>
              <w:bidi w:val="0"/>
              <w:spacing w:lineRule="auto" w:line="328"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541" w:type="dxa"/>
            <w:tcBorders/>
            <w:vAlign w:val="center"/>
          </w:tcPr>
          <w:p>
            <w:pPr>
              <w:pStyle w:val="TableContents"/>
              <w:bidi w:val="0"/>
              <w:spacing w:lineRule="auto" w:line="328"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06" w:type="dxa"/>
            <w:tcBorders/>
            <w:vAlign w:val="center"/>
          </w:tcPr>
          <w:p>
            <w:pPr>
              <w:pStyle w:val="TableContents"/>
              <w:bidi w:val="0"/>
              <w:spacing w:lineRule="auto" w:line="328"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$0.01 per share</w:t>
            </w:r>
          </w:p>
        </w:tc>
        <w:tc>
          <w:tcPr>
            <w:tcW w:w="1561" w:type="dxa"/>
            <w:tcBorders/>
            <w:vAlign w:val="center"/>
          </w:tcPr>
          <w:p>
            <w:pPr>
              <w:pStyle w:val="TableContents"/>
              <w:bidi w:val="0"/>
              <w:spacing w:lineRule="auto" w:line="328" w:before="0" w:after="0"/>
              <w:ind w:left="0" w:right="0" w:hanging="0"/>
              <w:jc w:val="center"/>
              <w:rPr>
                <w:rFonts w:ascii="Times New Roman;Times;serif" w:hAnsi="Times New Roman;Times;serif"/>
                <w:sz w:val="18"/>
              </w:rPr>
            </w:pPr>
            <w:r>
              <w:rPr>
                <w:rFonts w:ascii="Times New Roman;Times;serif" w:hAnsi="Times New Roman;Times;serif"/>
                <w:sz w:val="18"/>
              </w:rPr>
              <w:t>FHB</w:t>
            </w:r>
          </w:p>
        </w:tc>
        <w:tc>
          <w:tcPr>
            <w:tcW w:w="354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Global Select Market</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35" w:name="_75dd7d71_59d8_46e3_ab72_c471e0ff99db"/>
      <w:bookmarkEnd w:id="35"/>
      <w:r>
        <w:rPr>
          <w:rFonts w:ascii="Times New Roman;Times;serif" w:hAnsi="Times New Roman;Times;serif"/>
          <w:b/>
          <w:sz w:val="20"/>
        </w:rPr>
        <w:t>Item 2.02 Results of Operations and Financial Condition.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October 23, 2026, First Hawaiian, Inc. (together with its consolidated subsidiary, “First Hawaiian”) reported its earnings for the quarter ended September 30, 2026. A copy of First Hawaiian’s press release containing this information is being furnished as Exhibit 99.1 to this Current Report on Form 8-K and is incorporated herein by reference.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All information provided in this Current Report on Form 8-K, including Exhibit 99.1, shall not be deemed to be “filed” for purposes of Section 18 of the Securities Exchange Act of 1934, as amended (the “Exchange Act”), or otherwise subject to the liabilities under that Section, and shall not be deemed to be incorporated by reference into any filing of First Hawaiian under the Securities Act of 1933, as amended, or the Exchange Act except as expressly set forth by specific reference in such a filing.</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36" w:name="_73a53e10_f9f9_40b9_abd0_7c1c4b6c7f34"/>
      <w:bookmarkEnd w:id="36"/>
      <w:r>
        <w:rPr>
          <w:rFonts w:ascii="Times New Roman;Times;serif" w:hAnsi="Times New Roman;Times;serif"/>
          <w:b/>
          <w:sz w:val="20"/>
        </w:rPr>
        <w:t>Item 9.01 Financial Statements and Exhibits.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175260"/>
                      <wp:effectExtent l="0" t="0" r="0" b="0"/>
                      <wp:wrapNone/>
                      <wp:docPr id="4" name="Frame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7790" cy="175260"/>
                      <wp:effectExtent l="0" t="0" r="0" b="0"/>
                      <wp:wrapNone/>
                      <wp:docPr id="6" name="Frame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20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946"/>
        <w:gridCol w:w="109"/>
        <w:gridCol w:w="9150"/>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00710" cy="175260"/>
                      <wp:effectExtent l="0" t="0" r="0" b="0"/>
                      <wp:wrapNone/>
                      <wp:docPr id="7" name="Frame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8" name="Frame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810250" cy="175260"/>
                      <wp:effectExtent l="0" t="0" r="0" b="0"/>
                      <wp:wrapNone/>
                      <wp:docPr id="9" name="Frame9"/>
                      <a:graphic xmlns:a="http://schemas.openxmlformats.org/drawingml/2006/main">
                        <a:graphicData uri="http://schemas.microsoft.com/office/word/2010/wordprocessingShape">
                          <wps:wsp>
                            <wps:cNvSpPr txBox="1"/>
                            <wps:spPr>
                              <a:xfrm>
                                <a:off x="0" y="0"/>
                                <a:ext cx="581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1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50"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0"/>
              <w:ind w:left="0" w:right="0" w:hanging="0"/>
              <w:jc w:val="left"/>
              <w:rPr/>
            </w:pPr>
            <w:r>
              <w:rPr/>
              <w:t>​</w:t>
            </w:r>
          </w:p>
        </w:tc>
        <w:tc>
          <w:tcPr>
            <w:tcW w:w="9150" w:type="dxa"/>
            <w:tcBorders/>
            <w:vAlign w:val="center"/>
          </w:tcPr>
          <w:p>
            <w:pPr>
              <w:pStyle w:val="TableContents"/>
              <w:bidi w:val="0"/>
              <w:spacing w:before="0" w:after="0"/>
              <w:ind w:left="0" w:right="0" w:hanging="0"/>
              <w:jc w:val="left"/>
              <w:rPr/>
            </w:pPr>
            <w:hyperlink w:anchor="fhb-ex99d1.htm">
              <w:r>
                <w:rPr>
                  <w:rStyle w:val="InternetLink"/>
                  <w:rFonts w:ascii="Times New Roman;Times;serif" w:hAnsi="Times New Roman;Times;serif"/>
                  <w:b w:val="false"/>
                  <w:i w:val="false"/>
                  <w:caps w:val="false"/>
                  <w:smallCaps w:val="false"/>
                  <w:sz w:val="20"/>
                </w:rPr>
                <w:t>Press release of First Hawaiian, Inc. dated October 23, 2026 containing financial information for its quarter ended September 30, 2026.</w:t>
              </w:r>
            </w:hyperlink>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50"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00"/>
        <w:ind w:left="0" w:right="0" w:hanging="0"/>
        <w:jc w:val="center"/>
        <w:rPr>
          <w:rFonts w:ascii="Times New Roman;Times;serif" w:hAnsi="Times New Roman;Times;serif"/>
          <w:b/>
          <w:sz w:val="20"/>
        </w:rPr>
      </w:pPr>
      <w:bookmarkStart w:id="37" w:name="_74a90d41_be55_4bda_b638_c249f4c1b41e"/>
      <w:bookmarkEnd w:id="37"/>
      <w:r>
        <w:rPr>
          <w:rFonts w:ascii="Times New Roman;Times;serif" w:hAnsi="Times New Roman;Times;serif"/>
          <w:b/>
          <w:sz w:val="20"/>
        </w:rPr>
        <w:t>SIGNATURE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7563" w:type="dxa"/>
        <w:jc w:val="left"/>
        <w:tblInd w:w="0" w:type="dxa"/>
        <w:tblLayout w:type="fixed"/>
        <w:tblCellMar>
          <w:top w:w="0" w:type="dxa"/>
          <w:left w:w="0" w:type="dxa"/>
          <w:bottom w:w="0" w:type="dxa"/>
          <w:right w:w="0" w:type="dxa"/>
        </w:tblCellMar>
      </w:tblPr>
      <w:tblGrid>
        <w:gridCol w:w="2011"/>
        <w:gridCol w:w="406"/>
        <w:gridCol w:w="5146"/>
      </w:tblGrid>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Pril </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555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FIRST HAWAIIAN, INC.</w:t>
            </w:r>
          </w:p>
        </w:tc>
      </w:tr>
      <w:tr>
        <w:trPr/>
        <w:tc>
          <w:tcPr>
            <w:tcW w:w="20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23,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S. Harrison</w:t>
            </w:r>
          </w:p>
        </w:tc>
      </w:tr>
      <w:tr>
        <w:trPr/>
        <w:tc>
          <w:tcPr>
            <w:tcW w:w="20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S. Harrison</w:t>
            </w:r>
          </w:p>
        </w:tc>
      </w:tr>
      <w:tr>
        <w:trPr/>
        <w:tc>
          <w:tcPr>
            <w:tcW w:w="20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President and Chief Executive Officer</w:t>
            </w:r>
          </w:p>
        </w:tc>
      </w:tr>
      <w:tr>
        <w:trPr/>
        <w:tc>
          <w:tcPr>
            <w:tcW w:w="20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200"/>
        <w:ind w:left="0" w:right="0" w:hanging="0"/>
        <w:jc w:val="right"/>
        <w:rPr>
          <w:rFonts w:ascii="Times New Roman;Times;serif" w:hAnsi="Times New Roman;Times;serif"/>
          <w:b/>
          <w:sz w:val="20"/>
        </w:rPr>
      </w:pPr>
      <w:bookmarkStart w:id="38" w:name="fhb-ex99d1.htm"/>
      <w:bookmarkStart w:id="39" w:name="ksfhbex99d1"/>
      <w:bookmarkEnd w:id="38"/>
      <w:bookmarkEnd w:id="39"/>
      <w:r>
        <w:rPr>
          <w:rFonts w:ascii="Times New Roman;Times;serif" w:hAnsi="Times New Roman;Times;serif"/>
          <w:b/>
          <w:sz w:val="20"/>
        </w:rPr>
        <w:t>EXHIBIT 99.1</w:t>
      </w:r>
      <w:r>
        <w:br w:type="page"/>
      </w:r>
    </w:p>
    <w:p>
      <w:pPr>
        <w:pStyle w:val="TextBody"/>
        <w:bidi w:val="0"/>
        <w:spacing w:before="0" w:after="0"/>
        <w:ind w:left="0" w:right="0" w:hanging="0"/>
        <w:jc w:val="left"/>
        <w:rPr/>
      </w:pPr>
      <w:r>
        <w:rPr/>
        <w:t>​</w:t>
      </w:r>
    </w:p>
    <w:p>
      <w:pPr>
        <w:pStyle w:val="TextBody"/>
        <w:bidi w:val="0"/>
        <w:spacing w:lineRule="atLeast" w:line="224" w:before="480" w:after="0"/>
        <w:ind w:left="72" w:right="0" w:hanging="0"/>
        <w:jc w:val="center"/>
        <w:rPr/>
      </w:pPr>
      <w:r>
        <w:rPr/>
        <w:drawing>
          <wp:inline distT="0" distB="0" distL="0" distR="0">
            <wp:extent cx="2495550" cy="3524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2495550" cy="352425"/>
                    </a:xfrm>
                    <a:prstGeom prst="rect">
                      <a:avLst/>
                    </a:prstGeom>
                  </pic:spPr>
                </pic:pic>
              </a:graphicData>
            </a:graphic>
          </wp:inline>
        </w:drawing>
      </w:r>
    </w:p>
    <w:p>
      <w:pPr>
        <w:pStyle w:val="TextBody"/>
        <w:bidi w:val="0"/>
        <w:spacing w:before="0" w:after="20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lineRule="auto" w:line="285" w:before="0" w:after="180"/>
        <w:ind w:left="0" w:right="0" w:hanging="0"/>
        <w:jc w:val="center"/>
        <w:rPr>
          <w:rFonts w:ascii="Times New Roman;Times;serif" w:hAnsi="Times New Roman;Times;serif"/>
          <w:b/>
          <w:sz w:val="20"/>
        </w:rPr>
      </w:pPr>
      <w:r>
        <w:rPr>
          <w:rFonts w:ascii="Times New Roman;Times;serif" w:hAnsi="Times New Roman;Times;serif"/>
          <w:b/>
          <w:sz w:val="20"/>
        </w:rPr>
        <w:t>First Hawaiian, Inc. Reports Third Quarter 2026 Financial Results and Declares Dividend</w:t>
      </w:r>
    </w:p>
    <w:p>
      <w:pPr>
        <w:pStyle w:val="TextBody"/>
        <w:bidi w:val="0"/>
        <w:spacing w:before="158" w:after="0"/>
        <w:ind w:left="72" w:right="72" w:hanging="0"/>
        <w:jc w:val="both"/>
        <w:rPr>
          <w:rFonts w:ascii="Times New Roman;Times;serif" w:hAnsi="Times New Roman;Times;serif"/>
          <w:sz w:val="20"/>
        </w:rPr>
      </w:pPr>
      <w:r>
        <w:rPr>
          <w:rFonts w:ascii="Times New Roman;Times;serif" w:hAnsi="Times New Roman;Times;serif"/>
          <w:sz w:val="20"/>
        </w:rPr>
        <w:t>HONOLULU, Hawaii October 23, 2026--(Globe Newswire)--First Hawaiian, Inc. (NASDAQ:FHB), (“First Hawaiian” or the “Company”) today reported financial results for its quarter ended September 30, 2026.</w:t>
      </w:r>
    </w:p>
    <w:p>
      <w:pPr>
        <w:pStyle w:val="TextBody"/>
        <w:bidi w:val="0"/>
        <w:spacing w:before="158" w:after="0"/>
        <w:ind w:left="72" w:right="72" w:hanging="0"/>
        <w:jc w:val="both"/>
        <w:rPr/>
      </w:pPr>
      <w:bookmarkStart w:id="40" w:name="_Hlk37925713"/>
      <w:bookmarkEnd w:id="40"/>
      <w:r>
        <w:rPr/>
        <w:t>“</w:t>
      </w:r>
      <w:r>
        <w:rPr>
          <w:rFonts w:ascii="Times New Roman;Times;serif" w:hAnsi="Times New Roman;Times;serif"/>
          <w:sz w:val="20"/>
        </w:rPr>
        <w:t>I’m pleased with the solid earnings we delivered this quarter and the continued trust our customers place in us,” said Bob Harrison, Chairman, President and Chief Executive Officer. “Our deposit growth in a competitive market reflects the strength of those relationships, and our balance sheet is well positioned to benefit from rising interest rates. As we prepare for the Tri Counties Bank acquisition, we’re focused on building on that foundation and the growth opportunities ahead.”</w:t>
      </w:r>
    </w:p>
    <w:p>
      <w:pPr>
        <w:pStyle w:val="TextBody"/>
        <w:bidi w:val="0"/>
        <w:spacing w:before="158" w:after="0"/>
        <w:ind w:left="72" w:right="72" w:hanging="0"/>
        <w:jc w:val="both"/>
        <w:rPr>
          <w:rFonts w:ascii="Times New Roman;Times;serif" w:hAnsi="Times New Roman;Times;serif"/>
          <w:sz w:val="20"/>
        </w:rPr>
      </w:pPr>
      <w:r>
        <w:rPr>
          <w:rFonts w:ascii="Times New Roman;Times;serif" w:hAnsi="Times New Roman;Times;serif"/>
          <w:sz w:val="20"/>
        </w:rPr>
        <w:t>On October 21, 2026, the Company’s Board of Directors declared a quarterly cash dividend of $0.26 per share. The dividend will be payable on November 27, 2026, to stockholders of record at the close of business on November 16,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Third Quarter 2026 Highlights:</w:t>
      </w:r>
    </w:p>
    <w:tbl>
      <w:tblPr>
        <w:tblW w:w="4668" w:type="dxa"/>
        <w:jc w:val="left"/>
        <w:tblInd w:w="0" w:type="dxa"/>
        <w:tblLayout w:type="fixed"/>
        <w:tblCellMar>
          <w:top w:w="0" w:type="dxa"/>
          <w:left w:w="0" w:type="dxa"/>
          <w:bottom w:w="0" w:type="dxa"/>
          <w:right w:w="0" w:type="dxa"/>
        </w:tblCellMar>
      </w:tblPr>
      <w:tblGrid>
        <w:gridCol w:w="23"/>
        <w:gridCol w:w="170"/>
        <w:gridCol w:w="44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of $63.7 million, or $0.52 per diluted share</w:t>
            </w:r>
          </w:p>
        </w:tc>
      </w:tr>
    </w:tbl>
    <w:tbl>
      <w:tblPr>
        <w:tblW w:w="5418" w:type="dxa"/>
        <w:jc w:val="left"/>
        <w:tblInd w:w="0" w:type="dxa"/>
        <w:tblLayout w:type="fixed"/>
        <w:tblCellMar>
          <w:top w:w="0" w:type="dxa"/>
          <w:left w:w="0" w:type="dxa"/>
          <w:bottom w:w="0" w:type="dxa"/>
          <w:right w:w="0" w:type="dxa"/>
        </w:tblCellMar>
      </w:tblPr>
      <w:tblGrid>
        <w:gridCol w:w="23"/>
        <w:gridCol w:w="170"/>
        <w:gridCol w:w="5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loans and leases decreased $115.1 million to $14.5 billion</w:t>
            </w:r>
          </w:p>
        </w:tc>
      </w:tr>
    </w:tbl>
    <w:tbl>
      <w:tblPr>
        <w:tblW w:w="4653" w:type="dxa"/>
        <w:jc w:val="left"/>
        <w:tblInd w:w="0" w:type="dxa"/>
        <w:tblLayout w:type="fixed"/>
        <w:tblCellMar>
          <w:top w:w="0" w:type="dxa"/>
          <w:left w:w="0" w:type="dxa"/>
          <w:bottom w:w="0" w:type="dxa"/>
          <w:right w:w="0" w:type="dxa"/>
        </w:tblCellMar>
      </w:tblPr>
      <w:tblGrid>
        <w:gridCol w:w="23"/>
        <w:gridCol w:w="170"/>
        <w:gridCol w:w="44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deposits increased $50.4 million to $20.2 billion</w:t>
            </w:r>
          </w:p>
        </w:tc>
      </w:tr>
    </w:tbl>
    <w:tbl>
      <w:tblPr>
        <w:tblW w:w="4503" w:type="dxa"/>
        <w:jc w:val="left"/>
        <w:tblInd w:w="0" w:type="dxa"/>
        <w:tblLayout w:type="fixed"/>
        <w:tblCellMar>
          <w:top w:w="0" w:type="dxa"/>
          <w:left w:w="0" w:type="dxa"/>
          <w:bottom w:w="0" w:type="dxa"/>
          <w:right w:w="0" w:type="dxa"/>
        </w:tblCellMar>
      </w:tblPr>
      <w:tblGrid>
        <w:gridCol w:w="23"/>
        <w:gridCol w:w="170"/>
        <w:gridCol w:w="43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margin increased 5 basis points to 3.30%</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include a $24.3 million noninterest expense and a $31.0 million income tax benefit from an agreement to settle tax liabilities resulting from the 2016 corporate reorganization</w:t>
            </w:r>
          </w:p>
        </w:tc>
      </w:tr>
    </w:tbl>
    <w:tbl>
      <w:tblPr>
        <w:tblW w:w="4458" w:type="dxa"/>
        <w:jc w:val="left"/>
        <w:tblInd w:w="0" w:type="dxa"/>
        <w:tblLayout w:type="fixed"/>
        <w:tblCellMar>
          <w:top w:w="0" w:type="dxa"/>
          <w:left w:w="0" w:type="dxa"/>
          <w:bottom w:w="0" w:type="dxa"/>
          <w:right w:w="0" w:type="dxa"/>
        </w:tblCellMar>
      </w:tblPr>
      <w:tblGrid>
        <w:gridCol w:w="23"/>
        <w:gridCol w:w="170"/>
        <w:gridCol w:w="4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Merger-related costs in the quarter were $6.7 million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a $20.3 million provision for credit losses, driven by a $12.5 million partial charge-off related to a single CRE loan and other CRE loan downgrades</w:t>
            </w:r>
          </w:p>
        </w:tc>
      </w:tr>
    </w:tbl>
    <w:tbl>
      <w:tblPr>
        <w:tblW w:w="5613" w:type="dxa"/>
        <w:jc w:val="left"/>
        <w:tblInd w:w="0" w:type="dxa"/>
        <w:tblLayout w:type="fixed"/>
        <w:tblCellMar>
          <w:top w:w="0" w:type="dxa"/>
          <w:left w:w="0" w:type="dxa"/>
          <w:bottom w:w="0" w:type="dxa"/>
          <w:right w:w="0" w:type="dxa"/>
        </w:tblCellMar>
      </w:tblPr>
      <w:tblGrid>
        <w:gridCol w:w="23"/>
        <w:gridCol w:w="170"/>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 declared a quarterly dividend of $0.26 per share</w:t>
            </w:r>
          </w:p>
        </w:tc>
      </w:tr>
    </w:tbl>
    <w:p>
      <w:pPr>
        <w:pStyle w:val="TextBody"/>
        <w:bidi w:val="0"/>
        <w:spacing w:before="0" w:after="0"/>
        <w:ind w:left="0" w:right="0" w:hanging="0"/>
        <w:jc w:val="left"/>
        <w:rPr/>
      </w:pPr>
      <w:r>
        <w:rPr/>
        <w:t>​</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Balance Sheet</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Total assets were $23.8 billion at September 30, 2026 versus $23.6 billion at June 30, 2026.</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Gross loans and leases were $14.5 billion as of September 30, 2026, a decrease of $115.1 million from $14.6 billion as of June 30, 2026.</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Total deposits were $20.2 billion as of September 30, 2026 and June 30, 2026.</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Net Interest Income</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Net interest income for the third quarter of 2026 was $174.1 million, an increase of $3.1 million compared to $171.0 million for the prior quarter.</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net interest margin was 3.30% in the third quarter of 2026, 5 basis points higher than the prior quarter’s margin of 3.25%.</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Provision Expense</w:t>
      </w:r>
    </w:p>
    <w:p>
      <w:pPr>
        <w:pStyle w:val="TextBody"/>
        <w:bidi w:val="0"/>
        <w:spacing w:lineRule="atLeast" w:line="200" w:before="0" w:after="180"/>
        <w:ind w:left="0" w:right="0" w:hanging="0"/>
        <w:jc w:val="both"/>
        <w:rPr>
          <w:rFonts w:ascii="Times New Roman;Times;serif" w:hAnsi="Times New Roman;Times;serif"/>
          <w:sz w:val="20"/>
        </w:rPr>
      </w:pPr>
      <w:r>
        <w:rPr>
          <w:rFonts w:ascii="Times New Roman;Times;serif" w:hAnsi="Times New Roman;Times;serif"/>
          <w:sz w:val="20"/>
        </w:rPr>
        <w:t>During the quarter ended September 30, 2026, we recorded a $20.3 million provision for credit losses. In the quarter ended June 30, 2026, we recorded a $5.6 million provision for credit losses.</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Noninterest Income</w:t>
      </w:r>
    </w:p>
    <w:p>
      <w:pPr>
        <w:pStyle w:val="TextBody"/>
        <w:bidi w:val="0"/>
        <w:spacing w:lineRule="atLeast" w:line="200" w:before="0" w:after="180"/>
        <w:ind w:left="0" w:right="0" w:hanging="0"/>
        <w:jc w:val="both"/>
        <w:rPr>
          <w:rFonts w:ascii="Times New Roman;Times;serif" w:hAnsi="Times New Roman;Times;serif"/>
          <w:sz w:val="20"/>
        </w:rPr>
      </w:pPr>
      <w:r>
        <w:rPr>
          <w:rFonts w:ascii="Times New Roman;Times;serif" w:hAnsi="Times New Roman;Times;serif"/>
          <w:sz w:val="20"/>
        </w:rPr>
        <w:t>Noninterest income was $56.1 million in the third quarter of 2026, $4.2 million lower than noninterest income of $60.3 million in the prior quarter.</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Noninterest Expense</w:t>
      </w:r>
    </w:p>
    <w:p>
      <w:pPr>
        <w:pStyle w:val="TextBody"/>
        <w:bidi w:val="0"/>
        <w:spacing w:lineRule="atLeast" w:line="200" w:before="0" w:after="180"/>
        <w:ind w:left="0" w:right="0" w:hanging="0"/>
        <w:jc w:val="both"/>
        <w:rPr>
          <w:rFonts w:ascii="Times New Roman;Times;serif" w:hAnsi="Times New Roman;Times;serif"/>
          <w:sz w:val="20"/>
        </w:rPr>
      </w:pPr>
      <w:r>
        <w:rPr>
          <w:rFonts w:ascii="Times New Roman;Times;serif" w:hAnsi="Times New Roman;Times;serif"/>
          <w:sz w:val="20"/>
        </w:rPr>
        <w:t>Noninterest expense was $160.0 million in the third quarter of 2026, $29.6 million higher compared to noninterest expense of $130.4 million in the prior quarter.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 expense in the third quarter included $6.7 million of merger-related costs and a $24.3 million noninterest expense from an agreement to settle tax liabilities resulting from the 2016 corporate reorganization.</w:t>
      </w:r>
    </w:p>
    <w:p>
      <w:pPr>
        <w:pStyle w:val="TextBody"/>
        <w:bidi w:val="0"/>
        <w:spacing w:before="0" w:after="0"/>
        <w:ind w:left="0" w:right="0" w:hanging="0"/>
        <w:jc w:val="left"/>
        <w:rPr/>
      </w:pPr>
      <w:r>
        <w:rPr/>
        <w:t>​</w:t>
      </w:r>
    </w:p>
    <w:p>
      <w:pPr>
        <w:pStyle w:val="TextBody"/>
        <w:bidi w:val="0"/>
        <w:spacing w:lineRule="atLeast" w:line="200" w:before="0" w:after="180"/>
        <w:ind w:left="0" w:right="0" w:hanging="0"/>
        <w:jc w:val="both"/>
        <w:rPr>
          <w:rFonts w:ascii="Times New Roman;Times;serif" w:hAnsi="Times New Roman;Times;serif"/>
          <w:sz w:val="20"/>
        </w:rPr>
      </w:pPr>
      <w:r>
        <w:rPr>
          <w:rFonts w:ascii="Times New Roman;Times;serif" w:hAnsi="Times New Roman;Times;serif"/>
          <w:sz w:val="20"/>
        </w:rPr>
        <w:t>The efficiency ratio was 69.2% and 56.2% for the quarters ended September 30, 2026 and June 30, 2026, respectively.</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Taxes</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The effective tax rate was -27.8% and 22.9% for the quarters ended September 30, 2026 and June 30, 2026, respectively. The negative effective tax rate in the third quarter was due to a $31.0 million income tax benefit we recorded as a result of the agreement to settle tax liabilities resulting from the 2016 corporate reorganization.</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Asset Quality</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 xml:space="preserve">The allowance for credit losses was $164.4 million, or 1.14% of total loans and leases, as of September 30, 2026, compared to $168.1 million, or 1.15% of total loans and leases, as of June 30, 2026. The reserve for unfunded commitments was $39.7 million as of September 30, 2026 and $37.7 million as of June 30, 2026. Net charge-offs were $21.9 million, or 0.60% of average loans and leases on an annualized basis, for the quarter ended September 30, 2026, compared to net charge-offs of $4.1 million, or 0.11% of average loans and leases on an annualized basis, for the quarter ended June 30, 2026. Total non-performing assets were $46.0 million, or 0.32% of total loans and leases and other real estate owned, on September 30, 2026, compared to total non-performing assets of $39.5 million, or 0.27% of total loans and leases and other real estate owned, on June 30, 2026. </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Capital</w:t>
      </w:r>
    </w:p>
    <w:p>
      <w:pPr>
        <w:pStyle w:val="TextBody"/>
        <w:bidi w:val="0"/>
        <w:spacing w:lineRule="atLeast" w:line="200" w:before="0" w:after="180"/>
        <w:ind w:left="0" w:right="0" w:hanging="0"/>
        <w:jc w:val="both"/>
        <w:rPr>
          <w:rFonts w:ascii="Times New Roman;Times;serif" w:hAnsi="Times New Roman;Times;serif"/>
          <w:sz w:val="20"/>
        </w:rPr>
      </w:pPr>
      <w:r>
        <w:rPr>
          <w:rFonts w:ascii="Times New Roman;Times;serif" w:hAnsi="Times New Roman;Times;serif"/>
          <w:sz w:val="20"/>
        </w:rPr>
        <w:t>Total stockholders' equity was $2.8 billion at September 30, 2026 and June 30, 2026.</w:t>
      </w:r>
    </w:p>
    <w:p>
      <w:pPr>
        <w:pStyle w:val="TextBody"/>
        <w:bidi w:val="0"/>
        <w:spacing w:lineRule="atLeast" w:line="200" w:before="0" w:after="180"/>
        <w:ind w:left="0" w:right="0" w:hanging="0"/>
        <w:jc w:val="both"/>
        <w:rPr>
          <w:rFonts w:ascii="Times New Roman;Times;serif" w:hAnsi="Times New Roman;Times;serif"/>
          <w:sz w:val="20"/>
        </w:rPr>
      </w:pPr>
      <w:r>
        <w:rPr>
          <w:rFonts w:ascii="Times New Roman;Times;serif" w:hAnsi="Times New Roman;Times;serif"/>
          <w:sz w:val="20"/>
        </w:rPr>
        <w:t>The tier 1 leverage, common equity tier 1 and total capital ratios were 9.61%, 13.50% and 14.74%, respectively, on September 30, 2026, compared with 9.46%, 13.27% and 14.52%, respectively, on June 30, 2026.</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 xml:space="preserve">The Company did not repurchase any shares in the third quarter. </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First Hawaiian, Inc.</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 xml:space="preserve">First Hawaiian, Inc. (NASDAQ:FHB) is a bank holding company headquartered in Honolulu, Hawaii. Its principal subsidiary, First Hawaiian Bank, founded in 1858 under the name Bishop &amp; Company, is Hawaii’s oldest and largest financial institution with branch locations throughout Hawaii, Guam and Saipan. The company offers a comprehensive suite of banking services to consumer and commercial customers including deposit products, loans, wealth management, insurance, trust, retirement planning, credit card and merchant processing services. Customers may also access their accounts through ATMs, online and mobile banking channels. For more information about First Hawaiian, Inc., visit the Company’s website, </w:t>
      </w:r>
      <w:r>
        <w:rPr>
          <w:rFonts w:ascii="Times New Roman;Times;serif" w:hAnsi="Times New Roman;Times;serif"/>
          <w:sz w:val="20"/>
          <w:u w:val="single"/>
        </w:rPr>
        <w:t>www.fhb.com</w:t>
      </w:r>
      <w:r>
        <w:rPr>
          <w:rFonts w:ascii="Times New Roman;Times;serif" w:hAnsi="Times New Roman;Times;serif"/>
          <w:sz w:val="20"/>
        </w:rPr>
        <w:t>.</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Conference Call Information</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First Hawaiian will host a conference call to discuss the Company’s results today at 1:00 p.m. Eastern Time, 7:00 a.m. Hawaii Time.</w:t>
      </w:r>
    </w:p>
    <w:p>
      <w:pPr>
        <w:pStyle w:val="TextBody"/>
        <w:bidi w:val="0"/>
        <w:spacing w:lineRule="auto" w:line="285" w:before="0" w:after="180"/>
        <w:ind w:left="0" w:right="0" w:hanging="0"/>
        <w:jc w:val="left"/>
        <w:rPr>
          <w:rFonts w:ascii="Times New Roman;Times;serif" w:hAnsi="Times New Roman;Times;serif"/>
          <w:sz w:val="20"/>
        </w:rPr>
      </w:pPr>
      <w:r>
        <w:rPr>
          <w:rFonts w:ascii="Times New Roman;Times;serif" w:hAnsi="Times New Roman;Times;serif"/>
          <w:sz w:val="20"/>
        </w:rPr>
        <w:t>To access the call by phone, please register via the following link:</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u w:val="single"/>
        </w:rPr>
        <w:t xml:space="preserve">https://register-conf.media-server.com/register/BI4e0abe37ecf34f5d8bdacfb166cade22, </w:t>
      </w:r>
      <w:r>
        <w:rPr>
          <w:rFonts w:ascii="Times New Roman;Times;serif" w:hAnsi="Times New Roman;Times;serif"/>
          <w:sz w:val="20"/>
        </w:rPr>
        <w:t>and you will be provided with dial in details. To avoid delays, we encourage participants to dial into the conference call fifteen minutes ahead of the scheduled start time.</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A live webcast of the conference call, including a slide presentation, will be available at the following link: www.fhb.com/earnings. The archive of the webcast will be available at the same location.</w:t>
      </w:r>
    </w:p>
    <w:p>
      <w:pPr>
        <w:pStyle w:val="HorizontalLine"/>
        <w:pBdr>
          <w:bottom w:val="double" w:sz="2" w:space="0" w:color="808080"/>
        </w:pBdr>
        <w:bidi w:val="0"/>
        <w:spacing w:before="0" w:after="283"/>
        <w:jc w:val="left"/>
        <w:rPr/>
      </w:pPr>
      <w:r>
        <w:rPr/>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This press release contains forward-looking statements within the meaning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there can be no assurance that actual results will not prove to be materially different from the results expressed or implied by the forward-looking statements. A number of important factors could cause actual results or performance to differ materially from the forward-looking statements, including (without limitation) the risks and uncertainties associated with the domestic and global economic environment and capital market conditions and other risk factors. For a discussion of some of these risks and important factors that could affect our future results and financial condition, see our U.S. Securities and Exchange Commission (“SEC”) filings, including, but not limited to, our Annual Report on Form 10-K for the year ended December 31, 2025 and our Quarterly Report on Form 10-Q for the quarters ended March 31, 2026 and June 30, 2026.</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Use of Non-GAAP Financial Measures</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Return on average tangible assets, return on average tangible stockholders’ equity, tangible book value per share and tangible stockholders’ equity to tangible assets are non-GAAP financial measures. We believe that these measurements are useful for investors, regulators, management and others to evaluate financial performance and capital adequacy relative to other financial institutions. Although these non-GAAP financial measures are frequently used by stakeholders in the evaluation of a company, they have limitations as analytical tools and should not be considered in isolation or as a substitute for analysis of our results or financial condition as reported under GAAP. Investors should consider our performance and capital adequacy as reported under GAAP and all other relevant information when assessing our performance and capital adequacy.</w:t>
      </w:r>
    </w:p>
    <w:p>
      <w:pPr>
        <w:pStyle w:val="TextBody"/>
        <w:bidi w:val="0"/>
        <w:spacing w:lineRule="auto" w:line="285" w:before="0" w:after="180"/>
        <w:ind w:left="0" w:right="0" w:hanging="0"/>
        <w:jc w:val="both"/>
        <w:rPr>
          <w:rFonts w:ascii="Times New Roman;Times;serif" w:hAnsi="Times New Roman;Times;serif"/>
          <w:sz w:val="20"/>
        </w:rPr>
      </w:pPr>
      <w:r>
        <w:rPr>
          <w:rFonts w:ascii="Times New Roman;Times;serif" w:hAnsi="Times New Roman;Times;serif"/>
          <w:sz w:val="20"/>
        </w:rPr>
        <w:t>Table 14 at the end of this document provides a reconciliation of these non-GAAP financial measures with their most directly comparable GAAP measures.</w:t>
      </w:r>
    </w:p>
    <w:tbl>
      <w:tblPr>
        <w:tblW w:w="4262" w:type="dxa"/>
        <w:jc w:val="center"/>
        <w:tblInd w:w="0" w:type="dxa"/>
        <w:tblLayout w:type="fixed"/>
        <w:tblCellMar>
          <w:top w:w="0" w:type="dxa"/>
          <w:left w:w="0" w:type="dxa"/>
          <w:bottom w:w="0" w:type="dxa"/>
          <w:right w:w="0" w:type="dxa"/>
        </w:tblCellMar>
      </w:tblPr>
      <w:tblGrid>
        <w:gridCol w:w="2431"/>
        <w:gridCol w:w="1831"/>
      </w:tblGrid>
      <w:tr>
        <w:trPr/>
        <w:tc>
          <w:tcPr>
            <w:tcW w:w="2431"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Investor Relations Contact:</w:t>
            </w:r>
          </w:p>
        </w:tc>
        <w:tc>
          <w:tcPr>
            <w:tcW w:w="18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Media Contact:</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Kevin Haseyama, CFA</w:t>
            </w:r>
          </w:p>
        </w:tc>
        <w:tc>
          <w:tcPr>
            <w:tcW w:w="1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Shari Nishijima</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(808) 525-6268</w:t>
            </w:r>
          </w:p>
        </w:tc>
        <w:tc>
          <w:tcPr>
            <w:tcW w:w="1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(808) 525-6254</w:t>
            </w:r>
          </w:p>
        </w:tc>
      </w:tr>
      <w:tr>
        <w:trPr/>
        <w:tc>
          <w:tcPr>
            <w:tcW w:w="2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khaseyama@fhb.com</w:t>
            </w:r>
          </w:p>
        </w:tc>
        <w:tc>
          <w:tcPr>
            <w:tcW w:w="1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snishijima@fhb.com</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787" w:type="dxa"/>
        <w:jc w:val="left"/>
        <w:tblInd w:w="0" w:type="dxa"/>
        <w:tblLayout w:type="fixed"/>
        <w:tblCellMar>
          <w:top w:w="0" w:type="dxa"/>
          <w:left w:w="0" w:type="dxa"/>
          <w:bottom w:w="0" w:type="dxa"/>
          <w:right w:w="0" w:type="dxa"/>
        </w:tblCellMar>
      </w:tblPr>
      <w:tblGrid>
        <w:gridCol w:w="3106"/>
        <w:gridCol w:w="346"/>
        <w:gridCol w:w="196"/>
        <w:gridCol w:w="916"/>
        <w:gridCol w:w="376"/>
        <w:gridCol w:w="196"/>
        <w:gridCol w:w="916"/>
        <w:gridCol w:w="346"/>
        <w:gridCol w:w="196"/>
        <w:gridCol w:w="916"/>
        <w:gridCol w:w="346"/>
        <w:gridCol w:w="211"/>
        <w:gridCol w:w="916"/>
        <w:gridCol w:w="376"/>
        <w:gridCol w:w="196"/>
        <w:gridCol w:w="916"/>
        <w:gridCol w:w="31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972310" cy="175260"/>
                      <wp:effectExtent l="0" t="0" r="0" b="0"/>
                      <wp:wrapNone/>
                      <wp:docPr id="11" name="Frame10"/>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1660" cy="175260"/>
                      <wp:effectExtent l="0" t="0" r="0" b="0"/>
                      <wp:wrapNone/>
                      <wp:docPr id="14" name="Frame1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38760" cy="175260"/>
                      <wp:effectExtent l="0" t="0" r="0" b="0"/>
                      <wp:wrapNone/>
                      <wp:docPr id="15" name="Frame1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81660" cy="175260"/>
                      <wp:effectExtent l="0" t="0" r="0" b="0"/>
                      <wp:wrapNone/>
                      <wp:docPr id="17" name="Frame1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1660" cy="175260"/>
                      <wp:effectExtent l="0" t="0" r="0" b="0"/>
                      <wp:wrapNone/>
                      <wp:docPr id="20" name="Frame1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81660" cy="175260"/>
                      <wp:effectExtent l="0" t="0" r="0" b="0"/>
                      <wp:wrapNone/>
                      <wp:docPr id="23" name="Frame2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38760" cy="175260"/>
                      <wp:effectExtent l="0" t="0" r="0" b="0"/>
                      <wp:wrapNone/>
                      <wp:docPr id="24" name="Frame2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175260"/>
                      <wp:effectExtent l="0" t="0" r="0" b="0"/>
                      <wp:wrapNone/>
                      <wp:docPr id="25"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81660" cy="175260"/>
                      <wp:effectExtent l="0" t="0" r="0" b="0"/>
                      <wp:wrapNone/>
                      <wp:docPr id="26" name="Frame2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0660" cy="175260"/>
                      <wp:effectExtent l="0" t="0" r="0" b="0"/>
                      <wp:wrapNone/>
                      <wp:docPr id="27" name="Frame2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Financial Highlights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5" w:type="dxa"/>
            <w:gridSpan w:val="15"/>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7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per share data)</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 </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Results: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174,104</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170,993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169,331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512,627</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493,440</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20,308</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30,908</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19,500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56,123</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57,060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169,223</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161,495</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160,047</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130,445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125,744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418,377</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374,243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63,730</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73,375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73,840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204,889</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206,335</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0.52</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1.68</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earnings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0.52</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1.67</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declared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0.26</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0.78</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 payout ratio</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50.00</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46.71</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Performance Ratios</w:t>
            </w:r>
            <w:r>
              <w:rPr>
                <w:rFonts w:ascii="Times New Roman;Times;serif" w:hAnsi="Times New Roman;Times;serif"/>
                <w:b/>
                <w:sz w:val="14"/>
              </w:rPr>
              <w:t>(1)</w:t>
            </w:r>
            <w:r>
              <w:rPr>
                <w:rFonts w:ascii="Times New Roman;Times;serif" w:hAnsi="Times New Roman;Times;serif"/>
                <w:b/>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interest margin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3.30</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3.25</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Efficiency ratio</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69.18</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55.29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61.08</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Return on average total assets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1.06</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1.14</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Return on average tangible assets (non-GAAP)</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1.10</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1.19</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Return on average total stockholders' equity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8.88</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9.75</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Return on average tangible stockholders' equity (non-GAAP)</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13.67</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15.09</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Average Balances: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loans and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14,496,740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14,488,213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14,209,282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14,425,550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14,269,030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earning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21,128,236</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21,192,973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21,271,827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21,217,201</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21,203,245</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23,955,273</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23,954,425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23,993,685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23,997,190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23,914,896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deposits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20,408,631</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20,483,307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20,411,117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20,504,383</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20,348,609</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2,845,750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2,796,857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2,710,273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2,810,686</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2,672,284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Market Value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Closing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24.62</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24.62</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High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30.58</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30.58</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28.28</w:t>
            </w:r>
          </w:p>
        </w:tc>
        <w:tc>
          <w:tcPr>
            <w:tcW w:w="316"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Low</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24.48</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23.26</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20.32</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24"/>
        <w:gridCol w:w="109"/>
        <w:gridCol w:w="226"/>
        <w:gridCol w:w="1036"/>
        <w:gridCol w:w="391"/>
        <w:gridCol w:w="226"/>
        <w:gridCol w:w="1036"/>
        <w:gridCol w:w="271"/>
        <w:gridCol w:w="226"/>
        <w:gridCol w:w="1036"/>
        <w:gridCol w:w="271"/>
        <w:gridCol w:w="211"/>
        <w:gridCol w:w="1036"/>
        <w:gridCol w:w="406"/>
      </w:tblGrid>
      <w:tr>
        <w:trPr/>
        <w:tc>
          <w:tcPr>
            <w:tcW w:w="3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364740" cy="175260"/>
                      <wp:effectExtent l="0" t="0" r="0" b="0"/>
                      <wp:wrapNone/>
                      <wp:docPr id="28" name="Frame27"/>
                      <a:graphic xmlns:a="http://schemas.openxmlformats.org/drawingml/2006/main">
                        <a:graphicData uri="http://schemas.microsoft.com/office/word/2010/wordprocessingShape">
                          <wps:wsp>
                            <wps:cNvSpPr txBox="1"/>
                            <wps:spPr>
                              <a:xfrm>
                                <a:off x="0" y="0"/>
                                <a:ext cx="2364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3510" cy="175260"/>
                      <wp:effectExtent l="0" t="0" r="0" b="0"/>
                      <wp:wrapNone/>
                      <wp:docPr id="30" name="Frame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57860" cy="175260"/>
                      <wp:effectExtent l="0" t="0" r="0" b="0"/>
                      <wp:wrapNone/>
                      <wp:docPr id="31" name="Frame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48285" cy="175260"/>
                      <wp:effectExtent l="0" t="0" r="0" b="0"/>
                      <wp:wrapNone/>
                      <wp:docPr id="32" name="Frame3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3510" cy="175260"/>
                      <wp:effectExtent l="0" t="0" r="0" b="0"/>
                      <wp:wrapNone/>
                      <wp:docPr id="33" name="Frame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57860" cy="175260"/>
                      <wp:effectExtent l="0" t="0" r="0" b="0"/>
                      <wp:wrapNone/>
                      <wp:docPr id="34" name="Frame3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72085" cy="175260"/>
                      <wp:effectExtent l="0" t="0" r="0" b="0"/>
                      <wp:wrapNone/>
                      <wp:docPr id="35" name="Frame3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3510" cy="175260"/>
                      <wp:effectExtent l="0" t="0" r="0" b="0"/>
                      <wp:wrapNone/>
                      <wp:docPr id="36" name="Frame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57860" cy="175260"/>
                      <wp:effectExtent l="0" t="0" r="0" b="0"/>
                      <wp:wrapNone/>
                      <wp:docPr id="37" name="Frame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72085" cy="175260"/>
                      <wp:effectExtent l="0" t="0" r="0" b="0"/>
                      <wp:wrapNone/>
                      <wp:docPr id="38" name="Frame3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57860" cy="175260"/>
                      <wp:effectExtent l="0" t="0" r="0" b="0"/>
                      <wp:wrapNone/>
                      <wp:docPr id="40" name="Frame3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57810" cy="175260"/>
                      <wp:effectExtent l="0" t="0" r="0" b="0"/>
                      <wp:wrapNone/>
                      <wp:docPr id="41" name="Frame4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91"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271"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271"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91"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271"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per share data)</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Sheet Data:</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leases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14,462,228</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14,577,299</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14,312,529</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14,129,383</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23,764,015</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23,646,049</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23,955,252</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24,098,728</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deposits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20,204,570</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20,154,181</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20,515,668</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20,729,557</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2,817,544</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2,826,028</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2,769,365</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2,733,921</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Share of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 value</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23.16</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Tangible book value (non-GAAP)</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14.97</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Quality Ratios: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Non-accrual loans and leases / total loans and leases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0.32</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 for loans and leases / total loans and leases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Ratios: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Equity Tier 1 Capital Ratio</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Capital Ratio</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Ratio</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14.74</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Leverage Ratio</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 to total assets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11.86</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Tangible stockholders' equity to tangible assets (non-GAAP)</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Non-Financial Data:</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branches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406" w:type="dxa"/>
            <w:tcBorders/>
            <w:vAlign w:val="center"/>
          </w:tcPr>
          <w:p>
            <w:pPr>
              <w:pStyle w:val="TableContents"/>
              <w:bidi w:val="0"/>
              <w:spacing w:before="0" w:after="0"/>
              <w:ind w:left="0" w:right="0" w:hanging="0"/>
              <w:jc w:val="lef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ATMs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Full-Time Equivalent Employees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1,974</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c>
          <w:tcPr>
            <w:tcW w:w="406" w:type="dxa"/>
            <w:tcBorders/>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Except for the efficiency ratio, amounts are annualized for the three and nine months ended September 30, 2026 and 2025 and three months ended June 30, 2026.</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Return on average tangible assets, return on average tangible stockholders’ equity, tangible book value per share and tangible stockholders’ equity to tangible assets are non-GAAP financial measures. We compute our return on average tangible assets as the ratio of net income to average tangible assets, which is calculated by subtracting (and thereby effectively excluding) amounts related to the effect of goodwill from our average total assets. We compute our return on average tangible stockholders’ equity as the ratio of net income to average tangible stockholders’ equity, which is calculated by subtracting (and thereby effectively excluding) amounts related to the effect of goodwill from our average total stockholders’ equity. We compute our tangible book value per share as the ratio of tangible stockholders’ equity to outstanding shares. Tangible stockholders’ equity is calculated by subtracting (and thereby effectively excluding) amounts related to the effect of goodwill from our total stockholders’ equity. We compute our tangible stockholders’ equity to tangible assets as the ratio of tangible stockholders’ equity to tangible assets, each of which we calculate by subtracting (and thereby effectively excluding) the value of our goodwill. For a reconciliation to the most directly comparable GAAP financial measure, see Table 14, GAAP to Non-GAAP Reconciliation.</w:t>
            </w:r>
          </w:p>
        </w:tc>
      </w:tr>
    </w:tbl>
    <w:p>
      <w:pPr>
        <w:pStyle w:val="TextBody"/>
        <w:bidi w:val="0"/>
        <w:spacing w:before="0" w:after="200"/>
        <w:ind w:left="360" w:right="0" w:hanging="0"/>
        <w:jc w:val="both"/>
        <w:rPr/>
      </w:pPr>
      <w:r>
        <w:rPr/>
        <w:t>​</w:t>
      </w:r>
    </w:p>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1251" w:type="dxa"/>
        <w:jc w:val="left"/>
        <w:tblInd w:w="0" w:type="dxa"/>
        <w:tblLayout w:type="fixed"/>
        <w:tblCellMar>
          <w:top w:w="0" w:type="dxa"/>
          <w:left w:w="0" w:type="dxa"/>
          <w:bottom w:w="0" w:type="dxa"/>
          <w:right w:w="0" w:type="dxa"/>
        </w:tblCellMar>
      </w:tblPr>
      <w:tblGrid>
        <w:gridCol w:w="3406"/>
        <w:gridCol w:w="346"/>
        <w:gridCol w:w="196"/>
        <w:gridCol w:w="1006"/>
        <w:gridCol w:w="346"/>
        <w:gridCol w:w="196"/>
        <w:gridCol w:w="1006"/>
        <w:gridCol w:w="346"/>
        <w:gridCol w:w="196"/>
        <w:gridCol w:w="1006"/>
        <w:gridCol w:w="346"/>
        <w:gridCol w:w="196"/>
        <w:gridCol w:w="1006"/>
        <w:gridCol w:w="346"/>
        <w:gridCol w:w="196"/>
        <w:gridCol w:w="1111"/>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62810" cy="175260"/>
                      <wp:effectExtent l="0" t="0" r="0" b="0"/>
                      <wp:wrapNone/>
                      <wp:docPr id="42" name="Frame41"/>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38810" cy="175260"/>
                      <wp:effectExtent l="0" t="0" r="0" b="0"/>
                      <wp:wrapNone/>
                      <wp:docPr id="45" name="Frame4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38810" cy="175260"/>
                      <wp:effectExtent l="0" t="0" r="0" b="0"/>
                      <wp:wrapNone/>
                      <wp:docPr id="48" name="Frame4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38810" cy="175260"/>
                      <wp:effectExtent l="0" t="0" r="0" b="0"/>
                      <wp:wrapNone/>
                      <wp:docPr id="51" name="Frame5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38810" cy="175260"/>
                      <wp:effectExtent l="0" t="0" r="0" b="0"/>
                      <wp:wrapNone/>
                      <wp:docPr id="54" name="Frame5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6"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05485" cy="175260"/>
                      <wp:effectExtent l="0" t="0" r="0" b="0"/>
                      <wp:wrapNone/>
                      <wp:docPr id="57" name="Frame5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Consolidated Statements of Income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9" w:type="dxa"/>
            <w:gridSpan w:val="14"/>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2</w: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9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46" w:type="dxa"/>
            <w:tcBorders/>
            <w:vAlign w:val="center"/>
          </w:tcPr>
          <w:p>
            <w:pPr>
              <w:pStyle w:val="TableContents"/>
              <w:bidi w:val="0"/>
              <w:spacing w:before="0" w:after="0"/>
              <w:ind w:left="0" w:right="0" w:hanging="0"/>
              <w:jc w:val="left"/>
              <w:rPr/>
            </w:pPr>
            <w:r>
              <w:rPr/>
              <w:t>​</w:t>
            </w:r>
          </w:p>
        </w:tc>
        <w:tc>
          <w:tcPr>
            <w:tcW w:w="28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left"/>
              <w:rPr/>
            </w:pPr>
            <w:r>
              <w:rPr/>
              <w:t>​</w:t>
            </w:r>
          </w:p>
        </w:tc>
        <w:tc>
          <w:tcPr>
            <w:tcW w:w="28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per share amounts)</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and lease financing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192,373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190,727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196,441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569,489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581,936</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Available-for-sale investment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16,200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46,951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39,089</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Held-to-maturity investment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14,856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45,040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48,866</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35,128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44,573</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234,543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232,367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242,575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696,608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714,464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Deposits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60,211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70,851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183,495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212,849</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7,421</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60,439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183,981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221,024</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174,104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170,993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169,331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512,627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493,440</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20,308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30,908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19,500</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interest income after provision for credit losses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153,796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165,393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164,831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481,719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473,940</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Service charges on deposit accounts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25,165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23,461</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Credit and debit card fees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15,718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46,203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46,237</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service charges and fees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15,386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43,579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39,324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Trust and investment services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9,146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27,366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27,736</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Bank-owned life insurance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15,908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15,409</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securities gains,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2,432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11,002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9,291</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56,123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169,223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161,495</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Noninterest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63,159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61,533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189,625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181,138</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Contracted services and professional fees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13,803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41,987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46,621</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7,333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23,051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23,132</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15,308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44,652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41,742</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Regulatory assessment and fees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10,876</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Advertising and marketing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6,247</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Card rewards program</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9,125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25,932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25,019</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Merger-related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6,672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10,854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39,378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65,912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39,468</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noninterest expense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160,047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130,445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125,744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418,377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374,243</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49,872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95,229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96,147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232,565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261,192</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(Benefit) provision for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(13,858)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22,307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27,676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54,857</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63,730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204,889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206,335</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 earnings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0.52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 weighted-average outstanding shares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121,681,309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121,669,238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124,267,090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121,933,207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125,282,792</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weighted-average outstanding shares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122,478,489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122,339,836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124,970,898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122,716,742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125,977,271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728"/>
        <w:gridCol w:w="346"/>
        <w:gridCol w:w="211"/>
        <w:gridCol w:w="1036"/>
        <w:gridCol w:w="346"/>
        <w:gridCol w:w="211"/>
        <w:gridCol w:w="1036"/>
        <w:gridCol w:w="346"/>
        <w:gridCol w:w="211"/>
        <w:gridCol w:w="1036"/>
        <w:gridCol w:w="346"/>
        <w:gridCol w:w="211"/>
        <w:gridCol w:w="1141"/>
      </w:tblGrid>
      <w:tr>
        <w:trPr/>
        <w:tc>
          <w:tcPr>
            <w:tcW w:w="3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367280" cy="175260"/>
                      <wp:effectExtent l="0" t="0" r="0" b="0"/>
                      <wp:wrapNone/>
                      <wp:docPr id="58" name="Frame57"/>
                      <a:graphic xmlns:a="http://schemas.openxmlformats.org/drawingml/2006/main">
                        <a:graphicData uri="http://schemas.microsoft.com/office/word/2010/wordprocessingShape">
                          <wps:wsp>
                            <wps:cNvSpPr txBox="1"/>
                            <wps:spPr>
                              <a:xfrm>
                                <a:off x="0" y="0"/>
                                <a:ext cx="2367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57860" cy="175260"/>
                      <wp:effectExtent l="0" t="0" r="0" b="0"/>
                      <wp:wrapNone/>
                      <wp:docPr id="61" name="Frame6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57860" cy="175260"/>
                      <wp:effectExtent l="0" t="0" r="0" b="0"/>
                      <wp:wrapNone/>
                      <wp:docPr id="64" name="Frame6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57860" cy="175260"/>
                      <wp:effectExtent l="0" t="0" r="0" b="0"/>
                      <wp:wrapNone/>
                      <wp:docPr id="67" name="Frame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24535" cy="175260"/>
                      <wp:effectExtent l="0" t="0" r="0" b="0"/>
                      <wp:wrapNone/>
                      <wp:docPr id="70" name="Frame6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Consolidated Balance Sheets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1" w:type="dxa"/>
            <w:gridSpan w:val="11"/>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3</w:t>
            </w:r>
          </w:p>
        </w:tc>
      </w:tr>
      <w:tr>
        <w:trPr/>
        <w:tc>
          <w:tcPr>
            <w:tcW w:w="3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7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share amount)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due from banks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258,228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228,734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249,563</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deposits in other banks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1,071,703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748,734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1,606,080</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at fair value (amortized cost: $2,259,070 as of September 30, 2026, $2,275,837 as of June 30, 2026, $2,246,716 as of December 31, 2025 and $2,178,092 as of September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2,016,945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2,094,699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1,986,717</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Held-to-maturity, at amortized cost (fair value: $2,819,282 as of September 30, 2026, $3,035,475 as of June 30, 2026, $3,188,775 as of December 31, 2025 and $3,209,883 as of September 30,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3,346,994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3,411,684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3,533,082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3,594,188</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14,462,228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14,577,299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14,312,529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14,129,383</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164,437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165,269</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loans and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14,297,791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14,409,243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14,144,061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13,964,114</w:t>
            </w:r>
          </w:p>
        </w:tc>
      </w:tr>
      <w:tr>
        <w:trPr/>
        <w:tc>
          <w:tcPr>
            <w:tcW w:w="37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Premises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304,848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302,983</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75,204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77,878</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Bank-owned life insurance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525,898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521,137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507,950</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servicing rights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866,748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808,567</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23,764,015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23,646,049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23,955,252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24,098,728</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13,803,664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13,706,392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13,968,376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13,947,385</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Noninterest-bearing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6,400,906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6,447,789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6,547,292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6,782,172</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20,204,570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20,154,181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20,515,668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20,729,557</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 benefits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96,570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94,504</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645,331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568,431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571,167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540,746</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20,946,471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20,820,021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21,185,887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21,364,807</w:t>
            </w:r>
          </w:p>
        </w:tc>
      </w:tr>
      <w:tr>
        <w:trPr/>
        <w:tc>
          <w:tcPr>
            <w:tcW w:w="37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authorized 300,000,000 shares; issued/outstanding: 142,662,115 / 121,681,352 shares as of September 30, 2026, issued/outstanding: 142,661,019 / 121,680,634 shares as of June 30, 2026, issued/outstanding: 142,184,584 / 122,689,256 shares as of December 31, 2025 and issued/outstanding: 142,173,027 / 123,719,585 shares as of September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2,588,530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2,584,578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2,576,540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2,572,156</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1,187,636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1,078,885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1,041,573</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(403,826)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(359,793)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(368,140)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(388,149)</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(20,980,763 shares as of September 30, 2026, 20,980,385 shares as of June 30, 2026, 19,495,328 shares as of December 31, 2025 and 18,453,442 shares as of September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(556,223)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(556,212)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(519,342)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(493,081)</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2,817,544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2,826,028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2,769,365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2,733,921</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23,764,015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23,646,049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23,955,252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24,098,728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2551" w:type="dxa"/>
        <w:jc w:val="left"/>
        <w:tblInd w:w="0" w:type="dxa"/>
        <w:tblLayout w:type="fixed"/>
        <w:tblCellMar>
          <w:top w:w="0" w:type="dxa"/>
          <w:left w:w="0" w:type="dxa"/>
          <w:bottom w:w="0" w:type="dxa"/>
          <w:right w:w="0" w:type="dxa"/>
        </w:tblCellMar>
      </w:tblPr>
      <w:tblGrid>
        <w:gridCol w:w="2776"/>
        <w:gridCol w:w="346"/>
        <w:gridCol w:w="196"/>
        <w:gridCol w:w="736"/>
        <w:gridCol w:w="346"/>
        <w:gridCol w:w="196"/>
        <w:gridCol w:w="511"/>
        <w:gridCol w:w="346"/>
        <w:gridCol w:w="481"/>
        <w:gridCol w:w="361"/>
        <w:gridCol w:w="196"/>
        <w:gridCol w:w="736"/>
        <w:gridCol w:w="346"/>
        <w:gridCol w:w="196"/>
        <w:gridCol w:w="511"/>
        <w:gridCol w:w="346"/>
        <w:gridCol w:w="481"/>
        <w:gridCol w:w="346"/>
        <w:gridCol w:w="196"/>
        <w:gridCol w:w="736"/>
        <w:gridCol w:w="346"/>
        <w:gridCol w:w="196"/>
        <w:gridCol w:w="511"/>
        <w:gridCol w:w="346"/>
        <w:gridCol w:w="481"/>
        <w:gridCol w:w="286"/>
      </w:tblGrid>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4460" cy="175260"/>
                      <wp:effectExtent l="0" t="0" r="0" b="0"/>
                      <wp:wrapNone/>
                      <wp:docPr id="72"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67360" cy="175260"/>
                      <wp:effectExtent l="0" t="0" r="0" b="0"/>
                      <wp:wrapNone/>
                      <wp:docPr id="73" name="Frame7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24485" cy="175260"/>
                      <wp:effectExtent l="0" t="0" r="0" b="0"/>
                      <wp:wrapNone/>
                      <wp:docPr id="76" name="Frame7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05435" cy="175260"/>
                      <wp:effectExtent l="0" t="0" r="0" b="0"/>
                      <wp:wrapNone/>
                      <wp:docPr id="78" name="Frame7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29235" cy="175260"/>
                      <wp:effectExtent l="0" t="0" r="0" b="0"/>
                      <wp:wrapNone/>
                      <wp:docPr id="79" name="Frame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80"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67360" cy="175260"/>
                      <wp:effectExtent l="0" t="0" r="0" b="0"/>
                      <wp:wrapNone/>
                      <wp:docPr id="81" name="Frame8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24485" cy="175260"/>
                      <wp:effectExtent l="0" t="0" r="0" b="0"/>
                      <wp:wrapNone/>
                      <wp:docPr id="84" name="Frame8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05435" cy="175260"/>
                      <wp:effectExtent l="0" t="0" r="0" b="0"/>
                      <wp:wrapNone/>
                      <wp:docPr id="86" name="Frame8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67360" cy="175260"/>
                      <wp:effectExtent l="0" t="0" r="0" b="0"/>
                      <wp:wrapNone/>
                      <wp:docPr id="89" name="Frame8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24485" cy="175260"/>
                      <wp:effectExtent l="0" t="0" r="0" b="0"/>
                      <wp:wrapNone/>
                      <wp:docPr id="92" name="Frame9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05435" cy="175260"/>
                      <wp:effectExtent l="0" t="0" r="0" b="0"/>
                      <wp:wrapNone/>
                      <wp:docPr id="94" name="Frame9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81610" cy="175260"/>
                      <wp:effectExtent l="0" t="0" r="0" b="0"/>
                      <wp:wrapNone/>
                      <wp:docPr id="95" name="Frame9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Balances and Interest Rates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Table 4</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12"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1"/>
              <w:ind w:left="0" w:right="0" w:hanging="0"/>
              <w:jc w:val="left"/>
              <w:rPr/>
            </w:pPr>
            <w:r>
              <w:rPr/>
              <w:t>​</w:t>
            </w:r>
          </w:p>
        </w:tc>
        <w:tc>
          <w:tcPr>
            <w:tcW w:w="2812"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812"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1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361" w:type="dxa"/>
            <w:tcBorders/>
            <w:vAlign w:val="center"/>
          </w:tcPr>
          <w:p>
            <w:pPr>
              <w:pStyle w:val="TableContents"/>
              <w:bidi w:val="0"/>
              <w:spacing w:before="0" w:after="1"/>
              <w:ind w:left="0" w:right="0" w:hanging="0"/>
              <w:jc w:val="left"/>
              <w:rPr/>
            </w:pPr>
            <w:r>
              <w:rPr/>
              <w:t>​</w:t>
            </w:r>
          </w:p>
        </w:tc>
        <w:tc>
          <w:tcPr>
            <w:tcW w:w="281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w:t>
            </w:r>
          </w:p>
        </w:tc>
        <w:tc>
          <w:tcPr>
            <w:tcW w:w="281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61"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286" w:type="dxa"/>
            <w:tcBorders/>
            <w:vAlign w:val="center"/>
          </w:tcPr>
          <w:p>
            <w:pPr>
              <w:pStyle w:val="TableContents"/>
              <w:bidi w:val="0"/>
              <w:spacing w:before="0" w:after="1"/>
              <w:ind w:left="0" w:right="0" w:hanging="0"/>
              <w:jc w:val="left"/>
              <w:rPr/>
            </w:pPr>
            <w:r>
              <w:rPr/>
              <w:t> </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Interest-Bearing Deposits in Other Banks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1,162.4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10.9</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3.73</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1,471.0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Available-for-Sale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2,060.5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3.14</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Non-Taxable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2.20</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5.07</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Held-to-Maturity Investment Securities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2,795.2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11.8</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1.69</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Non-Taxable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587.9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2.26</w:t>
            </w:r>
          </w:p>
        </w:tc>
        <w:tc>
          <w:tcPr>
            <w:tcW w:w="36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595.5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5,443.7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31.3</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2.30</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5,533.1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Held for 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5.82</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and Leases</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2,328.7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5.66</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2,275.4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2,144.0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6.22</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4,741.5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68.6</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5.74</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67.6</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6.18</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705.8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11.8</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6.60</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6.78</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Residential: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4,029.1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4.02</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4,038.8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40.9</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4,077.1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1,178.7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14.6</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4.91</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Consumer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1,066.3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20.8</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7.74</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1,018.4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7.63</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3.31</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Loans and Leases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14,496.7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193.2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5.30</w:t>
            </w:r>
          </w:p>
        </w:tc>
        <w:tc>
          <w:tcPr>
            <w:tcW w:w="36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14,488.2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191.4</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14,209.3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197.0</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5.51</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3.07</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Earning Assets</w:t>
            </w:r>
            <w:r>
              <w:rPr>
                <w:rFonts w:ascii="Times New Roman;Times;serif" w:hAnsi="Times New Roman;Times;serif"/>
                <w:sz w:val="12"/>
              </w:rPr>
              <w:t>(2)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21,128.2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235.6</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4.44</w:t>
            </w:r>
          </w:p>
        </w:tc>
        <w:tc>
          <w:tcPr>
            <w:tcW w:w="36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21,193.0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233.3</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21,271.8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243.6</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Due from Banks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2,586.1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2,522.3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2,478.6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23,955.3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23,954.4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23,993.7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Interest-Bearing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Savings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6,248.0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18.0</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6,331.6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Money Market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4,358.4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20.3</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1.84</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Time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3,268.9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21.9</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2.66</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Interest-Bearing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13,875.3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60.2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1.72</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14,004.0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13,523.1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70.8</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Federal Funds Purchased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3.77</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Short-Term Borrowings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3.29</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5.46</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Interest-Bearing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13,902.7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60.4</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1.72</w:t>
            </w:r>
          </w:p>
        </w:tc>
        <w:tc>
          <w:tcPr>
            <w:tcW w:w="36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14,023.5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13,744.0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175.2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171.9</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170.4</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Rate Spread</w:t>
            </w:r>
            <w:r>
              <w:rPr>
                <w:rFonts w:ascii="Times New Roman;Times;serif" w:hAnsi="Times New Roman;Times;serif"/>
                <w:sz w:val="12"/>
              </w:rPr>
              <w:t>(3)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2.72</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Interest Margin</w:t>
            </w:r>
            <w:r>
              <w:rPr>
                <w:rFonts w:ascii="Times New Roman;Times;serif" w:hAnsi="Times New Roman;Times;serif"/>
                <w:sz w:val="12"/>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3.19</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Noninterest-Bearing Demand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6,533.3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6,479.3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6,888.0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2,845.8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2,796.9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23,955.3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23,954.4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23,993.7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Non-performing loans and leases are included in the respective average loan and lease balances. Income, if any, on such loans and leases is recognized on a cash basis.</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Interest income includes taxable-equivalent basis adjustments of $1.1 million, $0.9 million and $1.0 million for the three months ended September 30, 2026, June 30, 2026 and September 30, 2025, respectively.</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 xml:space="preserve">Interest rate spread is the difference between the average yield on earning assets and the average rate paid on interest-bearing liabilities, on a fully taxable-equivalent basis.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(4)</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Net interest margin is net interest income annualized for the three months ended September 30, 2026, June 30, 2026 and September 30, 2025, on a fully taxable-equivalent basis, divided by average total earning assets.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104"/>
        <w:gridCol w:w="346"/>
        <w:gridCol w:w="211"/>
        <w:gridCol w:w="826"/>
        <w:gridCol w:w="346"/>
        <w:gridCol w:w="211"/>
        <w:gridCol w:w="571"/>
        <w:gridCol w:w="346"/>
        <w:gridCol w:w="512"/>
        <w:gridCol w:w="391"/>
        <w:gridCol w:w="211"/>
        <w:gridCol w:w="826"/>
        <w:gridCol w:w="346"/>
        <w:gridCol w:w="211"/>
        <w:gridCol w:w="571"/>
        <w:gridCol w:w="346"/>
        <w:gridCol w:w="512"/>
        <w:gridCol w:w="318"/>
      </w:tblGrid>
      <w:tr>
        <w:trPr/>
        <w:tc>
          <w:tcPr>
            <w:tcW w:w="31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24510" cy="175260"/>
                      <wp:effectExtent l="0" t="0" r="0" b="0"/>
                      <wp:wrapNone/>
                      <wp:docPr id="98" name="Frame9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62585" cy="175260"/>
                      <wp:effectExtent l="0" t="0" r="0" b="0"/>
                      <wp:wrapNone/>
                      <wp:docPr id="101" name="Frame1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25120" cy="175260"/>
                      <wp:effectExtent l="0" t="0" r="0" b="0"/>
                      <wp:wrapNone/>
                      <wp:docPr id="103" name="Frame102"/>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48285" cy="175260"/>
                      <wp:effectExtent l="0" t="0" r="0" b="0"/>
                      <wp:wrapNone/>
                      <wp:docPr id="104" name="Frame10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24510" cy="175260"/>
                      <wp:effectExtent l="0" t="0" r="0" b="0"/>
                      <wp:wrapNone/>
                      <wp:docPr id="106" name="Frame10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2585" cy="175260"/>
                      <wp:effectExtent l="0" t="0" r="0" b="0"/>
                      <wp:wrapNone/>
                      <wp:docPr id="109" name="Frame1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25120" cy="175260"/>
                      <wp:effectExtent l="0" t="0" r="0" b="0"/>
                      <wp:wrapNone/>
                      <wp:docPr id="111" name="Frame110"/>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1930" cy="175260"/>
                      <wp:effectExtent l="0" t="0" r="0" b="0"/>
                      <wp:wrapNone/>
                      <wp:docPr id="112" name="Frame111"/>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Balances and Interest Rates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Table 5</w:t>
            </w:r>
          </w:p>
        </w:tc>
      </w:tr>
      <w:tr>
        <w:trPr/>
        <w:tc>
          <w:tcPr>
            <w:tcW w:w="31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3"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91" w:type="dxa"/>
            <w:tcBorders/>
            <w:vAlign w:val="center"/>
          </w:tcPr>
          <w:p>
            <w:pPr>
              <w:pStyle w:val="TableContents"/>
              <w:bidi w:val="0"/>
              <w:spacing w:before="0" w:after="1"/>
              <w:ind w:left="0" w:right="0" w:hanging="0"/>
              <w:jc w:val="left"/>
              <w:rPr/>
            </w:pPr>
            <w:r>
              <w:rPr/>
              <w:t>​</w:t>
            </w:r>
          </w:p>
        </w:tc>
        <w:tc>
          <w:tcPr>
            <w:tcW w:w="3023"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391" w:type="dxa"/>
            <w:tcBorders/>
            <w:vAlign w:val="center"/>
          </w:tcPr>
          <w:p>
            <w:pPr>
              <w:pStyle w:val="TableContents"/>
              <w:bidi w:val="0"/>
              <w:spacing w:before="0" w:after="1"/>
              <w:ind w:left="0" w:right="0" w:hanging="0"/>
              <w:jc w:val="left"/>
              <w:rPr/>
            </w:pPr>
            <w:r>
              <w:rPr/>
              <w:t>​</w:t>
            </w:r>
          </w:p>
        </w:tc>
        <w:tc>
          <w:tcPr>
            <w:tcW w:w="302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91" w:type="dxa"/>
            <w:tcBorders/>
            <w:vAlign w:val="center"/>
          </w:tcPr>
          <w:p>
            <w:pPr>
              <w:pStyle w:val="TableContents"/>
              <w:bidi w:val="0"/>
              <w:spacing w:before="0" w:after="1"/>
              <w:ind w:left="0" w:right="0" w:hanging="0"/>
              <w:jc w:val="left"/>
              <w:rPr/>
            </w:pPr>
            <w:r>
              <w:rPr/>
              <w:t>​</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91" w:type="dxa"/>
            <w:tcBorders/>
            <w:vAlign w:val="center"/>
          </w:tcPr>
          <w:p>
            <w:pPr>
              <w:pStyle w:val="TableContents"/>
              <w:bidi w:val="0"/>
              <w:spacing w:before="0" w:after="1"/>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 Assets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  ​</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Interest-Bearing Deposits in Other Banks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1,252.2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34.6</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3.69</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46.9</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3.03</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4.57</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Held-to-Maturity Investment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2,857.0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35.9</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1.67</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2.29</w:t>
            </w:r>
          </w:p>
        </w:tc>
        <w:tc>
          <w:tcPr>
            <w:tcW w:w="39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5,512.0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92.9</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2.25</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Held for Sale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5.80</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and Leases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2,258.8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96.3</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5.70</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4,695.8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201.2</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5.73</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203.2</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36.6</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6.52</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4,049.7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122.4</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4.03</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42.4</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4.81</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61.0</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7.77</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3.52</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Loans and Leases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14,425.6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571.6</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5.29</w:t>
            </w:r>
          </w:p>
        </w:tc>
        <w:tc>
          <w:tcPr>
            <w:tcW w:w="39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14,269.0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583.7</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0.6</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Earning Assets</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21,217.2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699.7</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4.41</w:t>
            </w:r>
          </w:p>
        </w:tc>
        <w:tc>
          <w:tcPr>
            <w:tcW w:w="39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717.5</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Due from Banks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2,544.4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23,997.2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Interest-Bearing Deposits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Savings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6,352.7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56.6</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4,346.2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59.5</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3,308.1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67.4</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2.72</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Interest-Bearing Deposits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14,007.0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183.5</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13,484.8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212.8</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Funds Purchased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3.77</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Short-Term Borrowings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0.5</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3.27</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Interest-Bearing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14,026.8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184.0</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w:t>
            </w:r>
          </w:p>
        </w:tc>
        <w:tc>
          <w:tcPr>
            <w:tcW w:w="39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221.0</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515.7</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496.5</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Spread</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2.66</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Interest Margin</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Noninterest-Bearing Demand Deposits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6,497.4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31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2,810.7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310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23,997.2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Non-performing loans and leases are included in the respective average loan and lease balances. Income, if any, on such loans and leases is recognized on a cash basis.</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Interest income includes taxable-equivalent basis adjustments of $3.1 million for both the nine months ended September 30, 2026 and 2025, respectively.</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 xml:space="preserve">Interest rate spread is the difference between the average yield on earning assets and the average rate paid on interest-bearing liabilities, on a fully taxable-equivalent basis.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(4)</w:t>
            </w:r>
          </w:p>
        </w:tc>
        <w:tc>
          <w:tcPr>
            <w:tcW w:w="100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Net interest margin is net interest income annualized for the nine months ended September 30, 2026 and 2025, on a fully taxable-equivalent basis, divided by average total earning assets.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6643" w:type="dxa"/>
        <w:jc w:val="left"/>
        <w:tblInd w:w="0" w:type="dxa"/>
        <w:tblLayout w:type="fixed"/>
        <w:tblCellMar>
          <w:top w:w="0" w:type="dxa"/>
          <w:left w:w="0" w:type="dxa"/>
          <w:bottom w:w="0" w:type="dxa"/>
          <w:right w:w="0" w:type="dxa"/>
        </w:tblCellMar>
      </w:tblPr>
      <w:tblGrid>
        <w:gridCol w:w="3166"/>
        <w:gridCol w:w="346"/>
        <w:gridCol w:w="213"/>
        <w:gridCol w:w="492"/>
        <w:gridCol w:w="377"/>
        <w:gridCol w:w="213"/>
        <w:gridCol w:w="492"/>
        <w:gridCol w:w="377"/>
        <w:gridCol w:w="213"/>
        <w:gridCol w:w="754"/>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10410" cy="175260"/>
                      <wp:effectExtent l="0" t="0" r="0" b="0"/>
                      <wp:wrapNone/>
                      <wp:docPr id="113" name="Frame112"/>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78790" cy="175260"/>
                      <wp:effectExtent l="0" t="0" r="0" b="0"/>
                      <wp:wrapNone/>
                      <wp:docPr id="114" name="Frame113"/>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Analysis of Change in Net Interest Income</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Table 6</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31"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2026</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3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Compared to June 30, 2026</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346" w:type="dxa"/>
            <w:tcBorders/>
            <w:vAlign w:val="center"/>
          </w:tcPr>
          <w:p>
            <w:pPr>
              <w:pStyle w:val="TableContents"/>
              <w:bidi w:val="0"/>
              <w:spacing w:before="0" w:after="1"/>
              <w:ind w:left="0" w:right="0" w:hanging="0"/>
              <w:jc w:val="left"/>
              <w:rPr/>
            </w:pPr>
            <w:r>
              <w:rPr/>
              <w:t>​</w:t>
            </w:r>
          </w:p>
        </w:tc>
        <w:tc>
          <w:tcPr>
            <w:tcW w:w="7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77" w:type="dxa"/>
            <w:tcBorders/>
            <w:vAlign w:val="center"/>
          </w:tcPr>
          <w:p>
            <w:pPr>
              <w:pStyle w:val="TableContents"/>
              <w:bidi w:val="0"/>
              <w:spacing w:before="0" w:after="1"/>
              <w:ind w:left="0" w:right="0" w:hanging="0"/>
              <w:jc w:val="left"/>
              <w:rPr/>
            </w:pPr>
            <w:r>
              <w:rPr/>
              <w:t>​</w:t>
            </w:r>
          </w:p>
        </w:tc>
        <w:tc>
          <w:tcPr>
            <w:tcW w:w="7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77" w:type="dxa"/>
            <w:tcBorders/>
            <w:vAlign w:val="center"/>
          </w:tcPr>
          <w:p>
            <w:pPr>
              <w:pStyle w:val="TableContents"/>
              <w:bidi w:val="0"/>
              <w:spacing w:before="0" w:after="1"/>
              <w:ind w:left="0" w:right="0" w:hanging="0"/>
              <w:jc w:val="left"/>
              <w:rPr/>
            </w:pPr>
            <w:r>
              <w:rPr/>
              <w:t>​</w:t>
            </w:r>
          </w:p>
        </w:tc>
        <w:tc>
          <w:tcPr>
            <w:tcW w:w="9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xml:space="preserve"> </w:t>
            </w:r>
            <w:r>
              <w:rPr>
                <w:rFonts w:ascii="Times New Roman;Times;serif" w:hAnsi="Times New Roman;Times;serif"/>
                <w:b/>
                <w:sz w:val="12"/>
              </w:rPr>
              <w:t>(1)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Interest Income:</w:t>
            </w:r>
          </w:p>
        </w:tc>
        <w:tc>
          <w:tcPr>
            <w:tcW w:w="346" w:type="dxa"/>
            <w:tcBorders/>
            <w:shd w:fill="CCEEFF" w:val="clear"/>
            <w:vAlign w:val="center"/>
          </w:tcPr>
          <w:p>
            <w:pPr>
              <w:pStyle w:val="TableContents"/>
              <w:bidi w:val="0"/>
              <w:spacing w:before="0" w:after="1"/>
              <w:ind w:left="0" w:right="0" w:hanging="0"/>
              <w:jc w:val="left"/>
              <w:rPr/>
            </w:pPr>
            <w:r>
              <w:rPr/>
              <w:t>  ​ ​ ​</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  ​ ​ ​</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  ​ ​ ​</w:t>
            </w:r>
          </w:p>
        </w:tc>
        <w:tc>
          <w:tcPr>
            <w:tcW w:w="213"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 in Other Banks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Available-for-Sale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Held-to-Maturity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77"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and Leases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Construction</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mortgage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Home equity line</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financing</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77"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Loans and Leases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Change in Interest Income</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c>
          <w:tcPr>
            <w:tcW w:w="377"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w:t>
            </w:r>
          </w:p>
        </w:tc>
        <w:tc>
          <w:tcPr>
            <w:tcW w:w="377"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2.3</w:t>
            </w:r>
          </w:p>
        </w:tc>
      </w:tr>
      <w:tr>
        <w:trPr/>
        <w:tc>
          <w:tcPr>
            <w:tcW w:w="3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Interest Expense:</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Savings</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w:t>
            </w:r>
          </w:p>
        </w:tc>
        <w:tc>
          <w:tcPr>
            <w:tcW w:w="37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(1.6)</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0.8</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77"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Interest-Bearing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Change in Interest Expense</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77"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c>
          <w:tcPr>
            <w:tcW w:w="377"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2.3</w:t>
            </w:r>
          </w:p>
        </w:tc>
        <w:tc>
          <w:tcPr>
            <w:tcW w:w="377"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3.3</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change in interest income and expense not solely due to changes in volume or rate has been allocated on a pro-rata basis to the volume and rate columns.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6645" w:type="dxa"/>
        <w:jc w:val="left"/>
        <w:tblInd w:w="0" w:type="dxa"/>
        <w:tblLayout w:type="fixed"/>
        <w:tblCellMar>
          <w:top w:w="0" w:type="dxa"/>
          <w:left w:w="0" w:type="dxa"/>
          <w:bottom w:w="0" w:type="dxa"/>
          <w:right w:w="0" w:type="dxa"/>
        </w:tblCellMar>
      </w:tblPr>
      <w:tblGrid>
        <w:gridCol w:w="3166"/>
        <w:gridCol w:w="346"/>
        <w:gridCol w:w="207"/>
        <w:gridCol w:w="477"/>
        <w:gridCol w:w="366"/>
        <w:gridCol w:w="207"/>
        <w:gridCol w:w="572"/>
        <w:gridCol w:w="366"/>
        <w:gridCol w:w="207"/>
        <w:gridCol w:w="73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10410" cy="175260"/>
                      <wp:effectExtent l="0" t="0" r="0" b="0"/>
                      <wp:wrapNone/>
                      <wp:docPr id="115" name="Frame11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64185" cy="175260"/>
                      <wp:effectExtent l="0" t="0" r="0" b="0"/>
                      <wp:wrapNone/>
                      <wp:docPr id="116" name="Frame115"/>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Analysis of Change in Net Interest Income</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Table 7</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3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2026</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3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Compared to September 30, 2025</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346" w:type="dxa"/>
            <w:tcBorders/>
            <w:vAlign w:val="center"/>
          </w:tcPr>
          <w:p>
            <w:pPr>
              <w:pStyle w:val="TableContents"/>
              <w:bidi w:val="0"/>
              <w:spacing w:before="0" w:after="1"/>
              <w:ind w:left="0" w:right="0" w:hanging="0"/>
              <w:jc w:val="left"/>
              <w:rPr/>
            </w:pPr>
            <w:r>
              <w:rPr/>
              <w:t>​</w:t>
            </w:r>
          </w:p>
        </w:tc>
        <w:tc>
          <w:tcPr>
            <w:tcW w:w="6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66" w:type="dxa"/>
            <w:tcBorders/>
            <w:vAlign w:val="center"/>
          </w:tcPr>
          <w:p>
            <w:pPr>
              <w:pStyle w:val="TableContents"/>
              <w:bidi w:val="0"/>
              <w:spacing w:before="0" w:after="1"/>
              <w:ind w:left="0" w:right="0" w:hanging="0"/>
              <w:jc w:val="left"/>
              <w:rPr/>
            </w:pPr>
            <w:r>
              <w:rPr/>
              <w:t>​</w:t>
            </w:r>
          </w:p>
        </w:tc>
        <w:tc>
          <w:tcPr>
            <w:tcW w:w="7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6" w:type="dxa"/>
            <w:tcBorders/>
            <w:vAlign w:val="center"/>
          </w:tcPr>
          <w:p>
            <w:pPr>
              <w:pStyle w:val="TableContents"/>
              <w:bidi w:val="0"/>
              <w:spacing w:before="0" w:after="1"/>
              <w:ind w:left="0" w:right="0" w:hanging="0"/>
              <w:jc w:val="left"/>
              <w:rPr/>
            </w:pPr>
            <w:r>
              <w:rPr/>
              <w:t>​</w:t>
            </w:r>
          </w:p>
        </w:tc>
        <w:tc>
          <w:tcPr>
            <w:tcW w:w="9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 xml:space="preserve">Total </w:t>
            </w:r>
            <w:r>
              <w:rPr>
                <w:rFonts w:ascii="Times New Roman;Times;serif" w:hAnsi="Times New Roman;Times;serif"/>
                <w:b/>
                <w:sz w:val="12"/>
              </w:rPr>
              <w:t>(1)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Interest Income:</w:t>
            </w:r>
          </w:p>
        </w:tc>
        <w:tc>
          <w:tcPr>
            <w:tcW w:w="346" w:type="dxa"/>
            <w:tcBorders/>
            <w:shd w:fill="CCEEFF" w:val="clear"/>
            <w:vAlign w:val="center"/>
          </w:tcPr>
          <w:p>
            <w:pPr>
              <w:pStyle w:val="TableContents"/>
              <w:bidi w:val="0"/>
              <w:spacing w:before="0" w:after="1"/>
              <w:ind w:left="0" w:right="0" w:hanging="0"/>
              <w:jc w:val="left"/>
              <w:rPr/>
            </w:pPr>
            <w:r>
              <w:rPr/>
              <w:t>  ​ ​ ​</w:t>
            </w:r>
          </w:p>
        </w:tc>
        <w:tc>
          <w:tcPr>
            <w:tcW w:w="207"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  ​ ​ ​</w:t>
            </w:r>
          </w:p>
        </w:tc>
        <w:tc>
          <w:tcPr>
            <w:tcW w:w="207"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  ​ ​ ​</w:t>
            </w:r>
          </w:p>
        </w:tc>
        <w:tc>
          <w:tcPr>
            <w:tcW w:w="207"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 in Other Banks</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77"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(3.1)</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(2.3)</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(5.4)</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Available-for-Sale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Held-to-Maturity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Non-Taxable</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6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1.6</w:t>
            </w:r>
          </w:p>
        </w:tc>
        <w:tc>
          <w:tcPr>
            <w:tcW w:w="36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and Leases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(3.1)</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3.8</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(5.1)</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Construction</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(3.0)</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(3.4)</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mortgage</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Home equity line</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financing</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(0.8)</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Loans and Leases</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w:t>
            </w:r>
          </w:p>
        </w:tc>
        <w:tc>
          <w:tcPr>
            <w:tcW w:w="36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(8.1)</w:t>
            </w:r>
          </w:p>
        </w:tc>
        <w:tc>
          <w:tcPr>
            <w:tcW w:w="36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(3.8)</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Change in Interest Income</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c>
          <w:tcPr>
            <w:tcW w:w="36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w:t>
            </w:r>
          </w:p>
        </w:tc>
        <w:tc>
          <w:tcPr>
            <w:tcW w:w="36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(8.0)</w:t>
            </w:r>
          </w:p>
        </w:tc>
      </w:tr>
      <w:tr>
        <w:trPr/>
        <w:tc>
          <w:tcPr>
            <w:tcW w:w="3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Interest Expense:</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Savings</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(3.6)</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(3.9)</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2.9</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(6.0)</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(0.6)</w:t>
            </w:r>
          </w:p>
        </w:tc>
        <w:tc>
          <w:tcPr>
            <w:tcW w:w="36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(3.0)</w:t>
            </w:r>
          </w:p>
        </w:tc>
        <w:tc>
          <w:tcPr>
            <w:tcW w:w="36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(3.6)</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Interest-Bearing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(12.6)</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Short-Term Borrowings</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w:t>
            </w:r>
          </w:p>
        </w:tc>
        <w:tc>
          <w:tcPr>
            <w:tcW w:w="36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Change in Interest Expense</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w:t>
            </w:r>
          </w:p>
        </w:tc>
        <w:tc>
          <w:tcPr>
            <w:tcW w:w="36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(13.8)</w:t>
            </w:r>
          </w:p>
        </w:tc>
        <w:tc>
          <w:tcPr>
            <w:tcW w:w="36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(12.8)</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4.9</w:t>
            </w:r>
          </w:p>
        </w:tc>
        <w:tc>
          <w:tcPr>
            <w:tcW w:w="36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4.8</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change in interest income and expense not solely due to changes in volume or rate has been allocated on a pro-rata basis to the volume and rate columns.</w:t>
            </w:r>
          </w:p>
        </w:tc>
      </w:tr>
    </w:tbl>
    <w:p>
      <w:pPr>
        <w:pStyle w:val="HorizontalLine"/>
        <w:pBdr>
          <w:bottom w:val="double" w:sz="2" w:space="0" w:color="808080"/>
        </w:pBdr>
        <w:bidi w:val="0"/>
        <w:spacing w:before="0" w:after="283"/>
        <w:jc w:val="left"/>
        <w:rPr/>
      </w:pPr>
      <w:r>
        <w:rPr/>
      </w:r>
    </w:p>
    <w:tbl>
      <w:tblPr>
        <w:tblW w:w="6554" w:type="dxa"/>
        <w:jc w:val="left"/>
        <w:tblInd w:w="0" w:type="dxa"/>
        <w:tblLayout w:type="fixed"/>
        <w:tblCellMar>
          <w:top w:w="0" w:type="dxa"/>
          <w:left w:w="0" w:type="dxa"/>
          <w:bottom w:w="0" w:type="dxa"/>
          <w:right w:w="0" w:type="dxa"/>
        </w:tblCellMar>
      </w:tblPr>
      <w:tblGrid>
        <w:gridCol w:w="3166"/>
        <w:gridCol w:w="346"/>
        <w:gridCol w:w="201"/>
        <w:gridCol w:w="463"/>
        <w:gridCol w:w="355"/>
        <w:gridCol w:w="201"/>
        <w:gridCol w:w="556"/>
        <w:gridCol w:w="355"/>
        <w:gridCol w:w="201"/>
        <w:gridCol w:w="710"/>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10410" cy="175260"/>
                      <wp:effectExtent l="0" t="0" r="0" b="0"/>
                      <wp:wrapNone/>
                      <wp:docPr id="117" name="Frame116"/>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27635" cy="175260"/>
                      <wp:effectExtent l="0" t="0" r="0" b="0"/>
                      <wp:wrapNone/>
                      <wp:docPr id="119" name="Frame118"/>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25425" cy="175260"/>
                      <wp:effectExtent l="0" t="0" r="0" b="0"/>
                      <wp:wrapNone/>
                      <wp:docPr id="120" name="Frame119"/>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7635" cy="175260"/>
                      <wp:effectExtent l="0" t="0" r="0" b="0"/>
                      <wp:wrapNone/>
                      <wp:docPr id="121" name="Frame120"/>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5425" cy="175260"/>
                      <wp:effectExtent l="0" t="0" r="0" b="0"/>
                      <wp:wrapNone/>
                      <wp:docPr id="122" name="Frame12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50850" cy="175260"/>
                      <wp:effectExtent l="0" t="0" r="0" b="0"/>
                      <wp:wrapNone/>
                      <wp:docPr id="123" name="Frame122"/>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Analysis of Change in Net Interest Income</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Table 8</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42"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2026</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4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Compared to September 30, 2025</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6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55" w:type="dxa"/>
            <w:tcBorders/>
            <w:vAlign w:val="center"/>
          </w:tcPr>
          <w:p>
            <w:pPr>
              <w:pStyle w:val="TableContents"/>
              <w:bidi w:val="0"/>
              <w:spacing w:before="0" w:after="1"/>
              <w:ind w:left="0" w:right="0" w:hanging="0"/>
              <w:jc w:val="left"/>
              <w:rPr/>
            </w:pPr>
            <w:r>
              <w:rPr/>
              <w:t>  ​ ​ ​</w:t>
            </w:r>
          </w:p>
        </w:tc>
        <w:tc>
          <w:tcPr>
            <w:tcW w:w="7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55" w:type="dxa"/>
            <w:tcBorders/>
            <w:vAlign w:val="center"/>
          </w:tcPr>
          <w:p>
            <w:pPr>
              <w:pStyle w:val="TableContents"/>
              <w:bidi w:val="0"/>
              <w:spacing w:before="0" w:after="1"/>
              <w:ind w:left="0" w:right="0" w:hanging="0"/>
              <w:jc w:val="left"/>
              <w:rPr/>
            </w:pPr>
            <w:r>
              <w:rPr/>
              <w:t>  ​ ​ ​</w:t>
            </w:r>
          </w:p>
        </w:tc>
        <w:tc>
          <w:tcPr>
            <w:tcW w:w="9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 xml:space="preserve">Total </w:t>
            </w:r>
            <w:r>
              <w:rPr>
                <w:rFonts w:ascii="Times New Roman;Times;serif" w:hAnsi="Times New Roman;Times;serif"/>
                <w:b/>
                <w:sz w:val="12"/>
              </w:rPr>
              <w:t>(1)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 in Other Banks</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6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(6.9)</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Available-for-Sale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3.7</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4.2</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7.9</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Non-Taxable</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Held-to-Maturity Investment Securities</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(3.0)</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(3.7)</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Non-Taxable</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(0.1)</w:t>
            </w:r>
          </w:p>
        </w:tc>
        <w:tc>
          <w:tcPr>
            <w:tcW w:w="355"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55"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(0.4)</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3.7</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and Leases</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(8.4)</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(6.2)</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11.7</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(13.7)</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Construction</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(7.7)</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(9.0)</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mortgage</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Home equity line</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0.8</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3.3</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financing</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55"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w:t>
            </w:r>
          </w:p>
        </w:tc>
        <w:tc>
          <w:tcPr>
            <w:tcW w:w="355"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Loans and Leases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7.3</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(19.4)</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Earning Assets</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(0.2)</w:t>
            </w:r>
          </w:p>
        </w:tc>
        <w:tc>
          <w:tcPr>
            <w:tcW w:w="355"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(0.5)</w:t>
            </w:r>
          </w:p>
        </w:tc>
        <w:tc>
          <w:tcPr>
            <w:tcW w:w="355"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Change in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5.8</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(23.6)</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(17.8)</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Savings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0.9</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(8.4)</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(7.5)</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8.0</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(17.7)</w:t>
            </w:r>
          </w:p>
        </w:tc>
        <w:tc>
          <w:tcPr>
            <w:tcW w:w="355"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(11.0)</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Interest-Bearing Deposits</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7.8</w:t>
            </w:r>
          </w:p>
        </w:tc>
        <w:tc>
          <w:tcPr>
            <w:tcW w:w="355"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(37.1)</w:t>
            </w:r>
          </w:p>
        </w:tc>
        <w:tc>
          <w:tcPr>
            <w:tcW w:w="355"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(29.3)</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Short-Term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(3.7)</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(3.7)</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(7.4)</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Interest-Bearing Liabilities</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5"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c>
          <w:tcPr>
            <w:tcW w:w="355"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(0.3)</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Change in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4.1</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(41.1)</w:t>
            </w:r>
          </w:p>
        </w:tc>
        <w:tc>
          <w:tcPr>
            <w:tcW w:w="355"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(37.0)</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Change in Net Interest Income</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w:t>
            </w:r>
          </w:p>
        </w:tc>
        <w:tc>
          <w:tcPr>
            <w:tcW w:w="355"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17.5</w:t>
            </w:r>
          </w:p>
        </w:tc>
        <w:tc>
          <w:tcPr>
            <w:tcW w:w="355"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1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19.2</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change in interest income and expense not solely due to changes in volume or rate has been allocated on a pro-rata basis to the volume and rate columns.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8758" w:type="dxa"/>
        <w:jc w:val="left"/>
        <w:tblInd w:w="0" w:type="dxa"/>
        <w:tblLayout w:type="fixed"/>
        <w:tblCellMar>
          <w:top w:w="0" w:type="dxa"/>
          <w:left w:w="0" w:type="dxa"/>
          <w:bottom w:w="0" w:type="dxa"/>
          <w:right w:w="0" w:type="dxa"/>
        </w:tblCellMar>
      </w:tblPr>
      <w:tblGrid>
        <w:gridCol w:w="2281"/>
        <w:gridCol w:w="346"/>
        <w:gridCol w:w="211"/>
        <w:gridCol w:w="1036"/>
        <w:gridCol w:w="346"/>
        <w:gridCol w:w="211"/>
        <w:gridCol w:w="1036"/>
        <w:gridCol w:w="346"/>
        <w:gridCol w:w="211"/>
        <w:gridCol w:w="1036"/>
        <w:gridCol w:w="346"/>
        <w:gridCol w:w="211"/>
        <w:gridCol w:w="114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48435" cy="175260"/>
                      <wp:effectExtent l="0" t="0" r="0" b="0"/>
                      <wp:wrapNone/>
                      <wp:docPr id="124" name="Frame123"/>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57860" cy="175260"/>
                      <wp:effectExtent l="0" t="0" r="0" b="0"/>
                      <wp:wrapNone/>
                      <wp:docPr id="127" name="Frame1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57860" cy="175260"/>
                      <wp:effectExtent l="0" t="0" r="0" b="0"/>
                      <wp:wrapNone/>
                      <wp:docPr id="130" name="Frame1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57860" cy="175260"/>
                      <wp:effectExtent l="0" t="0" r="0" b="0"/>
                      <wp:wrapNone/>
                      <wp:docPr id="133" name="Frame1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24535" cy="175260"/>
                      <wp:effectExtent l="0" t="0" r="0" b="0"/>
                      <wp:wrapNone/>
                      <wp:docPr id="136" name="Frame13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Loans and Leases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9</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2,304,567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2,027,504</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4,714,502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4,783,130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4,590,326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4,513,706</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739,531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731,766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808,275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881,462</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3,996,717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4,044,207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4,096,300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4,077,946</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1,177,610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1,181,396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1,178,527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1,170,822</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5,174,327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5,225,603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5,274,827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5,248,768</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1,067,697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1,046,461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1,025,838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1,013,663</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461,604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450,457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441,930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444,280</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loans and leases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14,462,228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14,577,299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14,312,529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14,129,383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8098" w:type="dxa"/>
        <w:jc w:val="left"/>
        <w:tblInd w:w="0" w:type="dxa"/>
        <w:tblLayout w:type="fixed"/>
        <w:tblCellMar>
          <w:top w:w="0" w:type="dxa"/>
          <w:left w:w="0" w:type="dxa"/>
          <w:bottom w:w="0" w:type="dxa"/>
          <w:right w:w="0" w:type="dxa"/>
        </w:tblCellMar>
      </w:tblPr>
      <w:tblGrid>
        <w:gridCol w:w="1621"/>
        <w:gridCol w:w="346"/>
        <w:gridCol w:w="211"/>
        <w:gridCol w:w="1036"/>
        <w:gridCol w:w="346"/>
        <w:gridCol w:w="211"/>
        <w:gridCol w:w="1036"/>
        <w:gridCol w:w="346"/>
        <w:gridCol w:w="211"/>
        <w:gridCol w:w="1036"/>
        <w:gridCol w:w="346"/>
        <w:gridCol w:w="211"/>
        <w:gridCol w:w="1141"/>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029335" cy="175260"/>
                      <wp:effectExtent l="0" t="0" r="0" b="0"/>
                      <wp:wrapNone/>
                      <wp:docPr id="137" name="Frame136"/>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57860" cy="175260"/>
                      <wp:effectExtent l="0" t="0" r="0" b="0"/>
                      <wp:wrapNone/>
                      <wp:docPr id="140" name="Frame13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57860" cy="175260"/>
                      <wp:effectExtent l="0" t="0" r="0" b="0"/>
                      <wp:wrapNone/>
                      <wp:docPr id="143" name="Frame14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57860" cy="175260"/>
                      <wp:effectExtent l="0" t="0" r="0" b="0"/>
                      <wp:wrapNone/>
                      <wp:docPr id="146" name="Frame1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24535" cy="175260"/>
                      <wp:effectExtent l="0" t="0" r="0" b="0"/>
                      <wp:wrapNone/>
                      <wp:docPr id="149" name="Frame14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Deposits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10</w: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1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6,400,906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6,447,789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6,547,292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6,782,172</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6,248,848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6,132,746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6,308,873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6,691,136</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4,313,623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4,283,982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4,289,370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3,874,614</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3,241,193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3,289,664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3,370,133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3,381,635</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20,204,570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20,154,181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20,515,668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20,729,557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4199"/>
        <w:gridCol w:w="346"/>
        <w:gridCol w:w="203"/>
        <w:gridCol w:w="952"/>
        <w:gridCol w:w="346"/>
        <w:gridCol w:w="196"/>
        <w:gridCol w:w="916"/>
        <w:gridCol w:w="346"/>
        <w:gridCol w:w="199"/>
        <w:gridCol w:w="929"/>
        <w:gridCol w:w="346"/>
        <w:gridCol w:w="197"/>
        <w:gridCol w:w="1030"/>
      </w:tblGrid>
      <w:tr>
        <w:trPr/>
        <w:tc>
          <w:tcPr>
            <w:tcW w:w="4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666365" cy="175260"/>
                      <wp:effectExtent l="0" t="0" r="0" b="0"/>
                      <wp:wrapNone/>
                      <wp:docPr id="150" name="Frame149"/>
                      <a:graphic xmlns:a="http://schemas.openxmlformats.org/drawingml/2006/main">
                        <a:graphicData uri="http://schemas.microsoft.com/office/word/2010/wordprocessingShape">
                          <wps:wsp>
                            <wps:cNvSpPr txBox="1"/>
                            <wps:spPr>
                              <a:xfrm>
                                <a:off x="0" y="0"/>
                                <a:ext cx="266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8905" cy="175260"/>
                      <wp:effectExtent l="0" t="0" r="0" b="0"/>
                      <wp:wrapNone/>
                      <wp:docPr id="152" name="Frame151"/>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04520" cy="175260"/>
                      <wp:effectExtent l="0" t="0" r="0" b="0"/>
                      <wp:wrapNone/>
                      <wp:docPr id="153" name="Frame152"/>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24460" cy="175260"/>
                      <wp:effectExtent l="0" t="0" r="0" b="0"/>
                      <wp:wrapNone/>
                      <wp:docPr id="155" name="Frame1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81660" cy="175260"/>
                      <wp:effectExtent l="0" t="0" r="0" b="0"/>
                      <wp:wrapNone/>
                      <wp:docPr id="156" name="Frame15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6365" cy="175260"/>
                      <wp:effectExtent l="0" t="0" r="0" b="0"/>
                      <wp:wrapNone/>
                      <wp:docPr id="158" name="Frame157"/>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89915" cy="175260"/>
                      <wp:effectExtent l="0" t="0" r="0" b="0"/>
                      <wp:wrapNone/>
                      <wp:docPr id="159" name="Frame158"/>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5095" cy="175260"/>
                      <wp:effectExtent l="0" t="0" r="0" b="0"/>
                      <wp:wrapNone/>
                      <wp:docPr id="161" name="Frame160"/>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54050" cy="175260"/>
                      <wp:effectExtent l="0" t="0" r="0" b="0"/>
                      <wp:wrapNone/>
                      <wp:docPr id="162" name="Frame161"/>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Non-Performing Assets and Accruing Loans and Leases Past Due 90 Days or More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11</w:t>
            </w:r>
          </w:p>
        </w:tc>
      </w:tr>
      <w:tr>
        <w:trPr/>
        <w:tc>
          <w:tcPr>
            <w:tcW w:w="41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2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1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Non-Performing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r>
      <w:tr>
        <w:trPr/>
        <w:tc>
          <w:tcPr>
            <w:tcW w:w="4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Non-Accrual Loans and Leases</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Loans: </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r>
      <w:tr>
        <w:trPr/>
        <w:tc>
          <w:tcPr>
            <w:tcW w:w="4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4,054</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8,805</w:t>
            </w:r>
          </w:p>
        </w:tc>
        <w:tc>
          <w:tcPr>
            <w:tcW w:w="34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1,084</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13,833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2,879</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3,007</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3,089</w:t>
            </w:r>
          </w:p>
        </w:tc>
      </w:tr>
      <w:tr>
        <w:trPr/>
        <w:tc>
          <w:tcPr>
            <w:tcW w:w="4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w:t>
            </w:r>
          </w:p>
        </w:tc>
        <w:tc>
          <w:tcPr>
            <w:tcW w:w="34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r>
      <w:tr>
        <w:trPr/>
        <w:tc>
          <w:tcPr>
            <w:tcW w:w="4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Loans</w:t>
            </w:r>
          </w:p>
        </w:tc>
        <w:tc>
          <w:tcPr>
            <w:tcW w:w="3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16,700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9,401</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14,334</w:t>
            </w:r>
          </w:p>
        </w:tc>
        <w:tc>
          <w:tcPr>
            <w:tcW w:w="346" w:type="dxa"/>
            <w:tcBorders/>
            <w:vAlign w:val="center"/>
          </w:tcPr>
          <w:p>
            <w:pPr>
              <w:pStyle w:val="TableContents"/>
              <w:bidi w:val="0"/>
              <w:spacing w:before="0" w:after="0"/>
              <w:ind w:left="0" w:right="0" w:hanging="0"/>
              <w:jc w:val="righ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5,246</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Loans:</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r>
      <w:tr>
        <w:trPr/>
        <w:tc>
          <w:tcPr>
            <w:tcW w:w="4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19,244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18,675</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16,423</w:t>
            </w:r>
          </w:p>
        </w:tc>
        <w:tc>
          <w:tcPr>
            <w:tcW w:w="34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16,702</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10,030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11,425</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10,271</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8,385</w:t>
            </w:r>
          </w:p>
        </w:tc>
      </w:tr>
      <w:tr>
        <w:trPr/>
        <w:tc>
          <w:tcPr>
            <w:tcW w:w="4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Residential Loans</w:t>
            </w:r>
          </w:p>
        </w:tc>
        <w:tc>
          <w:tcPr>
            <w:tcW w:w="3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29,274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30,100</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26,694</w:t>
            </w:r>
          </w:p>
        </w:tc>
        <w:tc>
          <w:tcPr>
            <w:tcW w:w="346" w:type="dxa"/>
            <w:tcBorders/>
            <w:vAlign w:val="center"/>
          </w:tcPr>
          <w:p>
            <w:pPr>
              <w:pStyle w:val="TableContents"/>
              <w:bidi w:val="0"/>
              <w:spacing w:before="0" w:after="0"/>
              <w:ind w:left="0" w:right="0" w:hanging="0"/>
              <w:jc w:val="righ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25,087</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w:t>
            </w:r>
          </w:p>
        </w:tc>
      </w:tr>
      <w:tr>
        <w:trPr/>
        <w:tc>
          <w:tcPr>
            <w:tcW w:w="4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Non-Accrual Loans and Leases</w:t>
            </w:r>
          </w:p>
        </w:tc>
        <w:tc>
          <w:tcPr>
            <w:tcW w:w="3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45,974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39,501</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41,028</w:t>
            </w:r>
          </w:p>
        </w:tc>
        <w:tc>
          <w:tcPr>
            <w:tcW w:w="346" w:type="dxa"/>
            <w:tcBorders/>
            <w:vAlign w:val="center"/>
          </w:tcPr>
          <w:p>
            <w:pPr>
              <w:pStyle w:val="TableContents"/>
              <w:bidi w:val="0"/>
              <w:spacing w:before="0" w:after="0"/>
              <w:ind w:left="0" w:right="0" w:hanging="0"/>
              <w:jc w:val="righ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30,933</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Non-Performing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45,974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39,501</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41,028</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30,933</w:t>
            </w:r>
          </w:p>
        </w:tc>
      </w:tr>
      <w:tr>
        <w:trPr/>
        <w:tc>
          <w:tcPr>
            <w:tcW w:w="41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03"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Accruing Loans and Leases Past Due 90 Days or More</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r>
      <w:tr>
        <w:trPr/>
        <w:tc>
          <w:tcPr>
            <w:tcW w:w="4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Loans:</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w:t>
            </w:r>
          </w:p>
        </w:tc>
      </w:tr>
      <w:tr>
        <w:trPr/>
        <w:tc>
          <w:tcPr>
            <w:tcW w:w="4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2,063</w:t>
            </w:r>
          </w:p>
        </w:tc>
      </w:tr>
      <w:tr>
        <w:trPr/>
        <w:tc>
          <w:tcPr>
            <w:tcW w:w="4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Loans</w:t>
            </w:r>
          </w:p>
        </w:tc>
        <w:tc>
          <w:tcPr>
            <w:tcW w:w="3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2,093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346" w:type="dxa"/>
            <w:tcBorders/>
            <w:vAlign w:val="center"/>
          </w:tcPr>
          <w:p>
            <w:pPr>
              <w:pStyle w:val="TableContents"/>
              <w:bidi w:val="0"/>
              <w:spacing w:before="0" w:after="0"/>
              <w:ind w:left="0" w:right="0" w:hanging="0"/>
              <w:jc w:val="righ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2,696</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14,963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771</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627</w:t>
            </w:r>
          </w:p>
        </w:tc>
      </w:tr>
      <w:tr>
        <w:trPr/>
        <w:tc>
          <w:tcPr>
            <w:tcW w:w="4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3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3,073</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2,984</w:t>
            </w:r>
          </w:p>
        </w:tc>
        <w:tc>
          <w:tcPr>
            <w:tcW w:w="346" w:type="dxa"/>
            <w:tcBorders/>
            <w:vAlign w:val="center"/>
          </w:tcPr>
          <w:p>
            <w:pPr>
              <w:pStyle w:val="TableContents"/>
              <w:bidi w:val="0"/>
              <w:spacing w:before="0" w:after="0"/>
              <w:ind w:left="0" w:right="0" w:hanging="0"/>
              <w:jc w:val="righ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2,566</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Accruing Loans and Leases Past Due 90 Days or More</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19,227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4,093</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3,357</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5,889</w:t>
            </w:r>
          </w:p>
        </w:tc>
      </w:tr>
      <w:tr>
        <w:trPr/>
        <w:tc>
          <w:tcPr>
            <w:tcW w:w="41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r>
      <w:tr>
        <w:trPr/>
        <w:tc>
          <w:tcPr>
            <w:tcW w:w="41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 and Leases</w:t>
            </w:r>
          </w:p>
        </w:tc>
        <w:tc>
          <w:tcPr>
            <w:tcW w:w="346" w:type="dxa"/>
            <w:tcBorders/>
            <w:shd w:fill="CCEEFF" w:val="clear"/>
            <w:vAlign w:val="center"/>
          </w:tcPr>
          <w:p>
            <w:pPr>
              <w:pStyle w:val="TableContents"/>
              <w:bidi w:val="0"/>
              <w:spacing w:before="0" w:after="0"/>
              <w:ind w:left="0" w:right="0" w:hanging="0"/>
              <w:jc w:val="center"/>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14,462,228</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14,577,299</w:t>
            </w:r>
          </w:p>
        </w:tc>
        <w:tc>
          <w:tcPr>
            <w:tcW w:w="346" w:type="dxa"/>
            <w:tcBorders/>
            <w:shd w:fill="CCEEFF" w:val="clear"/>
            <w:vAlign w:val="center"/>
          </w:tcPr>
          <w:p>
            <w:pPr>
              <w:pStyle w:val="TableContents"/>
              <w:bidi w:val="0"/>
              <w:spacing w:before="0" w:after="0"/>
              <w:ind w:left="0" w:right="0" w:hanging="0"/>
              <w:jc w:val="center"/>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14,312,529</w:t>
            </w:r>
          </w:p>
        </w:tc>
        <w:tc>
          <w:tcPr>
            <w:tcW w:w="346" w:type="dxa"/>
            <w:tcBorders/>
            <w:shd w:fill="CCEEFF" w:val="clear"/>
            <w:vAlign w:val="center"/>
          </w:tcPr>
          <w:p>
            <w:pPr>
              <w:pStyle w:val="TableContents"/>
              <w:bidi w:val="0"/>
              <w:spacing w:before="0" w:after="0"/>
              <w:ind w:left="0" w:right="0" w:hanging="0"/>
              <w:jc w:val="righ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14,129,383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570"/>
        <w:gridCol w:w="346"/>
        <w:gridCol w:w="197"/>
        <w:gridCol w:w="921"/>
        <w:gridCol w:w="361"/>
        <w:gridCol w:w="196"/>
        <w:gridCol w:w="916"/>
        <w:gridCol w:w="346"/>
        <w:gridCol w:w="197"/>
        <w:gridCol w:w="921"/>
        <w:gridCol w:w="346"/>
        <w:gridCol w:w="197"/>
        <w:gridCol w:w="921"/>
        <w:gridCol w:w="361"/>
        <w:gridCol w:w="197"/>
        <w:gridCol w:w="921"/>
        <w:gridCol w:w="291"/>
      </w:tblGrid>
      <w:tr>
        <w:trPr/>
        <w:tc>
          <w:tcPr>
            <w:tcW w:w="2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31950" cy="175260"/>
                      <wp:effectExtent l="0" t="0" r="0" b="0"/>
                      <wp:wrapNone/>
                      <wp:docPr id="163" name="Frame162"/>
                      <a:graphic xmlns:a="http://schemas.openxmlformats.org/drawingml/2006/main">
                        <a:graphicData uri="http://schemas.microsoft.com/office/word/2010/wordprocessingShape">
                          <wps:wsp>
                            <wps:cNvSpPr txBox="1"/>
                            <wps:spPr>
                              <a:xfrm>
                                <a:off x="0" y="0"/>
                                <a:ext cx="163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25095" cy="175260"/>
                      <wp:effectExtent l="0" t="0" r="0" b="0"/>
                      <wp:wrapNone/>
                      <wp:docPr id="165" name="Frame164"/>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84835" cy="175260"/>
                      <wp:effectExtent l="0" t="0" r="0" b="0"/>
                      <wp:wrapNone/>
                      <wp:docPr id="166" name="Frame165"/>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29235" cy="175260"/>
                      <wp:effectExtent l="0" t="0" r="0" b="0"/>
                      <wp:wrapNone/>
                      <wp:docPr id="167" name="Frame16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4460" cy="175260"/>
                      <wp:effectExtent l="0" t="0" r="0" b="0"/>
                      <wp:wrapNone/>
                      <wp:docPr id="168" name="Frame1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81660" cy="175260"/>
                      <wp:effectExtent l="0" t="0" r="0" b="0"/>
                      <wp:wrapNone/>
                      <wp:docPr id="169" name="Frame16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5095" cy="175260"/>
                      <wp:effectExtent l="0" t="0" r="0" b="0"/>
                      <wp:wrapNone/>
                      <wp:docPr id="171" name="Frame170"/>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84835" cy="175260"/>
                      <wp:effectExtent l="0" t="0" r="0" b="0"/>
                      <wp:wrapNone/>
                      <wp:docPr id="172" name="Frame171"/>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5095" cy="175260"/>
                      <wp:effectExtent l="0" t="0" r="0" b="0"/>
                      <wp:wrapNone/>
                      <wp:docPr id="174" name="Frame173"/>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84835" cy="175260"/>
                      <wp:effectExtent l="0" t="0" r="0" b="0"/>
                      <wp:wrapNone/>
                      <wp:docPr id="175" name="Frame174"/>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29235" cy="175260"/>
                      <wp:effectExtent l="0" t="0" r="0" b="0"/>
                      <wp:wrapNone/>
                      <wp:docPr id="176" name="Frame17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5095" cy="175260"/>
                      <wp:effectExtent l="0" t="0" r="0" b="0"/>
                      <wp:wrapNone/>
                      <wp:docPr id="177" name="Frame176"/>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84835" cy="175260"/>
                      <wp:effectExtent l="0" t="0" r="0" b="0"/>
                      <wp:wrapNone/>
                      <wp:docPr id="178" name="Frame177"/>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84785" cy="175260"/>
                      <wp:effectExtent l="0" t="0" r="0" b="0"/>
                      <wp:wrapNone/>
                      <wp:docPr id="179" name="Frame178"/>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Allowance for Credit Losses and Reserve for Unfunded Commitments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89" w:type="dxa"/>
            <w:gridSpan w:val="15"/>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12</w:t>
            </w:r>
          </w:p>
        </w:tc>
      </w:tr>
      <w:tr>
        <w:trPr/>
        <w:tc>
          <w:tcPr>
            <w:tcW w:w="25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5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center"/>
              <w:rPr/>
            </w:pPr>
            <w:r>
              <w:rPr/>
              <w:t>​</w:t>
            </w:r>
          </w:p>
        </w:tc>
        <w:tc>
          <w:tcPr>
            <w:tcW w:w="11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0"/>
              <w:ind w:left="0" w:right="0" w:hanging="0"/>
              <w:jc w:val="left"/>
              <w:rPr/>
            </w:pPr>
            <w:r>
              <w:rPr/>
              <w:t>​</w:t>
            </w:r>
          </w:p>
        </w:tc>
        <w:tc>
          <w:tcPr>
            <w:tcW w:w="11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205,728</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204,265</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201,172</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204,165</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193,240</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and Leases Charged-Off</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Loans:</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(6,918)</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(1,106)</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(10,312)</w:t>
            </w:r>
          </w:p>
        </w:tc>
        <w:tc>
          <w:tcPr>
            <w:tcW w:w="361"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(3,253)</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(12,465)</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(12,465)</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w:t>
            </w:r>
          </w:p>
        </w:tc>
        <w:tc>
          <w:tcPr>
            <w:tcW w:w="361"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Loans</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(19,389)</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(1,686)</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(22,783)</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(3,915)</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w:t>
            </w:r>
          </w:p>
        </w:tc>
        <w:tc>
          <w:tcPr>
            <w:tcW w:w="361"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(6,281)</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(5,490)</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(4,719)</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(16,615)</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(14,287)</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 and Leases Charged-Off</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(25,670)</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(6,282)</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(6,405)</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(39,421)</w:t>
            </w:r>
          </w:p>
        </w:tc>
        <w:tc>
          <w:tcPr>
            <w:tcW w:w="361"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(18,232)</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Recoveries on Loans and Leases Previously Charged-Off</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Loans:</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1,444</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1,991</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Loans</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1,444</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1,994</w:t>
            </w:r>
          </w:p>
        </w:tc>
        <w:tc>
          <w:tcPr>
            <w:tcW w:w="361"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1,260</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Loans:</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w:t>
            </w:r>
          </w:p>
        </w:tc>
        <w:tc>
          <w:tcPr>
            <w:tcW w:w="361"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136</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Residential Loans</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176</w:t>
            </w:r>
          </w:p>
        </w:tc>
        <w:tc>
          <w:tcPr>
            <w:tcW w:w="361"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2,198</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1,749</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6,266</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5,433</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Recoveries on Loans and Leases Previously Charged-Off</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3,722</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2,199</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8,436</w:t>
            </w:r>
          </w:p>
        </w:tc>
        <w:tc>
          <w:tcPr>
            <w:tcW w:w="361"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6,958</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Loans and Leases Charged-Off</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(21,948)</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(4,137)</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(4,206)</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(30,985)</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(11,274)</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20,308</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5,600</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4,500</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30,908</w:t>
            </w:r>
          </w:p>
        </w:tc>
        <w:tc>
          <w:tcPr>
            <w:tcW w:w="361"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19,500</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204,088</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205,728</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201,466</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204,088</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201,466</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Components:</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164,437</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168,056</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165,269</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164,437</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165,269</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Reserve for Unfunded Commitments</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39,651</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37,672</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36,197</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39,651</w:t>
            </w:r>
          </w:p>
        </w:tc>
        <w:tc>
          <w:tcPr>
            <w:tcW w:w="361"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36,197</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Allowance for Credit Losses and Reserve for Unfunded Commitments</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204,088</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205,728</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201,466</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204,088</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201,466</w:t>
            </w:r>
          </w:p>
        </w:tc>
        <w:tc>
          <w:tcPr>
            <w:tcW w:w="291"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Loans and Leases Outstanding</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14,496,740</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14,488,213</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14,209,282</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14,425,550</w:t>
            </w:r>
          </w:p>
        </w:tc>
        <w:tc>
          <w:tcPr>
            <w:tcW w:w="361"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14,269,030</w:t>
            </w:r>
          </w:p>
        </w:tc>
        <w:tc>
          <w:tcPr>
            <w:tcW w:w="291"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Ratio of Net Loans and Leases Charged-Off to Average Loans and Leases Outstanding</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0.60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0.29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0.11</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Ratio of Allowance for Credit Losses for Loans and Leases to Loans and Leases Outstanding</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1.14</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1.14</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7"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Ratio of Allowance for Credit Losses for Loans and Leases to Non-accrual Loans and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3.58x</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4.25x</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5.34x</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3.58x</w:t>
            </w:r>
          </w:p>
        </w:tc>
        <w:tc>
          <w:tcPr>
            <w:tcW w:w="361"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5.34x</w:t>
            </w:r>
          </w:p>
        </w:tc>
        <w:tc>
          <w:tcPr>
            <w:tcW w:w="291" w:type="dxa"/>
            <w:tcBorders/>
            <w:shd w:fill="CCEEFF" w:val="clear"/>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9790" w:type="dxa"/>
        <w:jc w:val="left"/>
        <w:tblInd w:w="0" w:type="dxa"/>
        <w:tblLayout w:type="fixed"/>
        <w:tblCellMar>
          <w:top w:w="0" w:type="dxa"/>
          <w:left w:w="0" w:type="dxa"/>
          <w:bottom w:w="0" w:type="dxa"/>
          <w:right w:w="0" w:type="dxa"/>
        </w:tblCellMar>
      </w:tblPr>
      <w:tblGrid>
        <w:gridCol w:w="185"/>
        <w:gridCol w:w="9605"/>
      </w:tblGrid>
      <w:tr>
        <w:trPr/>
        <w:tc>
          <w:tcPr>
            <w:tcW w:w="18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Annualized for the three and nine months ended September 30, 2026 and 2025 and three months ended June 30, 2026.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tbl>
      <w:tblPr>
        <w:tblW w:w="10205" w:type="dxa"/>
        <w:jc w:val="left"/>
        <w:tblInd w:w="0" w:type="dxa"/>
        <w:tblLayout w:type="fixed"/>
        <w:tblCellMar>
          <w:top w:w="0" w:type="dxa"/>
          <w:left w:w="0" w:type="dxa"/>
          <w:bottom w:w="0" w:type="dxa"/>
          <w:right w:w="0" w:type="dxa"/>
        </w:tblCellMar>
      </w:tblPr>
      <w:tblGrid>
        <w:gridCol w:w="1627"/>
        <w:gridCol w:w="109"/>
        <w:gridCol w:w="181"/>
        <w:gridCol w:w="586"/>
        <w:gridCol w:w="109"/>
        <w:gridCol w:w="181"/>
        <w:gridCol w:w="691"/>
        <w:gridCol w:w="109"/>
        <w:gridCol w:w="181"/>
        <w:gridCol w:w="586"/>
        <w:gridCol w:w="109"/>
        <w:gridCol w:w="181"/>
        <w:gridCol w:w="586"/>
        <w:gridCol w:w="109"/>
        <w:gridCol w:w="181"/>
        <w:gridCol w:w="691"/>
        <w:gridCol w:w="109"/>
        <w:gridCol w:w="181"/>
        <w:gridCol w:w="691"/>
        <w:gridCol w:w="109"/>
        <w:gridCol w:w="181"/>
        <w:gridCol w:w="691"/>
        <w:gridCol w:w="109"/>
        <w:gridCol w:w="226"/>
        <w:gridCol w:w="645"/>
        <w:gridCol w:w="109"/>
        <w:gridCol w:w="181"/>
        <w:gridCol w:w="756"/>
      </w:tblGrid>
      <w:tr>
        <w:trPr/>
        <w:tc>
          <w:tcPr>
            <w:tcW w:w="1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033145" cy="175260"/>
                      <wp:effectExtent l="0" t="0" r="0" b="0"/>
                      <wp:wrapNone/>
                      <wp:docPr id="180" name="Frame179"/>
                      <a:graphic xmlns:a="http://schemas.openxmlformats.org/drawingml/2006/main">
                        <a:graphicData uri="http://schemas.microsoft.com/office/word/2010/wordprocessingShape">
                          <wps:wsp>
                            <wps:cNvSpPr txBox="1"/>
                            <wps:spPr>
                              <a:xfrm>
                                <a:off x="0" y="0"/>
                                <a:ext cx="1033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14935" cy="175260"/>
                      <wp:effectExtent l="0" t="0" r="0" b="0"/>
                      <wp:wrapNone/>
                      <wp:docPr id="182" name="Frame18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72110" cy="175260"/>
                      <wp:effectExtent l="0" t="0" r="0" b="0"/>
                      <wp:wrapNone/>
                      <wp:docPr id="183" name="Frame18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14935" cy="175260"/>
                      <wp:effectExtent l="0" t="0" r="0" b="0"/>
                      <wp:wrapNone/>
                      <wp:docPr id="185" name="Frame18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38785" cy="175260"/>
                      <wp:effectExtent l="0" t="0" r="0" b="0"/>
                      <wp:wrapNone/>
                      <wp:docPr id="186" name="Frame1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14935" cy="175260"/>
                      <wp:effectExtent l="0" t="0" r="0" b="0"/>
                      <wp:wrapNone/>
                      <wp:docPr id="188" name="Frame18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72110" cy="175260"/>
                      <wp:effectExtent l="0" t="0" r="0" b="0"/>
                      <wp:wrapNone/>
                      <wp:docPr id="189" name="Frame18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14935" cy="175260"/>
                      <wp:effectExtent l="0" t="0" r="0" b="0"/>
                      <wp:wrapNone/>
                      <wp:docPr id="191" name="Frame19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72110" cy="175260"/>
                      <wp:effectExtent l="0" t="0" r="0" b="0"/>
                      <wp:wrapNone/>
                      <wp:docPr id="192" name="Frame19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14935" cy="175260"/>
                      <wp:effectExtent l="0" t="0" r="0" b="0"/>
                      <wp:wrapNone/>
                      <wp:docPr id="194" name="Frame19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38785" cy="175260"/>
                      <wp:effectExtent l="0" t="0" r="0" b="0"/>
                      <wp:wrapNone/>
                      <wp:docPr id="195" name="Frame1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14935" cy="175260"/>
                      <wp:effectExtent l="0" t="0" r="0" b="0"/>
                      <wp:wrapNone/>
                      <wp:docPr id="197" name="Frame19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8785" cy="175260"/>
                      <wp:effectExtent l="0" t="0" r="0" b="0"/>
                      <wp:wrapNone/>
                      <wp:docPr id="198" name="Frame1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14935" cy="175260"/>
                      <wp:effectExtent l="0" t="0" r="0" b="0"/>
                      <wp:wrapNone/>
                      <wp:docPr id="200" name="Frame19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8785" cy="175260"/>
                      <wp:effectExtent l="0" t="0" r="0" b="0"/>
                      <wp:wrapNone/>
                      <wp:docPr id="201"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3510" cy="175260"/>
                      <wp:effectExtent l="0" t="0" r="0" b="0"/>
                      <wp:wrapNone/>
                      <wp:docPr id="203" name="Frame20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09575" cy="175260"/>
                      <wp:effectExtent l="0" t="0" r="0" b="0"/>
                      <wp:wrapNone/>
                      <wp:docPr id="204" name="Frame203"/>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14935" cy="175260"/>
                      <wp:effectExtent l="0" t="0" r="0" b="0"/>
                      <wp:wrapNone/>
                      <wp:docPr id="206" name="Frame20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80060" cy="175260"/>
                      <wp:effectExtent l="0" t="0" r="0" b="0"/>
                      <wp:wrapNone/>
                      <wp:docPr id="207" name="Frame206"/>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159" w:type="dxa"/>
            <w:gridSpan w:val="25"/>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Loans and Leases by Year of Origination and Credit Quality Indicator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13</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Converted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62"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Loans</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Term</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6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 Basis by Origination Year</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16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0"/>
              <w:ind w:left="0" w:right="0" w:hanging="0"/>
              <w:jc w:val="center"/>
              <w:rPr/>
            </w:pPr>
            <w:r>
              <w:rPr/>
              <w:t>​</w:t>
            </w:r>
          </w:p>
        </w:tc>
        <w:tc>
          <w:tcPr>
            <w:tcW w:w="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Lending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and Industrial</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pPr>
            <w:r>
              <w:rPr/>
              <w:t>​</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202,063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241,039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149,553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57,135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51,359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289,563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1,146,313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28,352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2,165,377</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3,541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1,523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1,899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746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6,318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14,993</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2,908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18,158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5,300</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27,618</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17,281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13,451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6,347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2,954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2,249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2,043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52,254</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96,579</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and Industrial</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219,900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258,215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156,949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62,041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58,415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310,510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1,210,185</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28,352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2,304,567</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1,864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2,180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3,214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2,666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10,312</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pPr>
            <w:r>
              <w:rPr/>
              <w:t>​</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pPr>
            <w:r>
              <w:rPr/>
              <w:t>​</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538,756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723,291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364,311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391,394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585,898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1,643,436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114,656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6,267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4,368,009</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3,608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1,644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171,581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48,290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964</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226,506</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889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5,287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37,464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61,603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13,940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119,872</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115</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540,064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723,291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373,206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393,727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794,943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1,753,444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129,560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6,267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4,714,502</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12,465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12,465</w:t>
            </w:r>
          </w:p>
        </w:tc>
      </w:tr>
      <w:tr>
        <w:trPr/>
        <w:tc>
          <w:tcPr>
            <w:tcW w:w="162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pPr>
            <w:r>
              <w:rPr/>
              <w:t>​</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64,419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174,295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235,743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53,119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148,418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11,369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3,579</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690,942</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22,591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22,591</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904</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4,740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8,669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2,805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1,767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675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25,094</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Construction</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69,159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182,964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240,462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55,924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172,728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14,040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4,254</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739,531</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pPr>
            <w:r>
              <w:rPr/>
              <w:t>—</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pPr>
            <w:r>
              <w:rPr/>
              <w:t>​</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 Financing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pPr>
            <w:r>
              <w:rPr/>
              <w:t>​</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118,981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61,372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75,171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82,562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32,936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89,720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460,742</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507</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355</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Lease Financing</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118,981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61,504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75,411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82,995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32,993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89,720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461,604</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w:t>
            </w:r>
          </w:p>
        </w:tc>
      </w:tr>
      <w:tr>
        <w:trPr/>
        <w:tc>
          <w:tcPr>
            <w:tcW w:w="16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Commercial Lending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948,104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1,225,974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846,028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594,687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1,059,079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2,167,714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1,343,999</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34,619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8,220,204</w:t>
            </w:r>
          </w:p>
        </w:tc>
      </w:tr>
      <w:tr>
        <w:trPr/>
        <w:tc>
          <w:tcPr>
            <w:tcW w:w="16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1,870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2,180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15,679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2,666</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56" w:type="dxa"/>
            <w:tcBorders/>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22,783</w:t>
            </w:r>
          </w:p>
        </w:tc>
      </w:tr>
    </w:tbl>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(continued)</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362"/>
        <w:gridCol w:w="109"/>
        <w:gridCol w:w="181"/>
        <w:gridCol w:w="691"/>
        <w:gridCol w:w="109"/>
        <w:gridCol w:w="181"/>
        <w:gridCol w:w="691"/>
        <w:gridCol w:w="109"/>
        <w:gridCol w:w="181"/>
        <w:gridCol w:w="691"/>
        <w:gridCol w:w="109"/>
        <w:gridCol w:w="181"/>
        <w:gridCol w:w="586"/>
        <w:gridCol w:w="109"/>
        <w:gridCol w:w="181"/>
        <w:gridCol w:w="691"/>
        <w:gridCol w:w="109"/>
        <w:gridCol w:w="181"/>
        <w:gridCol w:w="691"/>
        <w:gridCol w:w="109"/>
        <w:gridCol w:w="181"/>
        <w:gridCol w:w="691"/>
        <w:gridCol w:w="109"/>
        <w:gridCol w:w="226"/>
        <w:gridCol w:w="645"/>
        <w:gridCol w:w="109"/>
        <w:gridCol w:w="181"/>
        <w:gridCol w:w="811"/>
      </w:tblGrid>
      <w:tr>
        <w:trPr/>
        <w:tc>
          <w:tcPr>
            <w:tcW w:w="1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64870" cy="175260"/>
                      <wp:effectExtent l="0" t="0" r="0" b="0"/>
                      <wp:wrapNone/>
                      <wp:docPr id="208" name="Frame207"/>
                      <a:graphic xmlns:a="http://schemas.openxmlformats.org/drawingml/2006/main">
                        <a:graphicData uri="http://schemas.microsoft.com/office/word/2010/wordprocessingShape">
                          <wps:wsp>
                            <wps:cNvSpPr txBox="1"/>
                            <wps:spPr>
                              <a:xfrm>
                                <a:off x="0" y="0"/>
                                <a:ext cx="864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14935" cy="175260"/>
                      <wp:effectExtent l="0" t="0" r="0" b="0"/>
                      <wp:wrapNone/>
                      <wp:docPr id="210" name="Frame2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38785" cy="175260"/>
                      <wp:effectExtent l="0" t="0" r="0" b="0"/>
                      <wp:wrapNone/>
                      <wp:docPr id="211" name="Frame2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14935" cy="175260"/>
                      <wp:effectExtent l="0" t="0" r="0" b="0"/>
                      <wp:wrapNone/>
                      <wp:docPr id="213" name="Frame21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38785" cy="175260"/>
                      <wp:effectExtent l="0" t="0" r="0" b="0"/>
                      <wp:wrapNone/>
                      <wp:docPr id="214" name="Frame2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14935" cy="175260"/>
                      <wp:effectExtent l="0" t="0" r="0" b="0"/>
                      <wp:wrapNone/>
                      <wp:docPr id="216" name="Frame21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38785" cy="175260"/>
                      <wp:effectExtent l="0" t="0" r="0" b="0"/>
                      <wp:wrapNone/>
                      <wp:docPr id="217" name="Frame2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14935" cy="175260"/>
                      <wp:effectExtent l="0" t="0" r="0" b="0"/>
                      <wp:wrapNone/>
                      <wp:docPr id="219" name="Frame2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72110" cy="175260"/>
                      <wp:effectExtent l="0" t="0" r="0" b="0"/>
                      <wp:wrapNone/>
                      <wp:docPr id="220" name="Frame21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14935" cy="175260"/>
                      <wp:effectExtent l="0" t="0" r="0" b="0"/>
                      <wp:wrapNone/>
                      <wp:docPr id="222" name="Frame2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38785" cy="175260"/>
                      <wp:effectExtent l="0" t="0" r="0" b="0"/>
                      <wp:wrapNone/>
                      <wp:docPr id="223" name="Frame2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14935" cy="175260"/>
                      <wp:effectExtent l="0" t="0" r="0" b="0"/>
                      <wp:wrapNone/>
                      <wp:docPr id="225" name="Frame22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38785" cy="175260"/>
                      <wp:effectExtent l="0" t="0" r="0" b="0"/>
                      <wp:wrapNone/>
                      <wp:docPr id="226" name="Frame2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14935" cy="175260"/>
                      <wp:effectExtent l="0" t="0" r="0" b="0"/>
                      <wp:wrapNone/>
                      <wp:docPr id="228" name="Frame2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38785" cy="175260"/>
                      <wp:effectExtent l="0" t="0" r="0" b="0"/>
                      <wp:wrapNone/>
                      <wp:docPr id="229" name="Frame2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43510" cy="175260"/>
                      <wp:effectExtent l="0" t="0" r="0" b="0"/>
                      <wp:wrapNone/>
                      <wp:docPr id="231" name="Frame2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09575" cy="175260"/>
                      <wp:effectExtent l="0" t="0" r="0" b="0"/>
                      <wp:wrapNone/>
                      <wp:docPr id="232" name="Frame231"/>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14935" cy="175260"/>
                      <wp:effectExtent l="0" t="0" r="0" b="0"/>
                      <wp:wrapNone/>
                      <wp:docPr id="234" name="Frame23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14985" cy="175260"/>
                      <wp:effectExtent l="0" t="0" r="0" b="0"/>
                      <wp:wrapNone/>
                      <wp:docPr id="235" name="Frame23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3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3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Converted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3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672"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Loans</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Term</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3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67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 Basis by Origination Year</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(continued)</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1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Residential Lending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Residential Mortgage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FICO:</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740 and greater</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157,553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187,527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127,156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155,856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413,991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2,176,053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3,218,136</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680 - 739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22,002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18,668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15,661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24,033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67,424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275,860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423,648</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620 - 679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2,635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8,008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8,553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5,716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18,661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69,081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112,654</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550 - 619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1,060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1,945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5,375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16,974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25,354</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than 550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3,802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17,872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22,115</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 Score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7,850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5,511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2,887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4,728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15,250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47,394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83,620</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4,764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22,123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6,499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17,778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12,991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38,541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8,494</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111,190</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Residential Mortgage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194,804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242,897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160,756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210,497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537,494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2,641,775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8,494</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3,996,717</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13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Home Equity Line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FICO:</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740 and greater</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924,498</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924,830</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680 - 739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179,779</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1,604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181,383</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620 - 679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47,607</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48,240</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550 - 619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13,382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13,757</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than 550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8,612</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8,642</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 Score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758</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Home Equity Line</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1,174,636</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2,974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1,177,610</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w:t>
            </w:r>
          </w:p>
        </w:tc>
      </w:tr>
      <w:tr>
        <w:trPr/>
        <w:tc>
          <w:tcPr>
            <w:tcW w:w="13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Residential Lending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194,804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242,897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160,756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210,497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537,494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2,641,775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1,183,130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5,174,327</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w:t>
            </w:r>
          </w:p>
        </w:tc>
      </w:tr>
      <w:tr>
        <w:trPr/>
        <w:tc>
          <w:tcPr>
            <w:tcW w:w="13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Consumer Lending</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FICO:</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740 and greater</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95,688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85,965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48,787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29,752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28,841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9,062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98,607</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396,763</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680 - 739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76,834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67,554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33,419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17,684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14,466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5,241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86,795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581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302,574</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620 - 679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46,475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34,123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14,524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8,382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7,706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3,947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50,763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166,820</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550 - 619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8,343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13,276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7,917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5,138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4,675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2,581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17,429</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60,168</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than 550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2,360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5,503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4,270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2,208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2,523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1,334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5,572</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24,343</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 Score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4,376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37,409</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42,290</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3,389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69,677</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74,739</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Consumer Lending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234,277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210,084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108,920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63,181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58,211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23,647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366,252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3,125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1,067,697</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2,613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1,778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1,435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786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1,772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7,162</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16,615</w:t>
            </w:r>
          </w:p>
        </w:tc>
      </w:tr>
      <w:tr>
        <w:trPr/>
        <w:tc>
          <w:tcPr>
            <w:tcW w:w="13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3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 and Leases</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1,377,185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1,678,955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1,115,704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868,365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1,654,784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4,833,136</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2,893,381</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40,718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14,462,228</w:t>
            </w:r>
          </w:p>
        </w:tc>
      </w:tr>
      <w:tr>
        <w:trPr/>
        <w:tc>
          <w:tcPr>
            <w:tcW w:w="1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2,742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3,648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1,694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2,966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17,451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9,851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shd w:fill="CCEEFF" w:val="cle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39,421</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Other credit quality indicators used for monitoring purposes are primarily FICO scores. The majority of the loans in this population were originated to borrowers with a prime FICO score (680 and above). As of September 30, 2026, the majority of the loans in this population were current.</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10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Other credit quality indicators used for monitoring purposes are primarily internal risk ratings. The majority of the loans in this population were graded with a “Pass” rating. As of September 30, 2026, the majority of the loans in this population were current.</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No FICO scores are primarily related to loans and leases extended to non-residents. Loans and leases of this nature are primarily secured by collateral and/or are closely monitored for performance.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457" w:type="dxa"/>
        <w:jc w:val="left"/>
        <w:tblInd w:w="0" w:type="dxa"/>
        <w:tblLayout w:type="fixed"/>
        <w:tblCellMar>
          <w:top w:w="0" w:type="dxa"/>
          <w:left w:w="0" w:type="dxa"/>
          <w:bottom w:w="0" w:type="dxa"/>
          <w:right w:w="0" w:type="dxa"/>
        </w:tblCellMar>
      </w:tblPr>
      <w:tblGrid>
        <w:gridCol w:w="2761"/>
        <w:gridCol w:w="346"/>
        <w:gridCol w:w="196"/>
        <w:gridCol w:w="916"/>
        <w:gridCol w:w="361"/>
        <w:gridCol w:w="196"/>
        <w:gridCol w:w="916"/>
        <w:gridCol w:w="346"/>
        <w:gridCol w:w="196"/>
        <w:gridCol w:w="916"/>
        <w:gridCol w:w="346"/>
        <w:gridCol w:w="196"/>
        <w:gridCol w:w="916"/>
        <w:gridCol w:w="361"/>
        <w:gridCol w:w="196"/>
        <w:gridCol w:w="916"/>
        <w:gridCol w:w="37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753235" cy="175260"/>
                      <wp:effectExtent l="0" t="0" r="0" b="0"/>
                      <wp:wrapNone/>
                      <wp:docPr id="236" name="Frame235"/>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24460" cy="175260"/>
                      <wp:effectExtent l="0" t="0" r="0" b="0"/>
                      <wp:wrapNone/>
                      <wp:docPr id="238" name="Frame2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81660" cy="175260"/>
                      <wp:effectExtent l="0" t="0" r="0" b="0"/>
                      <wp:wrapNone/>
                      <wp:docPr id="239" name="Frame23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29235" cy="175260"/>
                      <wp:effectExtent l="0" t="0" r="0" b="0"/>
                      <wp:wrapNone/>
                      <wp:docPr id="240" name="Frame23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1" name="Frame2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81660" cy="175260"/>
                      <wp:effectExtent l="0" t="0" r="0" b="0"/>
                      <wp:wrapNone/>
                      <wp:docPr id="242" name="Frame24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4460" cy="175260"/>
                      <wp:effectExtent l="0" t="0" r="0" b="0"/>
                      <wp:wrapNone/>
                      <wp:docPr id="244" name="Frame2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81660" cy="175260"/>
                      <wp:effectExtent l="0" t="0" r="0" b="0"/>
                      <wp:wrapNone/>
                      <wp:docPr id="245" name="Frame24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4460" cy="175260"/>
                      <wp:effectExtent l="0" t="0" r="0" b="0"/>
                      <wp:wrapNone/>
                      <wp:docPr id="247" name="Frame2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81660" cy="175260"/>
                      <wp:effectExtent l="0" t="0" r="0" b="0"/>
                      <wp:wrapNone/>
                      <wp:docPr id="248" name="Frame2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29235" cy="175260"/>
                      <wp:effectExtent l="0" t="0" r="0" b="0"/>
                      <wp:wrapNone/>
                      <wp:docPr id="249" name="Frame2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4460" cy="175260"/>
                      <wp:effectExtent l="0" t="0" r="0" b="0"/>
                      <wp:wrapNone/>
                      <wp:docPr id="250" name="Frame2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81660" cy="175260"/>
                      <wp:effectExtent l="0" t="0" r="0" b="0"/>
                      <wp:wrapNone/>
                      <wp:docPr id="251" name="Frame25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38760" cy="175260"/>
                      <wp:effectExtent l="0" t="0" r="0" b="0"/>
                      <wp:wrapNone/>
                      <wp:docPr id="252" name="Frame251"/>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GAAP to Non-GAAP Reconciliation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0" w:type="dxa"/>
            <w:gridSpan w:val="15"/>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14</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5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left"/>
              <w:rPr/>
            </w:pPr>
            <w:r>
              <w:rPr/>
              <w:t>​</w:t>
            </w:r>
          </w:p>
        </w:tc>
        <w:tc>
          <w:tcPr>
            <w:tcW w:w="25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xml:space="preserve">  ​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xml:space="preserve">  ​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Statement Data: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63,730</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204,889</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206,335</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total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2,845,750</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2,796,857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2,710,273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2,810,686</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2,672,284</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average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tangible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1,850,258</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1,801,365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1,714,781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1,815,194</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1,676,792</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23,955,273</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23,954,425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23,993,685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23,997,190</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23,914,896</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average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tangible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22,959,781</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22,958,933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22,998,193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23,001,698</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22,919,404</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Return on average total stockholders' equity</w:t>
            </w: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8.88</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9.75</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10.32</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Return on average tangible stockholders' equity (non-GAAP)</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13.67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15.09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16.45</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Return on average total assets</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Return on average tangible assets (non-GAAP)</w:t>
            </w: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1.10</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1.19</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12"/>
        <w:gridCol w:w="346"/>
        <w:gridCol w:w="196"/>
        <w:gridCol w:w="1006"/>
        <w:gridCol w:w="361"/>
        <w:gridCol w:w="196"/>
        <w:gridCol w:w="1006"/>
        <w:gridCol w:w="346"/>
        <w:gridCol w:w="196"/>
        <w:gridCol w:w="1006"/>
        <w:gridCol w:w="346"/>
        <w:gridCol w:w="196"/>
        <w:gridCol w:w="1006"/>
        <w:gridCol w:w="286"/>
      </w:tblGrid>
      <w:tr>
        <w:trPr/>
        <w:tc>
          <w:tcPr>
            <w:tcW w:w="3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357120" cy="175260"/>
                      <wp:effectExtent l="0" t="0" r="0" b="0"/>
                      <wp:wrapNone/>
                      <wp:docPr id="253" name="Frame252"/>
                      <a:graphic xmlns:a="http://schemas.openxmlformats.org/drawingml/2006/main">
                        <a:graphicData uri="http://schemas.microsoft.com/office/word/2010/wordprocessingShape">
                          <wps:wsp>
                            <wps:cNvSpPr txBox="1"/>
                            <wps:spPr>
                              <a:xfrm>
                                <a:off x="0" y="0"/>
                                <a:ext cx="2357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4460" cy="175260"/>
                      <wp:effectExtent l="0" t="0" r="0" b="0"/>
                      <wp:wrapNone/>
                      <wp:docPr id="255" name="Frame2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38810" cy="175260"/>
                      <wp:effectExtent l="0" t="0" r="0" b="0"/>
                      <wp:wrapNone/>
                      <wp:docPr id="256" name="Frame25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29235" cy="175260"/>
                      <wp:effectExtent l="0" t="0" r="0" b="0"/>
                      <wp:wrapNone/>
                      <wp:docPr id="257" name="Frame2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4460" cy="175260"/>
                      <wp:effectExtent l="0" t="0" r="0" b="0"/>
                      <wp:wrapNone/>
                      <wp:docPr id="258" name="Frame2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38810" cy="175260"/>
                      <wp:effectExtent l="0" t="0" r="0" b="0"/>
                      <wp:wrapNone/>
                      <wp:docPr id="259" name="Frame25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24460" cy="175260"/>
                      <wp:effectExtent l="0" t="0" r="0" b="0"/>
                      <wp:wrapNone/>
                      <wp:docPr id="261" name="Frame2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38810" cy="175260"/>
                      <wp:effectExtent l="0" t="0" r="0" b="0"/>
                      <wp:wrapNone/>
                      <wp:docPr id="262" name="Frame26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4460" cy="175260"/>
                      <wp:effectExtent l="0" t="0" r="0" b="0"/>
                      <wp:wrapNone/>
                      <wp:docPr id="264" name="Frame2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38810" cy="175260"/>
                      <wp:effectExtent l="0" t="0" r="0" b="0"/>
                      <wp:wrapNone/>
                      <wp:docPr id="265" name="Frame26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81610" cy="175260"/>
                      <wp:effectExtent l="0" t="0" r="0" b="0"/>
                      <wp:wrapNone/>
                      <wp:docPr id="266" name="Frame26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1548" w:type="dxa"/>
            <w:gridSpan w:val="3"/>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61"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per share amounts)</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Sheet Data: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2,817,544</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2,826,028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2,769,365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2,733,921</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Tangible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1,822,052</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1,830,536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1,773,873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1,738,429</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23,764,015</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23,646,049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23,955,252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24,098,728</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995,492</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Tangible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22,768,523</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22,650,557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22,959,760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23,103,236</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outstanding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121,681,352</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121,680,634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122,689,256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123,719,585</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 to 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11.86</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11.34</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7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Tangible stockholders' equity to tangible assets (non-GAAP)</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7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Book value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23.16</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7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Tangible book value per share (non-GAAP)</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14.97</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14.05</w:t>
            </w:r>
          </w:p>
        </w:tc>
        <w:tc>
          <w:tcPr>
            <w:tcW w:w="286" w:type="dxa"/>
            <w:tcBorders/>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9790" w:type="dxa"/>
        <w:jc w:val="left"/>
        <w:tblInd w:w="0" w:type="dxa"/>
        <w:tblLayout w:type="fixed"/>
        <w:tblCellMar>
          <w:top w:w="0" w:type="dxa"/>
          <w:left w:w="0" w:type="dxa"/>
          <w:bottom w:w="0" w:type="dxa"/>
          <w:right w:w="0" w:type="dxa"/>
        </w:tblCellMar>
      </w:tblPr>
      <w:tblGrid>
        <w:gridCol w:w="185"/>
        <w:gridCol w:w="9605"/>
      </w:tblGrid>
      <w:tr>
        <w:trPr/>
        <w:tc>
          <w:tcPr>
            <w:tcW w:w="18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Annualized for the three and nine months ended September 30, 2026 and 2025 and three months ended June 30, 2026.</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6960</Words>
  <Characters>38377</Characters>
  <CharactersWithSpaces>49547</CharactersWithSpaces>
  <Paragraphs>9896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