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Moffatt Jim</w:t>
              </w:r>
            </w:hyperlink>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FIRST HAWAIIAN,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FHB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04/22/2026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FIRST HAWAIIAN, INC.</w:t>
            </w:r>
          </w:p>
        </w:tc>
        <w:tc>
          <w:tcPr>
            <w:tcW w:w="134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999 BISHOP STREET, 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2,613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16,854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will vest on the earlier of (a) April 22, 2027, (b) the date of First Hawaiian, Inc.'s 2027 annual meeting of stockholders or (c) a change in control of First Hawaiian, Inc., subject to continued service on the First Hawaiian, Inc. Board of Directors through the vesting date, and will settle in shares of Common Stock on a one-for-one basis within 30 days of vesting.</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Jim</w:t>
      </w:r>
      <w:r>
        <w:rPr>
          <w:sz w:val="20"/>
          <w:szCs w:val="20"/>
          <w:color w:val="auto"/>
        </w:rPr>
        <w:tab/>
      </w:r>
      <w:r>
        <w:rPr>
          <w:rFonts w:ascii="Times New Roman" w:cs="Times New Roman" w:eastAsia="Times New Roman" w:hAnsi="Times New Roman"/>
          <w:sz w:val="17"/>
          <w:szCs w:val="17"/>
          <w:color w:val="0000FF"/>
        </w:rPr>
        <w:t>04/24/2026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Moffatt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4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6447" TargetMode="External"/><Relationship Id="rId14"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2026-04-24T14:58:32Z</dcterms:created>
  <dcterms:modified xsi:type="dcterms:W3CDTF">2026-04-24T14:58:32Z</dcterms:modified>
</cp:coreProperties>
</file>