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19, 2025.</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First Hawaiian,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49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4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99-0156159</w:t>
            </w:r>
          </w:p>
        </w:tc>
      </w:tr>
      <w:tr>
        <w:trPr>
          <w:trHeight w:val="216"/>
        </w:trPr>
        <w:tc>
          <w:tcPr>
            <w:tcW w:w="49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800" w:type="dxa"/>
            <w:vAlign w:val="bottom"/>
          </w:tcPr>
          <w:p>
            <w:pPr>
              <w:spacing w:after="0"/>
              <w:rPr>
                <w:sz w:val="18"/>
                <w:szCs w:val="18"/>
                <w:color w:val="auto"/>
              </w:rPr>
            </w:pPr>
          </w:p>
        </w:tc>
        <w:tc>
          <w:tcPr>
            <w:tcW w:w="5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49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480" w:type="dxa"/>
            <w:vAlign w:val="bottom"/>
          </w:tcPr>
          <w:p>
            <w:pPr>
              <w:spacing w:after="0"/>
              <w:rPr>
                <w:sz w:val="18"/>
                <w:szCs w:val="18"/>
                <w:color w:val="auto"/>
              </w:rPr>
            </w:pPr>
          </w:p>
        </w:tc>
      </w:tr>
      <w:tr>
        <w:trPr>
          <w:trHeight w:val="21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480" w:type="dxa"/>
            <w:vAlign w:val="bottom"/>
          </w:tcPr>
          <w:p>
            <w:pPr>
              <w:spacing w:after="0"/>
              <w:rPr>
                <w:sz w:val="18"/>
                <w:szCs w:val="18"/>
                <w:color w:val="auto"/>
              </w:rPr>
            </w:pPr>
          </w:p>
        </w:tc>
      </w:tr>
      <w:tr>
        <w:trPr>
          <w:trHeight w:val="216"/>
        </w:trPr>
        <w:tc>
          <w:tcPr>
            <w:tcW w:w="49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999 Bishop St., 29th Floor</w:t>
            </w: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49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Honolulu, Hawaii</w:t>
            </w: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48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96813</w:t>
            </w:r>
          </w:p>
        </w:tc>
      </w:tr>
      <w:tr>
        <w:trPr>
          <w:trHeight w:val="216"/>
        </w:trPr>
        <w:tc>
          <w:tcPr>
            <w:tcW w:w="49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49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5480" w:type="dxa"/>
            <w:vAlign w:val="bottom"/>
            <w:tcBorders>
              <w:bottom w:val="single" w:sz="8" w:color="auto"/>
            </w:tcBorders>
          </w:tcPr>
          <w:p>
            <w:pPr>
              <w:spacing w:after="0"/>
              <w:rPr>
                <w:sz w:val="20"/>
                <w:szCs w:val="20"/>
                <w:color w:val="auto"/>
              </w:rPr>
            </w:pPr>
          </w:p>
        </w:tc>
      </w:tr>
      <w:tr>
        <w:trPr>
          <w:trHeight w:val="211"/>
        </w:trPr>
        <w:tc>
          <w:tcPr>
            <w:tcW w:w="4960" w:type="dxa"/>
            <w:vAlign w:val="bottom"/>
          </w:tcPr>
          <w:p>
            <w:pPr>
              <w:spacing w:after="0"/>
              <w:rPr>
                <w:sz w:val="18"/>
                <w:szCs w:val="18"/>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5480" w:type="dxa"/>
            <w:vAlign w:val="bottom"/>
          </w:tcPr>
          <w:p>
            <w:pPr>
              <w:spacing w:after="0"/>
              <w:rPr>
                <w:sz w:val="18"/>
                <w:szCs w:val="18"/>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First Hawaiian, Inc. 2025 Omnibus Incentive Compensation Plan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Plans)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S. Harrison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of the Board, 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Hawaiian,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999 Bishop St., 29th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Honolulu, Hawaii 96813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(808) 525-7000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Joel E. Rappoport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Hawaiian,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999 Bishop St., 29th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Honolulu, Hawaii 96813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(808) 525-7000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4"/>
          <w:szCs w:val="24"/>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99"/>
        </w:trPr>
        <w:tc>
          <w:tcPr>
            <w:tcW w:w="1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7"/>
                <w:szCs w:val="17"/>
                <w:color w:val="auto"/>
              </w:rPr>
            </w:pPr>
          </w:p>
        </w:tc>
        <w:tc>
          <w:tcPr>
            <w:tcW w:w="304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vMerge w:val="continue"/>
          </w:tcPr>
          <w:p>
            <w:pPr>
              <w:spacing w:after="0"/>
              <w:rPr>
                <w:sz w:val="18"/>
                <w:szCs w:val="18"/>
                <w:color w:val="auto"/>
              </w:rPr>
            </w:pPr>
          </w:p>
        </w:tc>
        <w:tc>
          <w:tcPr>
            <w:tcW w:w="49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ind w:left="27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80"/>
              <w:spacing w:after="0" w:line="207" w:lineRule="exact"/>
              <w:rPr>
                <w:sz w:val="20"/>
                <w:szCs w:val="20"/>
                <w:color w:val="auto"/>
              </w:rPr>
            </w:pPr>
            <w:r>
              <w:rPr>
                <w:rFonts w:ascii="MS PGothic" w:cs="MS PGothic" w:eastAsia="MS PGothic" w:hAnsi="MS PGothic"/>
                <w:sz w:val="18"/>
                <w:szCs w:val="18"/>
                <w:color w:val="auto"/>
                <w:w w:val="92"/>
              </w:rPr>
              <w:t>☐</w:t>
            </w:r>
            <w:r>
              <w:rPr>
                <w:rFonts w:ascii="Times New Roman" w:cs="Times New Roman" w:eastAsia="Times New Roman" w:hAnsi="Times New Roman"/>
                <w:sz w:val="18"/>
                <w:szCs w:val="18"/>
                <w:color w:val="auto"/>
                <w:w w:val="92"/>
              </w:rPr>
              <w:t> </w:t>
            </w:r>
          </w:p>
        </w:tc>
        <w:tc>
          <w:tcPr>
            <w:tcW w:w="0" w:type="dxa"/>
            <w:vAlign w:val="bottom"/>
          </w:tcPr>
          <w:p>
            <w:pPr>
              <w:spacing w:after="0"/>
              <w:rPr>
                <w:sz w:val="1"/>
                <w:szCs w:val="1"/>
                <w:color w:val="auto"/>
              </w:rPr>
            </w:pPr>
          </w:p>
        </w:tc>
      </w:tr>
      <w:tr>
        <w:trPr>
          <w:trHeight w:val="180"/>
        </w:trPr>
        <w:tc>
          <w:tcPr>
            <w:tcW w:w="19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ind w:left="27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80"/>
              <w:spacing w:after="0" w:line="207" w:lineRule="exact"/>
              <w:rPr>
                <w:sz w:val="20"/>
                <w:szCs w:val="20"/>
                <w:color w:val="auto"/>
              </w:rPr>
            </w:pPr>
            <w:r>
              <w:rPr>
                <w:rFonts w:ascii="MS PGothic" w:cs="MS PGothic" w:eastAsia="MS PGothic" w:hAnsi="MS PGothic"/>
                <w:sz w:val="18"/>
                <w:szCs w:val="18"/>
                <w:color w:val="auto"/>
                <w:w w:val="92"/>
              </w:rPr>
              <w:t>☐</w:t>
            </w:r>
            <w:r>
              <w:rPr>
                <w:rFonts w:ascii="Times New Roman" w:cs="Times New Roman" w:eastAsia="Times New Roman" w:hAnsi="Times New Roman"/>
                <w:sz w:val="18"/>
                <w:szCs w:val="18"/>
                <w:color w:val="auto"/>
                <w:w w:val="92"/>
              </w:rPr>
              <w:t> </w:t>
            </w: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4"/>
          <w:szCs w:val="24"/>
          <w:color w:val="auto"/>
        </w:rPr>
      </w:pPr>
    </w:p>
    <w:p>
      <w:pPr>
        <w:ind w:right="160"/>
        <w:spacing w:after="0" w:line="21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5" w:right="339" w:bottom="1440" w:gutter="0" w:footer="0" w:header="0"/>
        </w:sect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April 22, 2025 (the “Effective Date”), at the 2025 annual meeting of stockholders of First Hawaiian, Inc. (the “Company” or “Registrant”), the Company’s stockholders approved the First Hawaiian, Inc. 2025 Omnibus Incentive Compensation Plan (the “2025 Equity Plan”), which the Board of Directors of the Company had previously approved, subject to stockholder approval. The 2025 Equity Plan provides, among other things, that a total of 4,750,000 shares of the Company’s common stock, par value $0.01 (the “Common Stock”), is reserved for issuance under the 2025 Equity Plan (subject to equitable adjustment in the event of a change in the Company’s capitalization). Shares subject to awards under the 2025 Equity Plan that subsequently expire unexercised or that are forfeited or settled in cash will be available for future grants of awards under the 2025 Equity Plan and will be added back in the same number of shares as were deducted in respect of the grant of such award.  </w:t>
      </w:r>
    </w:p>
    <w:p>
      <w:pPr>
        <w:spacing w:after="0" w:line="207" w:lineRule="exact"/>
        <w:rPr>
          <w:sz w:val="20"/>
          <w:szCs w:val="20"/>
          <w:color w:val="auto"/>
        </w:rPr>
      </w:pPr>
    </w:p>
    <w:p>
      <w:pPr>
        <w:ind w:right="680" w:firstLine="648"/>
        <w:spacing w:after="0" w:line="255" w:lineRule="auto"/>
        <w:rPr>
          <w:sz w:val="20"/>
          <w:szCs w:val="20"/>
          <w:color w:val="auto"/>
        </w:rPr>
      </w:pPr>
      <w:r>
        <w:rPr>
          <w:rFonts w:ascii="Times New Roman" w:cs="Times New Roman" w:eastAsia="Times New Roman" w:hAnsi="Times New Roman"/>
          <w:sz w:val="18"/>
          <w:szCs w:val="18"/>
          <w:color w:val="auto"/>
        </w:rPr>
        <w:t>Upon stockholder approval of the 2025 Equity Plan, the 2025 Equity Plan replaced the First Hawaiian, Inc. 2016 Omnibus Incentive Compensation Plan (the “Prior Plan”), and no additional awards will be made under the Prior Plan. This Registration Statement on Form S-8 (this “Registration Statement”) is filed by the Company to register 4,750,000 shares of Common Stock for issuance under the 2025 Equity Plan.  </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0"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as specified by Rule 428(b)(1) of the Securities Act of 1933, as amended (the “Securities Act”). Such documents are not required to be, and are not, being filed with the Securities and Exchange Commission (the “Commission”) either as part of this Registration Statement or as a prospectus or prospectus supplement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60" w:lineRule="auto"/>
        <w:rPr>
          <w:sz w:val="20"/>
          <w:szCs w:val="20"/>
          <w:color w:val="auto"/>
        </w:rPr>
      </w:pPr>
      <w:r>
        <w:rPr>
          <w:rFonts w:ascii="Times New Roman" w:cs="Times New Roman" w:eastAsia="Times New Roman" w:hAnsi="Times New Roman"/>
          <w:sz w:val="18"/>
          <w:szCs w:val="18"/>
          <w:color w:val="auto"/>
        </w:rPr>
        <w:t>The following documents that the Company has filed with the Commission under the Securities Act and the Securities Exchange Act of 1934, as amended (the “Exchange Act”), are incorporated by reference into this Registration Statement and shall be deemed to be a part hereof:  </w:t>
      </w:r>
    </w:p>
    <w:p>
      <w:pPr>
        <w:spacing w:after="0" w:line="200" w:lineRule="exact"/>
        <w:rPr>
          <w:sz w:val="20"/>
          <w:szCs w:val="20"/>
          <w:color w:val="auto"/>
        </w:rPr>
      </w:pPr>
    </w:p>
    <w:p>
      <w:pPr>
        <w:ind w:left="1300" w:right="100" w:hanging="644"/>
        <w:spacing w:after="0" w:line="250" w:lineRule="auto"/>
        <w:tabs>
          <w:tab w:leader="none" w:pos="13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w:t>
      </w:r>
      <w:hyperlink r:id="rId17">
        <w:r>
          <w:rPr>
            <w:rFonts w:ascii="Times New Roman" w:cs="Times New Roman" w:eastAsia="Times New Roman" w:hAnsi="Times New Roman"/>
            <w:sz w:val="18"/>
            <w:szCs w:val="18"/>
            <w:u w:val="single" w:color="auto"/>
            <w:color w:val="0000EE"/>
          </w:rPr>
          <w:t>Annual Report on Form 10-K for the year ended December 31, 2024, filed with the Commission on February 28, 2025</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color w:val="auto"/>
          </w:rPr>
          <w:t xml:space="preserve">(including information specifically incorporated therein by reference from the </w:t>
        </w:r>
        <w:r>
          <w:rPr>
            <w:rFonts w:ascii="Times New Roman" w:cs="Times New Roman" w:eastAsia="Times New Roman" w:hAnsi="Times New Roman"/>
            <w:sz w:val="18"/>
            <w:szCs w:val="18"/>
            <w:u w:val="single" w:color="auto"/>
            <w:color w:val="0000EE"/>
          </w:rPr>
          <w:t>Definitive Proxy Statement on Schedule 14A for the 2025</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Annual Meeting of Shareholders, filed with the Commission on March 12, 2025</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the Registrant’s Quarterly Report on Form 10-Q for the quarter ended March 31, 2025, filed with the Commission on May 5, 2025;</w:t>
        </w:r>
      </w:hyperlink>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Form 8-K, filed with the Commission on </w:t>
      </w:r>
      <w:hyperlink r:id="rId20">
        <w:r>
          <w:rPr>
            <w:rFonts w:ascii="Times New Roman" w:cs="Times New Roman" w:eastAsia="Times New Roman" w:hAnsi="Times New Roman"/>
            <w:sz w:val="18"/>
            <w:szCs w:val="18"/>
            <w:u w:val="single" w:color="auto"/>
            <w:color w:val="0000EE"/>
          </w:rPr>
          <w:t>April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(related to the results of the Company’s annual meeting); and</w:t>
      </w:r>
    </w:p>
    <w:p>
      <w:pPr>
        <w:spacing w:after="0" w:line="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300" w:val="left"/>
        </w:tabs>
        <w:numPr>
          <w:ilvl w:val="0"/>
          <w:numId w:val="4"/>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the description of the Registrant’s Common Stock contained in the Registration Statement on </w:t>
        </w:r>
        <w:r>
          <w:rPr>
            <w:rFonts w:ascii="Times New Roman" w:cs="Times New Roman" w:eastAsia="Times New Roman" w:hAnsi="Times New Roman"/>
            <w:sz w:val="18"/>
            <w:szCs w:val="18"/>
            <w:u w:val="single" w:color="auto"/>
            <w:color w:val="0000EE"/>
          </w:rPr>
          <w:t>Form 8-A, filed with the Commission on</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August 4, 2016</w:t>
        </w:r>
        <w:r>
          <w:rPr>
            <w:rFonts w:ascii="Times New Roman" w:cs="Times New Roman" w:eastAsia="Times New Roman" w:hAnsi="Times New Roman"/>
            <w:sz w:val="18"/>
            <w:szCs w:val="18"/>
            <w:color w:val="000000"/>
          </w:rPr>
          <w:t>, to register such securities under the Exchange Act, including all amendments and reports for the purpose of updating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such description.</w:t>
      </w:r>
    </w:p>
    <w:p>
      <w:pPr>
        <w:spacing w:after="0" w:line="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all reports and other documents subsequently filed by the Company pursuant to Sections 13(a), 13(c), 14 and 15(d) of the Exchange</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Act, prior to the filing of a post-effective amendment that indicates that all securities offered have been sold or that deregisters all securities then remaining</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unsold, shall be deemed to be incorporated by reference in this Registration Statement and to be a part hereof from the date of filing of such documents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with the Commission. Any statement contained in a document incorporated or deemed to be incorporated by reference in this Registration Statement shall</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be deemed to be modified or superseded for purposes of this Registration Statement to the extent that a statement contained in this Registration Statement,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or in any other subsequently filed document that also is or is deemed to be incorporated by reference in this Registration Statement, modifies or supersedes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such prior statement. Any statement contained in this Registration Statement shall be deemed to be modified or superseded to the extent that a statement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contained in a subsequently filed document that is or is deemed to be incorporated by reference in this Registration Statement modifies or supersedes such</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prior statement. Any statement so modified or superseded shall not be deemed, except as so modified or superseded, to constitute a part of this Registration</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80" w:firstLine="648"/>
        <w:spacing w:after="0" w:line="260" w:lineRule="auto"/>
        <w:rPr>
          <w:sz w:val="20"/>
          <w:szCs w:val="20"/>
          <w:color w:val="auto"/>
        </w:rPr>
      </w:pPr>
      <w:r>
        <w:rPr>
          <w:rFonts w:ascii="Times New Roman" w:cs="Times New Roman" w:eastAsia="Times New Roman" w:hAnsi="Times New Roman"/>
          <w:sz w:val="18"/>
          <w:szCs w:val="18"/>
          <w:color w:val="auto"/>
        </w:rPr>
        <w:t>No document or information deemed to be furnished and not filed in accordance with rules of the Commission shall be deemed to be incorporated herein by reference unless such document or information expressly provides to the contrary.  </w:t>
      </w:r>
    </w:p>
    <w:p>
      <w:pPr>
        <w:spacing w:after="0" w:line="20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The Company is incorporated under the Delaware General Corporation Law (the “DGCL”). Section 145 of the DGCL provides that a corporation organized thereunder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corporation. The DGCL provides that Section 145 is not exclusive of other rights to which those seeking indemnification may be entitled under any bylaw, agreement, vote of the Company’s stockholders or disinterested directors or otherwise. The Company’s amended and restated bylaws provide for indemnification of its directors, officers and employees to the fullest extent permitted by the DGCL, subject to limited exceptions.  </w:t>
      </w:r>
    </w:p>
    <w:p>
      <w:pPr>
        <w:spacing w:after="0" w:line="20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purchases, redemptions or other distributions or (iv) for any transaction from which the director derived an improper personal benefit. The Company’s amended and restated certificate of incorporation provides for such limitation of liability. The Company maintains policies of insurance under which coverage is provided (a) to its directors and officers, in their respective capacities as such, against loss arising from a claim made for any actual or alleged wrongful act, and (b) to the Company with respect to payments which the Company may make to such officers and directors pursuant to the above indemnification as a matter of law.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filed herewith or incorporated by reference herein are set forth in the Exhibit Index filed as part of this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0"/>
        <w:spacing w:after="0" w:line="250"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in the effective registration statement;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80"/>
        <w:spacing w:after="0" w:line="250"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the Registration Statement or any material change to such information in the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and (1)(ii)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20"/>
        <w:spacing w:after="0" w:line="250"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Honolulu, State of Hawaii, on May 19, 2025.</w:t>
      </w:r>
    </w:p>
    <w:tbl>
      <w:tblPr>
        <w:tblLayout w:type="fixed"/>
        <w:tblInd w:w="0" w:type="dxa"/>
        <w:tblCellMar>
          <w:top w:w="0" w:type="dxa"/>
          <w:left w:w="0" w:type="dxa"/>
          <w:bottom w:w="0" w:type="dxa"/>
          <w:right w:w="0" w:type="dxa"/>
        </w:tblCellMar>
      </w:tblPr>
      <w:tr>
        <w:trPr>
          <w:trHeight w:val="199"/>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First Hawaiian, Inc.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Robert S. Harrison</w:t>
            </w:r>
          </w:p>
        </w:tc>
        <w:tc>
          <w:tcPr>
            <w:tcW w:w="0" w:type="dxa"/>
            <w:vAlign w:val="bottom"/>
          </w:tcPr>
          <w:p>
            <w:pPr>
              <w:spacing w:after="0"/>
              <w:rPr>
                <w:sz w:val="1"/>
                <w:szCs w:val="1"/>
                <w:color w:val="auto"/>
              </w:rPr>
            </w:pPr>
          </w:p>
        </w:tc>
      </w:tr>
      <w:tr>
        <w:trPr>
          <w:trHeight w:val="191"/>
        </w:trPr>
        <w:tc>
          <w:tcPr>
            <w:tcW w:w="2840" w:type="dxa"/>
            <w:vAlign w:val="bottom"/>
            <w:vMerge w:val="continue"/>
          </w:tcPr>
          <w:p>
            <w:pPr>
              <w:spacing w:after="0"/>
              <w:rPr>
                <w:sz w:val="16"/>
                <w:szCs w:val="16"/>
                <w:color w:val="auto"/>
              </w:rPr>
            </w:pPr>
          </w:p>
        </w:tc>
        <w:tc>
          <w:tcPr>
            <w:tcW w:w="312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The undersigned officers and directors do hereby constitute and appoint Robert S. Harrison, James M. Moses and Joel E. Rappoport, and any of them, with full power of substitution and re-substitution, as our true and lawful attorneys-in-fact and agents, to do any and all acts and things in our name and behalf in our capacities as directors and officers, and to execute any and all instruments for us and in our names in the capacities indicated below, that such person may deem necessary or advisable to enable the Company to comply with the Securities Act and any rules, regulations and requirements of the Commission in connection with this Registration Statement, including specifically, but not limited to, power and authority to sign for us, any of us, in the capacities indicated below, any and all amendments hereto (including post-effective amendments); and we do hereby ratify and confirm all that said attorney-in-fact and agent, or his or her substitute, may lawfully do or cause to be done by virtue hereof.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 on May 19,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Harrison</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Chairman of the Board, President and Chief Executive Officer</w:t>
            </w:r>
          </w:p>
        </w:tc>
      </w:tr>
      <w:tr>
        <w:trPr>
          <w:trHeight w:val="205"/>
        </w:trPr>
        <w:tc>
          <w:tcPr>
            <w:tcW w:w="50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Robert S. Harrison</w:t>
            </w:r>
          </w:p>
        </w:tc>
        <w:tc>
          <w:tcPr>
            <w:tcW w:w="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(Principal Executive Officer)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 Moses</w:t>
            </w: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Vice Chairman and Chief Financial Officer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James M. Moses</w:t>
            </w:r>
          </w:p>
        </w:tc>
        <w:tc>
          <w:tcPr>
            <w:tcW w:w="61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   (Principal Financial Officer and Principal Accounting Officer)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Tertia M. Freas</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Tertia M. Freas</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 Fujimoto</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Michael K. Fujimoto</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Faye W. Kurren</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Faye W. Kurren</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 Moffatt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James S. Moffatt</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M. Mugiishi</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Mark M. Mugiishi</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A. Thompson</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Kelly A. Thompson</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Vanessa L. Washington</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Vanessa L. Washington</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Scott Wo</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 Scott Wo</w:t>
            </w:r>
          </w:p>
        </w:tc>
        <w:tc>
          <w:tcPr>
            <w:tcW w:w="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9880" w:type="dxa"/>
            <w:vAlign w:val="bottom"/>
            <w:gridSpan w:val="2"/>
            <w:vMerge w:val="restart"/>
          </w:tcPr>
          <w:p>
            <w:pPr>
              <w:ind w:left="3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9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20" w:type="dxa"/>
            <w:vAlign w:val="bottom"/>
            <w:vMerge w:val="continue"/>
          </w:tcPr>
          <w:p>
            <w:pPr>
              <w:spacing w:after="0"/>
              <w:rPr>
                <w:sz w:val="20"/>
                <w:szCs w:val="20"/>
                <w:color w:val="auto"/>
              </w:rPr>
            </w:pPr>
          </w:p>
        </w:tc>
        <w:tc>
          <w:tcPr>
            <w:tcW w:w="9880" w:type="dxa"/>
            <w:vAlign w:val="bottom"/>
            <w:tcBorders>
              <w:bottom w:val="single" w:sz="8" w:color="auto"/>
            </w:tcBorders>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9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line="194" w:lineRule="exact"/>
              <w:rPr>
                <w:rFonts w:ascii="Times New Roman" w:cs="Times New Roman" w:eastAsia="Times New Roman" w:hAnsi="Times New Roman"/>
                <w:sz w:val="18"/>
                <w:szCs w:val="18"/>
                <w:color w:val="0000EE"/>
                <w:w w:val="97"/>
              </w:rPr>
            </w:pPr>
            <w:hyperlink r:id="rId2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2"/>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Second Amended and Restated Certificate of Incorporation of First Hawaiian, Inc. (incorporated by reference to Exhibit 3.1 to the</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Current Report on Form 8-K, filed by the Company with the Commission on August 10, 2016 (File No. 001-14585))</w:t>
        </w:r>
      </w:hyperlink>
    </w:p>
    <w:p>
      <w:pPr>
        <w:spacing w:after="0" w:line="27"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1340" w:val="left"/>
        </w:tabs>
        <w:rPr>
          <w:rFonts w:ascii="Times New Roman" w:cs="Times New Roman" w:eastAsia="Times New Roman" w:hAnsi="Times New Roman"/>
          <w:sz w:val="17"/>
          <w:szCs w:val="17"/>
          <w:u w:val="single" w:color="auto"/>
          <w:color w:val="0000EE"/>
        </w:rPr>
      </w:pPr>
      <w:hyperlink r:id="rId28">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28">
        <w:r>
          <w:rPr>
            <w:rFonts w:ascii="Times New Roman" w:cs="Times New Roman" w:eastAsia="Times New Roman" w:hAnsi="Times New Roman"/>
            <w:sz w:val="17"/>
            <w:szCs w:val="17"/>
            <w:u w:val="single" w:color="auto"/>
            <w:color w:val="0000EE"/>
          </w:rPr>
          <w:t>Certificate of Amendment to Amended and Restated Certificate of Incorporation (incorporated by reference to Exhibit 3.1(a) to the</w:t>
        </w:r>
      </w:hyperlink>
    </w:p>
    <w:p>
      <w:pPr>
        <w:spacing w:after="0" w:line="9" w:lineRule="exact"/>
        <w:rPr>
          <w:sz w:val="20"/>
          <w:szCs w:val="20"/>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Quarterly Report on Form 10-Q filed by First Hawaiian, Inc. on April 27, 2018 (File No. 001-14585))</w:t>
        </w:r>
      </w:hyperlink>
    </w:p>
    <w:p>
      <w:pPr>
        <w:spacing w:after="0" w:line="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1340" w:val="left"/>
        </w:tabs>
        <w:rPr>
          <w:rFonts w:ascii="Times New Roman" w:cs="Times New Roman" w:eastAsia="Times New Roman" w:hAnsi="Times New Roman"/>
          <w:sz w:val="17"/>
          <w:szCs w:val="17"/>
          <w:u w:val="single" w:color="auto"/>
          <w:color w:val="0000EE"/>
        </w:rPr>
      </w:pPr>
      <w:hyperlink r:id="rId29">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29">
        <w:r>
          <w:rPr>
            <w:rFonts w:ascii="Times New Roman" w:cs="Times New Roman" w:eastAsia="Times New Roman" w:hAnsi="Times New Roman"/>
            <w:sz w:val="17"/>
            <w:szCs w:val="17"/>
            <w:u w:val="single" w:color="auto"/>
            <w:color w:val="0000EE"/>
          </w:rPr>
          <w:t>Fourth Amended and Restated Bylaws of First Hawaiian, Inc., effective as of February 26, 2020 (incorporated by reference to Exhibit 3.3</w:t>
        </w:r>
      </w:hyperlink>
    </w:p>
    <w:p>
      <w:pPr>
        <w:spacing w:after="0" w:line="9" w:lineRule="exact"/>
        <w:rPr>
          <w:sz w:val="20"/>
          <w:szCs w:val="20"/>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to the Annual Report on Form 10-K, filed by the Company with the Commission on February 28, 2020 (File No. 001-14585))</w:t>
        </w:r>
      </w:hyperlink>
    </w:p>
    <w:p>
      <w:pPr>
        <w:spacing w:after="0" w:line="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380" w:type="dxa"/>
            <w:vAlign w:val="bottom"/>
            <w:gridSpan w:val="6"/>
          </w:tcPr>
          <w:p>
            <w:pPr>
              <w:ind w:left="400"/>
              <w:spacing w:after="0" w:line="18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First Hawaiian, Inc. 2025 Omnibus Incentive Compensation Plan*</w:t>
            </w:r>
          </w:p>
        </w:tc>
      </w:tr>
      <w:tr>
        <w:trPr>
          <w:trHeight w:val="218"/>
        </w:trPr>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4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4"/>
        </w:trPr>
        <w:tc>
          <w:tcPr>
            <w:tcW w:w="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380" w:type="dxa"/>
            <w:vAlign w:val="bottom"/>
            <w:gridSpan w:val="6"/>
          </w:tcPr>
          <w:p>
            <w:pPr>
              <w:ind w:left="40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Sullivan &amp; Cromwell LLP*</w:t>
            </w:r>
          </w:p>
        </w:tc>
      </w:tr>
      <w:tr>
        <w:trPr>
          <w:trHeight w:val="218"/>
        </w:trPr>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3"/>
          </w:tcPr>
          <w:p>
            <w:pPr>
              <w:spacing w:after="0"/>
              <w:rPr>
                <w:sz w:val="18"/>
                <w:szCs w:val="18"/>
                <w:color w:val="auto"/>
              </w:rPr>
            </w:pPr>
          </w:p>
        </w:tc>
      </w:tr>
      <w:tr>
        <w:trPr>
          <w:trHeight w:val="194"/>
        </w:trPr>
        <w:tc>
          <w:tcPr>
            <w:tcW w:w="7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5380" w:type="dxa"/>
            <w:vAlign w:val="bottom"/>
            <w:gridSpan w:val="6"/>
          </w:tcPr>
          <w:p>
            <w:pPr>
              <w:ind w:left="40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Sullivan &amp; Cromwell LLP (included in Exhibit 5.1)*</w:t>
            </w:r>
          </w:p>
        </w:tc>
      </w:tr>
      <w:tr>
        <w:trPr>
          <w:trHeight w:val="218"/>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7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5380" w:type="dxa"/>
            <w:vAlign w:val="bottom"/>
            <w:gridSpan w:val="6"/>
          </w:tcPr>
          <w:p>
            <w:pPr>
              <w:ind w:left="40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Deloitte &amp; Touche LLP*</w:t>
            </w:r>
          </w:p>
        </w:tc>
      </w:tr>
      <w:tr>
        <w:trPr>
          <w:trHeight w:val="218"/>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7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5380" w:type="dxa"/>
            <w:vAlign w:val="bottom"/>
            <w:gridSpan w:val="6"/>
          </w:tcPr>
          <w:p>
            <w:pPr>
              <w:ind w:left="40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Power of Attorney (set forth on signature page)*</w:t>
            </w:r>
          </w:p>
        </w:tc>
      </w:tr>
      <w:tr>
        <w:trPr>
          <w:trHeight w:val="237"/>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5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spacing w:after="0"/>
              <w:rPr>
                <w:sz w:val="20"/>
                <w:szCs w:val="20"/>
                <w:color w:val="auto"/>
              </w:rPr>
            </w:pPr>
          </w:p>
        </w:tc>
      </w:tr>
    </w:tbl>
    <w:p>
      <w:pPr>
        <w:ind w:left="1140" w:hanging="1132"/>
        <w:spacing w:after="0"/>
        <w:tabs>
          <w:tab w:leader="none" w:pos="1140"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Filing Fee Table*</w:t>
      </w:r>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FIRST HAWAIIAN,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2025 OMNIBUS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84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4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4"/>
        </w:trPr>
        <w:tc>
          <w:tcPr>
            <w:tcW w:w="440" w:type="dxa"/>
            <w:vAlign w:val="bottom"/>
          </w:tcPr>
          <w:p>
            <w:pPr>
              <w:spacing w:after="0"/>
              <w:rPr>
                <w:sz w:val="24"/>
                <w:szCs w:val="24"/>
                <w:color w:val="auto"/>
              </w:rPr>
            </w:pPr>
          </w:p>
        </w:tc>
        <w:tc>
          <w:tcPr>
            <w:tcW w:w="840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ARTICLE I</w:t>
            </w:r>
          </w:p>
        </w:tc>
        <w:tc>
          <w:tcPr>
            <w:tcW w:w="20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840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GENERAL</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Purpose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 of Certain Terms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Persons Eligible for Awards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Types of Awards Under Plan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Common Stock Available for Awards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440" w:type="dxa"/>
            <w:vAlign w:val="bottom"/>
          </w:tcPr>
          <w:p>
            <w:pPr>
              <w:spacing w:after="0"/>
              <w:rPr>
                <w:sz w:val="24"/>
                <w:szCs w:val="24"/>
                <w:color w:val="auto"/>
              </w:rPr>
            </w:pPr>
          </w:p>
        </w:tc>
        <w:tc>
          <w:tcPr>
            <w:tcW w:w="840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ARTICLE II</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840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8"/>
              </w:rPr>
              <w:t>AWARDS UNDER THE PLAN</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Agreements Evidencing Awards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Shares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Equivalent Rights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Performance-Based Shares and Other Stock-Based or Cash-Based Awards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If Conditions Not Met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Minimum Vesting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440" w:type="dxa"/>
            <w:vAlign w:val="bottom"/>
          </w:tcPr>
          <w:p>
            <w:pPr>
              <w:spacing w:after="0"/>
              <w:rPr>
                <w:sz w:val="24"/>
                <w:szCs w:val="24"/>
                <w:color w:val="auto"/>
              </w:rPr>
            </w:pPr>
          </w:p>
        </w:tc>
        <w:tc>
          <w:tcPr>
            <w:tcW w:w="840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ARTICLE III</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840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of the Plan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Withholding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Required Consents and Legends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Offset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Nonassignability; No Hedging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Control</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Continued Employment or Engagement; Right of Discharge Reserved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Nature of Payments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Non-Uniform Determinations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Payments or Awards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Headings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Plan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Clawback/Recapture Policy</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FDIC Limits on Golden Parachute Payments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409A</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3.17</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Disputes; Choice of Forum</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3.18</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3.19</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Claims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3.20</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 Entire Agreement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3.21</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Liability With Respect to Tax Qualification or Adverse Tax Treatment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3.22</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3.23</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and Assigns of the Company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3.24</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of Adoption and Approval of Stockholders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HAWAIIAN,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OMNIBUS INCENTIVE COMPENSATION PLAN</w:t>
      </w: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The purpose of the First Hawaiian, Inc. 2025 Omnibus Incentive Compensation Plan (as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is to help First Hawaiian, Inc., a Delaware corporation (“</w:t>
      </w:r>
      <w:r>
        <w:rPr>
          <w:rFonts w:ascii="Times New Roman" w:cs="Times New Roman" w:eastAsia="Times New Roman" w:hAnsi="Times New Roman"/>
          <w:sz w:val="18"/>
          <w:szCs w:val="18"/>
          <w:b w:val="1"/>
          <w:bCs w:val="1"/>
          <w:u w:val="single" w:color="auto"/>
          <w:color w:val="auto"/>
        </w:rPr>
        <w:t>First Hawaiian</w:t>
      </w:r>
      <w:r>
        <w:rPr>
          <w:rFonts w:ascii="Times New Roman" w:cs="Times New Roman" w:eastAsia="Times New Roman" w:hAnsi="Times New Roman"/>
          <w:sz w:val="18"/>
          <w:szCs w:val="18"/>
          <w:color w:val="auto"/>
        </w:rPr>
        <w:t>”), and any Subsidiary and any successor entity thereto (collectively,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(1) attract, retain and motivate key employees (including prospective employees) (other than non-employee Directors of First Hawaiian); (2) align the interests of such persons with First Hawaiian’s stockholders; and (3) promote ownership of First Hawaiian’s equity. Awards made pursuant to the Plan will be subject to the laws and regulations that may apply to First Hawaiian from time to time.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Definitions of Certain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Plan, the following terms have the meanings set forth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u w:val="single" w:color="auto"/>
          <w:color w:val="auto"/>
        </w:rPr>
        <w:t>Acquisition Awards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means an award made pursuant to the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herein to an agreement in writing, and acceptance thereof, will be deemed to include an electronic writing and electronic acceptance to the extent permitted by applicable law.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First Hawaiian.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u w:val="single" w:color="auto"/>
          <w:color w:val="auto"/>
        </w:rPr>
        <w:t>Business Combination</w:t>
      </w:r>
      <w:r>
        <w:rPr>
          <w:rFonts w:ascii="Times New Roman" w:cs="Times New Roman" w:eastAsia="Times New Roman" w:hAnsi="Times New Roman"/>
          <w:sz w:val="18"/>
          <w:szCs w:val="18"/>
          <w:color w:val="auto"/>
        </w:rPr>
        <w:t>” has the meaning provided in the definition of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7"/>
          <w:szCs w:val="17"/>
          <w:color w:val="auto"/>
        </w:rPr>
        <w:t>1.2.6            “</w:t>
      </w:r>
      <w:r>
        <w:rPr>
          <w:rFonts w:ascii="Times New Roman" w:cs="Times New Roman" w:eastAsia="Times New Roman" w:hAnsi="Times New Roman"/>
          <w:sz w:val="17"/>
          <w:szCs w:val="17"/>
          <w:b w:val="1"/>
          <w:bCs w:val="1"/>
          <w:u w:val="single" w:color="auto"/>
          <w:color w:val="auto"/>
        </w:rPr>
        <w:t>Cause</w:t>
      </w:r>
      <w:r>
        <w:rPr>
          <w:rFonts w:ascii="Times New Roman" w:cs="Times New Roman" w:eastAsia="Times New Roman" w:hAnsi="Times New Roman"/>
          <w:sz w:val="17"/>
          <w:szCs w:val="17"/>
          <w:color w:val="auto"/>
        </w:rPr>
        <w:t>” means (a) with respect to a Grantee employed pursuant to a written employment agreement which agreement includes a definition of “Cause,” “Cause” as defined in that agreement or (b) with respect to any other Grantee, the occurrence of any of the following: (i) such Grantee’s willful failure to perform his or her duties for the Company (other than any such failure resulting from such Grantee’s Disability), after written demand for substantial performance has been delivered to the Grantee by the Committee that specifically identifies how the Grantee has not substantially performed his or her duties, and the Grantee fails to remedy the situation within fifteen (15) business days of such written demand from the Committee, (ii) gross negligence in the performance of such Grantee’s duties, (iii) such Grantee’s conviction of, or plea of nolo contendere, to any felony whatsoever or any other crime involving the personal enrichment of such Grantee at the expense of the Company, (iv) such Grantee’s willful engagement in conduct that is demonstrably and materially injurious to the Company, monetarily or otherwise, (v) a material violation of any federal or state banking law or regulation, (vi) a material violation of any contract or agreement between the Grantee and the Company or any provision of the Company’s code of business conduct and ethics (including any successor thereto) or any other Company-established code of conduct to which such Grantee is subject, (vii) such Grantee’s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obstruction, (2) attempts to influence, obstruct or impede, or (3) failure to materially cooperate with an investigation authorized by the Board, any self-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agency or any other regulatory agency with jurisdiction over the Company, or (viii) such Grantee’s withholding, removal, concealment,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destruction, alteration or falsification of any material requested in connection with any such investigation, or attempt to do so or solicitation of another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means a stock certificate (or other appropriate document or evidence of ownership) representing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during any period of not more than 36 months, individuals who constitute the Board as of the beginning of the period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Incumbent Directors</w:t>
      </w:r>
      <w:r>
        <w:rPr>
          <w:rFonts w:ascii="Times New Roman" w:cs="Times New Roman" w:eastAsia="Times New Roman" w:hAnsi="Times New Roman"/>
          <w:sz w:val="17"/>
          <w:szCs w:val="17"/>
          <w:color w:val="auto"/>
        </w:rPr>
        <w:t xml:space="preserve">”) cease for any reason to constitute at least a majority of the Board,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any person becoming a Director subsequent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of such period, whose election or nomination for election was approved by a vote of at least two-thirds of the Incumbent Directors then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(either by a specific vote or by approval of the proxy statement of First Hawaiian in which such person is named as a nominee for Director,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written objection to such nomination) will be an Incumbent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individual initially elected or nominated as a Director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Hawaiian as a result of an actual or publicly threatened election contest with respect to Directors or as a result of any other actual or publicly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solicitation of proxies by or on behalf of any person other than the Board will be deemed to be an Incumbent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any “person” (as such term is defined in Section 3(a)(9) of the Exchange Act and as used in Sections 13(d)(3) and 14(d)(2)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is or becomes a “beneficial owner” (as defined in Rule 13d-3 under the Exchange Act), directly or indirectly, of securities of First Hawaiian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50% or more of the combined voting power of First Hawaiian’s then-outstanding securities eligible to vote for the election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Voting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event described in this paragraph (b) will not be deemed to be a Change in Control by virtue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ownership, or acquisition, of Company Voting Securities: (A) by the Company, (B) by any employee benefit plan (or related trust) sponsored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maintained by the Company, (C) by any underwriter temporarily holding securities pursuant to an offering of such securities, or (D) pursuant to a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Qualifying Transaction (as defined in paragraph (c) of this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consummation of a merger, consolidation, statutory share exchange or similar form of corporate transaction involving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Hawaiian that requires the approval of First Hawaiian’s stockholders, whether for such transaction or the issuance of securities in the transaction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Combination</w:t>
      </w:r>
      <w:r>
        <w:rPr>
          <w:rFonts w:ascii="Times New Roman" w:cs="Times New Roman" w:eastAsia="Times New Roman" w:hAnsi="Times New Roman"/>
          <w:sz w:val="18"/>
          <w:szCs w:val="18"/>
          <w:color w:val="auto"/>
        </w:rPr>
        <w:t>”), unless immediately following such Business Combination: (A) more than 50% of the total voting power of (x) the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such Business Combination (the “</w:t>
      </w:r>
      <w:r>
        <w:rPr>
          <w:rFonts w:ascii="Times New Roman" w:cs="Times New Roman" w:eastAsia="Times New Roman" w:hAnsi="Times New Roman"/>
          <w:sz w:val="18"/>
          <w:szCs w:val="18"/>
          <w:b w:val="1"/>
          <w:bCs w:val="1"/>
          <w:u w:val="single" w:color="auto"/>
          <w:color w:val="auto"/>
        </w:rPr>
        <w:t>Surviving Entity</w:t>
      </w:r>
      <w:r>
        <w:rPr>
          <w:rFonts w:ascii="Times New Roman" w:cs="Times New Roman" w:eastAsia="Times New Roman" w:hAnsi="Times New Roman"/>
          <w:sz w:val="18"/>
          <w:szCs w:val="18"/>
          <w:color w:val="auto"/>
        </w:rPr>
        <w:t>”), or (y) if applicable, the ultimate parent corporation that directly or indirectly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of at least 95% of the voting power, is represented by Company Voting Securities that were outstanding immediately prior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(or, if applicable, is represented by shares into which such Company Voting Securities were converted pursuant to such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and such voting power among the holders thereof is in substantially the same proportion as the voting power of such Company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among the holders thereof immediately prior to the Business Combination, (B) no person (other than any employee benefit plan (or related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sponsored or maintained by the Surviving Entity or the parent), is or becomes the beneficial owner, directly or indirectly, of 50% or more of the total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the outstanding voting securities eligible to elect directors of the parent (or, if there is no parent, the Surviving Entity) and (C) at least 50%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 of directors of the parent (or, if there is no parent, the Surviving Entity) following the consummation of the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Incumbent Directors at the time of the Board’s approval of the execution of the initial agreement providing for such Business Combination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which satisfies all of the criteria specified in (A), (B) and (C) of this paragraph (c) will be deemed to be a “</w:t>
      </w:r>
      <w:r>
        <w:rPr>
          <w:rFonts w:ascii="Times New Roman" w:cs="Times New Roman" w:eastAsia="Times New Roman" w:hAnsi="Times New Roman"/>
          <w:sz w:val="18"/>
          <w:szCs w:val="18"/>
          <w:b w:val="1"/>
          <w:bCs w:val="1"/>
          <w:u w:val="single" w:color="auto"/>
          <w:color w:val="auto"/>
        </w:rPr>
        <w:t>Non-Qualifying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consummation of a sale of all or substantially all of First Hawaiian’s assets (other than to an affiliate of First Hawaiian);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First Hawaiian’s stockholders approve a plan of complete liquidation or dissolution of First Hawaiian.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a Change in Control will not be deemed to occur solely because any person acquires beneficial ownership of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50% of the Company Voting Securities as a result of the acquisition of Company Voting Securities by the Company which reduces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Voting Securities outstanding;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after such acquisition by the Company such person becomes the beneficial owner of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Voting Securities that increases the percentage of outstanding Company Voting Securities beneficially owned by such person, a Change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will then occur.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1.2.9            “</w:t>
      </w: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means the Internal Revenue Code of 1986, as amended from time to time, or any successor thereto, and the applicable rulings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1.2.10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1.2.11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of First Hawaiian, par value $0.01 per share, and any other securities or property issued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exchange therefor or in lieu thereof pursuant to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1.2.12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1.2.13          “</w:t>
      </w:r>
      <w:r>
        <w:rPr>
          <w:rFonts w:ascii="Times New Roman" w:cs="Times New Roman" w:eastAsia="Times New Roman" w:hAnsi="Times New Roman"/>
          <w:sz w:val="18"/>
          <w:szCs w:val="18"/>
          <w:b w:val="1"/>
          <w:bCs w:val="1"/>
          <w:u w:val="single" w:color="auto"/>
          <w:color w:val="auto"/>
        </w:rPr>
        <w:t>Company Voting Securities</w:t>
      </w:r>
      <w:r>
        <w:rPr>
          <w:rFonts w:ascii="Times New Roman" w:cs="Times New Roman" w:eastAsia="Times New Roman" w:hAnsi="Times New Roman"/>
          <w:sz w:val="18"/>
          <w:szCs w:val="18"/>
          <w:color w:val="auto"/>
        </w:rPr>
        <w:t>” has the meaning provided in the definition of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1.2.14          “</w:t>
      </w:r>
      <w:r>
        <w:rPr>
          <w:rFonts w:ascii="Times New Roman" w:cs="Times New Roman" w:eastAsia="Times New Roman" w:hAnsi="Times New Roman"/>
          <w:sz w:val="18"/>
          <w:szCs w:val="18"/>
          <w:b w:val="1"/>
          <w:bCs w:val="1"/>
          <w:u w:val="single" w:color="auto"/>
          <w:color w:val="auto"/>
        </w:rPr>
        <w:t>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1.2.15          “</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1.2.16          “</w:t>
      </w:r>
      <w:r>
        <w:rPr>
          <w:rFonts w:ascii="Times New Roman" w:cs="Times New Roman" w:eastAsia="Times New Roman" w:hAnsi="Times New Roman"/>
          <w:sz w:val="18"/>
          <w:szCs w:val="18"/>
          <w:b w:val="1"/>
          <w:bCs w:val="1"/>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540" w:firstLine="648"/>
        <w:spacing w:after="0" w:line="265" w:lineRule="auto"/>
        <w:rPr>
          <w:sz w:val="20"/>
          <w:szCs w:val="20"/>
          <w:color w:val="auto"/>
        </w:rPr>
      </w:pPr>
      <w:r>
        <w:rPr>
          <w:rFonts w:ascii="Times New Roman" w:cs="Times New Roman" w:eastAsia="Times New Roman" w:hAnsi="Times New Roman"/>
          <w:sz w:val="17"/>
          <w:szCs w:val="17"/>
          <w:color w:val="auto"/>
        </w:rPr>
        <w:t>1.2.17          “</w:t>
      </w:r>
      <w:r>
        <w:rPr>
          <w:rFonts w:ascii="Times New Roman" w:cs="Times New Roman" w:eastAsia="Times New Roman" w:hAnsi="Times New Roman"/>
          <w:sz w:val="17"/>
          <w:szCs w:val="17"/>
          <w:b w:val="1"/>
          <w:bCs w:val="1"/>
          <w:u w:val="single" w:color="auto"/>
          <w:color w:val="auto"/>
        </w:rPr>
        <w:t>Disability</w:t>
      </w:r>
      <w:r>
        <w:rPr>
          <w:rFonts w:ascii="Times New Roman" w:cs="Times New Roman" w:eastAsia="Times New Roman" w:hAnsi="Times New Roman"/>
          <w:sz w:val="17"/>
          <w:szCs w:val="17"/>
          <w:color w:val="auto"/>
        </w:rPr>
        <w:t>” means the Grantee (a) is unable to engage in any substantial gainful activity by reason of any medically determinable physical or mental impairment which can be expected to result in death or can be expected to last for a continuous period of not less than twelve</w:t>
      </w:r>
    </w:p>
    <w:p>
      <w:pPr>
        <w:spacing w:after="0"/>
        <w:rPr>
          <w:sz w:val="20"/>
          <w:szCs w:val="20"/>
          <w:color w:val="auto"/>
        </w:rPr>
      </w:pPr>
      <w:r>
        <w:rPr>
          <w:rFonts w:ascii="Times New Roman" w:cs="Times New Roman" w:eastAsia="Times New Roman" w:hAnsi="Times New Roman"/>
          <w:sz w:val="18"/>
          <w:szCs w:val="18"/>
          <w:color w:val="auto"/>
        </w:rPr>
        <w:t>(12) months, or (b) is, by reason of any medically determinable physical or mental impairment which can be expected to result in death or can be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last for a continuous period of not less than twelve (12) months, receiving income replacement benefits for a period of not less than three (3)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 accident and health plan covering employees of the Company. In addition to the foregoing, a Grantee will be deemed Disabled as of the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Administration determines the Grantee to be totally disabled.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1.2.18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60" w:lineRule="auto"/>
        <w:rPr>
          <w:sz w:val="20"/>
          <w:szCs w:val="20"/>
          <w:color w:val="auto"/>
        </w:rPr>
      </w:pPr>
      <w:r>
        <w:rPr>
          <w:rFonts w:ascii="Times New Roman" w:cs="Times New Roman" w:eastAsia="Times New Roman" w:hAnsi="Times New Roman"/>
          <w:sz w:val="18"/>
          <w:szCs w:val="18"/>
          <w:color w:val="auto"/>
        </w:rPr>
        <w:t>1.2.19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means a regular, active employee, or a prospective employee of the Company and/or solely with respect to his or her final year of service, a former employee of the Company, but not including a non-employee Director.  </w:t>
      </w:r>
    </w:p>
    <w:p>
      <w:pPr>
        <w:spacing w:after="0" w:line="20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1.2.20          “</w:t>
      </w: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color w:val="auto"/>
        </w:rPr>
        <w:t>” means a Grantee’s performance of services for the Company,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1.2.21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means the Securities Exchange Act of 1934, as amended from time to time, or any successor thereto, and the applicable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1.2.22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 with respect to a Share, the closing price reported for the Common Stock on the applicable date as reported on the NASDAQ Global Select Market or, if not so reported, as determined in accordance with a valuation methodology approved by the Committee, unless determined as otherwise specified herein.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1.2.23          “</w:t>
      </w:r>
      <w:r>
        <w:rPr>
          <w:rFonts w:ascii="Times New Roman" w:cs="Times New Roman" w:eastAsia="Times New Roman" w:hAnsi="Times New Roman"/>
          <w:sz w:val="18"/>
          <w:szCs w:val="18"/>
          <w:b w:val="1"/>
          <w:bCs w:val="1"/>
          <w:u w:val="single" w:color="auto"/>
          <w:color w:val="auto"/>
        </w:rPr>
        <w:t>First Hawaiian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1.2.24          “</w:t>
      </w:r>
      <w:r>
        <w:rPr>
          <w:rFonts w:ascii="Times New Roman" w:cs="Times New Roman" w:eastAsia="Times New Roman" w:hAnsi="Times New Roman"/>
          <w:sz w:val="17"/>
          <w:szCs w:val="17"/>
          <w:b w:val="1"/>
          <w:bCs w:val="1"/>
          <w:u w:val="single" w:color="auto"/>
          <w:color w:val="auto"/>
        </w:rPr>
        <w:t>Good Reason</w:t>
      </w:r>
      <w:r>
        <w:rPr>
          <w:rFonts w:ascii="Times New Roman" w:cs="Times New Roman" w:eastAsia="Times New Roman" w:hAnsi="Times New Roman"/>
          <w:sz w:val="17"/>
          <w:szCs w:val="17"/>
          <w:color w:val="auto"/>
        </w:rPr>
        <w:t>” means (a) with respect to a Grantee employed pursuant to a written employment agreement which agreement includes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“Good Reason,” “Good Reason” as defined in that agreement or (b) with respect to any other Grantee, the occurrence of any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absence of the Grantee’s prior written consent: (i) such Grantee has incurred a material reduction in base salary, authority, duties or responsibilities,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budget over which the Grantee has authority at the Company; (ii) within two (2) years after a Change in Control, such Grantee has incurred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in the authority, duties or responsibilities of the Grantee’s supervisor; or (iii) such Grantee has been provided notice that his principal place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will be relocated to a different Hawaiian Island or to a place more than 50 miles from the Grantee’s base of employment immediately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Control. Provided, in each case, that no event or circumstance described by the foregoing sentence will constitute Good Reason unless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provides the Company notice thereof within ninety (90) days after the occurrence or existence of such event or circumstance, (ii) the Company fails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cure such event or circumstance within thirty (30) days after delivery of such notice and (iii) the Grantee’s employment with the Company terminates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thirty (30) days after the expiration of such cure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1.2.25          “</w:t>
      </w:r>
      <w:r>
        <w:rPr>
          <w:rFonts w:ascii="Times New Roman" w:cs="Times New Roman" w:eastAsia="Times New Roman" w:hAnsi="Times New Roman"/>
          <w:sz w:val="18"/>
          <w:szCs w:val="18"/>
          <w:b w:val="1"/>
          <w:bCs w:val="1"/>
          <w:u w:val="single" w:color="auto"/>
          <w:color w:val="auto"/>
        </w:rPr>
        <w:t>Grantee</w:t>
      </w:r>
      <w:r>
        <w:rPr>
          <w:rFonts w:ascii="Times New Roman" w:cs="Times New Roman" w:eastAsia="Times New Roman" w:hAnsi="Times New Roman"/>
          <w:sz w:val="18"/>
          <w:szCs w:val="18"/>
          <w:color w:val="auto"/>
        </w:rPr>
        <w:t>” means an Employee who receives an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1.2.26          “</w:t>
      </w:r>
      <w:r>
        <w:rPr>
          <w:rFonts w:ascii="Times New Roman" w:cs="Times New Roman" w:eastAsia="Times New Roman" w:hAnsi="Times New Roman"/>
          <w:sz w:val="17"/>
          <w:szCs w:val="17"/>
          <w:b w:val="1"/>
          <w:bCs w:val="1"/>
          <w:u w:val="single" w:color="auto"/>
          <w:color w:val="auto"/>
        </w:rPr>
        <w:t>Incentive Stock Option</w:t>
      </w:r>
      <w:r>
        <w:rPr>
          <w:rFonts w:ascii="Times New Roman" w:cs="Times New Roman" w:eastAsia="Times New Roman" w:hAnsi="Times New Roman"/>
          <w:sz w:val="17"/>
          <w:szCs w:val="17"/>
          <w:color w:val="auto"/>
        </w:rPr>
        <w:t>” means a stock option to purchase Shares that is intended to be an “incentive stock option” within the meaning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Sections 421 and 422 of the Code, as now constituted or subsequently amended, or pursuant to a successor provision of the Code, and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as an Incentive Stock Option in the applicable Award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1.2.27          “</w:t>
      </w:r>
      <w:r>
        <w:rPr>
          <w:rFonts w:ascii="Times New Roman" w:cs="Times New Roman" w:eastAsia="Times New Roman" w:hAnsi="Times New Roman"/>
          <w:sz w:val="18"/>
          <w:szCs w:val="18"/>
          <w:b w:val="1"/>
          <w:bCs w:val="1"/>
          <w:u w:val="single" w:color="auto"/>
          <w:color w:val="auto"/>
        </w:rPr>
        <w:t>Incumbent Directors</w:t>
      </w:r>
      <w:r>
        <w:rPr>
          <w:rFonts w:ascii="Times New Roman" w:cs="Times New Roman" w:eastAsia="Times New Roman" w:hAnsi="Times New Roman"/>
          <w:sz w:val="18"/>
          <w:szCs w:val="18"/>
          <w:color w:val="auto"/>
        </w:rPr>
        <w:t>” has the meaning provided in the definition of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1.2.28          “</w:t>
      </w:r>
      <w:r>
        <w:rPr>
          <w:rFonts w:ascii="Times New Roman" w:cs="Times New Roman" w:eastAsia="Times New Roman" w:hAnsi="Times New Roman"/>
          <w:sz w:val="18"/>
          <w:szCs w:val="18"/>
          <w:b w:val="1"/>
          <w:bCs w:val="1"/>
          <w:u w:val="single" w:color="auto"/>
          <w:color w:val="auto"/>
        </w:rPr>
        <w:t>Non-Qualifying Transaction</w:t>
      </w:r>
      <w:r>
        <w:rPr>
          <w:rFonts w:ascii="Times New Roman" w:cs="Times New Roman" w:eastAsia="Times New Roman" w:hAnsi="Times New Roman"/>
          <w:sz w:val="18"/>
          <w:szCs w:val="18"/>
          <w:color w:val="auto"/>
        </w:rPr>
        <w:t>” has the meaning provided in the definition of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1.2.29          “</w:t>
      </w:r>
      <w:r>
        <w:rPr>
          <w:rFonts w:ascii="Times New Roman" w:cs="Times New Roman" w:eastAsia="Times New Roman" w:hAnsi="Times New Roman"/>
          <w:sz w:val="18"/>
          <w:szCs w:val="18"/>
          <w:b w:val="1"/>
          <w:bCs w:val="1"/>
          <w:u w:val="single" w:color="auto"/>
          <w:color w:val="auto"/>
        </w:rPr>
        <w:t>Other Stock-Based or Cash-Based Awards</w:t>
      </w:r>
      <w:r>
        <w:rPr>
          <w:rFonts w:ascii="Times New Roman" w:cs="Times New Roman" w:eastAsia="Times New Roman" w:hAnsi="Times New Roman"/>
          <w:sz w:val="18"/>
          <w:szCs w:val="18"/>
          <w:color w:val="auto"/>
        </w:rPr>
        <w:t>” has the meaning set forth in Section 2.8.1.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1.2.30          “</w:t>
      </w:r>
      <w:r>
        <w:rPr>
          <w:rFonts w:ascii="Times New Roman" w:cs="Times New Roman" w:eastAsia="Times New Roman" w:hAnsi="Times New Roman"/>
          <w:sz w:val="18"/>
          <w:szCs w:val="18"/>
          <w:b w:val="1"/>
          <w:bCs w:val="1"/>
          <w:u w:val="single" w:color="auto"/>
          <w:color w:val="auto"/>
        </w:rPr>
        <w:t>Performance-Based Awards</w:t>
      </w:r>
      <w:r>
        <w:rPr>
          <w:rFonts w:ascii="Times New Roman" w:cs="Times New Roman" w:eastAsia="Times New Roman" w:hAnsi="Times New Roman"/>
          <w:sz w:val="18"/>
          <w:szCs w:val="18"/>
          <w:color w:val="auto"/>
        </w:rPr>
        <w:t xml:space="preserve">” means certain Other Stock-Based or Cash-Based Awards granted pursuant to </w:t>
      </w:r>
      <w:r>
        <w:rPr>
          <w:rFonts w:ascii="Times New Roman" w:cs="Times New Roman" w:eastAsia="Times New Roman" w:hAnsi="Times New Roman"/>
          <w:sz w:val="18"/>
          <w:szCs w:val="18"/>
          <w:u w:val="single" w:color="auto"/>
          <w:color w:val="auto"/>
        </w:rPr>
        <w:t>Section 2.8.2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1.2.31          “</w:t>
      </w:r>
      <w:r>
        <w:rPr>
          <w:rFonts w:ascii="Times New Roman" w:cs="Times New Roman" w:eastAsia="Times New Roman" w:hAnsi="Times New Roman"/>
          <w:sz w:val="18"/>
          <w:szCs w:val="18"/>
          <w:b w:val="1"/>
          <w:bCs w:val="1"/>
          <w:u w:val="single" w:color="auto"/>
          <w:color w:val="auto"/>
        </w:rPr>
        <w:t>Performance Criteria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1.2.32          “</w:t>
      </w:r>
      <w:r>
        <w:rPr>
          <w:rFonts w:ascii="Times New Roman" w:cs="Times New Roman" w:eastAsia="Times New Roman" w:hAnsi="Times New Roman"/>
          <w:sz w:val="17"/>
          <w:szCs w:val="17"/>
          <w:b w:val="1"/>
          <w:bCs w:val="1"/>
          <w:u w:val="single" w:color="auto"/>
          <w:color w:val="auto"/>
        </w:rPr>
        <w:t>Performance Goals</w:t>
      </w:r>
      <w:r>
        <w:rPr>
          <w:rFonts w:ascii="Times New Roman" w:cs="Times New Roman" w:eastAsia="Times New Roman" w:hAnsi="Times New Roman"/>
          <w:sz w:val="17"/>
          <w:szCs w:val="17"/>
          <w:color w:val="auto"/>
        </w:rPr>
        <w:t>” means the performance goals established by the Committee in connection with the grant of Awards, which may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be based on Performance Criteria.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1.2.33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1.2.34          “</w:t>
      </w:r>
      <w:r>
        <w:rPr>
          <w:rFonts w:ascii="Times New Roman" w:cs="Times New Roman" w:eastAsia="Times New Roman" w:hAnsi="Times New Roman"/>
          <w:sz w:val="18"/>
          <w:szCs w:val="18"/>
          <w:b w:val="1"/>
          <w:bCs w:val="1"/>
          <w:u w:val="single" w:color="auto"/>
          <w:color w:val="auto"/>
        </w:rPr>
        <w:t>Plan 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1.2.35          “</w:t>
      </w:r>
      <w:r>
        <w:rPr>
          <w:rFonts w:ascii="Times New Roman" w:cs="Times New Roman" w:eastAsia="Times New Roman" w:hAnsi="Times New Roman"/>
          <w:sz w:val="17"/>
          <w:szCs w:val="17"/>
          <w:b w:val="1"/>
          <w:bCs w:val="1"/>
          <w:u w:val="single" w:color="auto"/>
          <w:color w:val="auto"/>
        </w:rPr>
        <w:t>Section 409A</w:t>
      </w:r>
      <w:r>
        <w:rPr>
          <w:rFonts w:ascii="Times New Roman" w:cs="Times New Roman" w:eastAsia="Times New Roman" w:hAnsi="Times New Roman"/>
          <w:sz w:val="17"/>
          <w:szCs w:val="17"/>
          <w:color w:val="auto"/>
        </w:rPr>
        <w:t>” means Section 409A of the Code, including any amendments or successor provisions to that section, and any regulations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administrative guidance thereunder, in each case as they may be from time to time amended or interpreted through further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1.2.36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means the Securities Act of 1933, as amended from time to time, or any successor thereto, and the applicable rules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1.2.37          “</w:t>
      </w:r>
      <w:r>
        <w:rPr>
          <w:rFonts w:ascii="Times New Roman" w:cs="Times New Roman" w:eastAsia="Times New Roman" w:hAnsi="Times New Roman"/>
          <w:sz w:val="18"/>
          <w:szCs w:val="18"/>
          <w:b w:val="1"/>
          <w:bCs w:val="1"/>
          <w:u w:val="single" w:color="auto"/>
          <w:color w:val="auto"/>
        </w:rPr>
        <w:t>Share 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1.2.38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means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1.2.39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corporation, partnership, limited liability company or other legal entity in which First Hawaiian,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owns stock or other equity interests possessing 50% or more of the total combined voting power of all classes of the then-outstanding stock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equity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1.2.40          “</w:t>
      </w:r>
      <w:r>
        <w:rPr>
          <w:rFonts w:ascii="Times New Roman" w:cs="Times New Roman" w:eastAsia="Times New Roman" w:hAnsi="Times New Roman"/>
          <w:sz w:val="18"/>
          <w:szCs w:val="18"/>
          <w:b w:val="1"/>
          <w:bCs w:val="1"/>
          <w:u w:val="single" w:color="auto"/>
          <w:color w:val="auto"/>
        </w:rPr>
        <w:t>Surviving Entity</w:t>
      </w:r>
      <w:r>
        <w:rPr>
          <w:rFonts w:ascii="Times New Roman" w:cs="Times New Roman" w:eastAsia="Times New Roman" w:hAnsi="Times New Roman"/>
          <w:sz w:val="18"/>
          <w:szCs w:val="18"/>
          <w:color w:val="auto"/>
        </w:rPr>
        <w:t>” has the meaning provided in the definition of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1.2.41          “</w:t>
      </w:r>
      <w:r>
        <w:rPr>
          <w:rFonts w:ascii="Times New Roman" w:cs="Times New Roman" w:eastAsia="Times New Roman" w:hAnsi="Times New Roman"/>
          <w:sz w:val="18"/>
          <w:szCs w:val="18"/>
          <w:b w:val="1"/>
          <w:bCs w:val="1"/>
          <w:u w:val="single" w:color="auto"/>
          <w:color w:val="auto"/>
        </w:rPr>
        <w:t>Ten Percent Stockholder</w:t>
      </w:r>
      <w:r>
        <w:rPr>
          <w:rFonts w:ascii="Times New Roman" w:cs="Times New Roman" w:eastAsia="Times New Roman" w:hAnsi="Times New Roman"/>
          <w:sz w:val="18"/>
          <w:szCs w:val="18"/>
          <w:color w:val="auto"/>
        </w:rPr>
        <w:t>” means a person owning stock possessing more than 10% of the total combined voting power of all classes of stock of First Hawaiian and of any Subsidiary or parent corporation of First Hawaiian.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1.2.42          “</w:t>
      </w:r>
      <w:r>
        <w:rPr>
          <w:rFonts w:ascii="Times New Roman" w:cs="Times New Roman" w:eastAsia="Times New Roman" w:hAnsi="Times New Roman"/>
          <w:sz w:val="18"/>
          <w:szCs w:val="18"/>
          <w:b w:val="1"/>
          <w:bCs w:val="1"/>
          <w:u w:val="single" w:color="auto"/>
          <w:color w:val="auto"/>
        </w:rPr>
        <w:t>Treasury Regulations</w:t>
      </w:r>
      <w:r>
        <w:rPr>
          <w:rFonts w:ascii="Times New Roman" w:cs="Times New Roman" w:eastAsia="Times New Roman" w:hAnsi="Times New Roman"/>
          <w:sz w:val="18"/>
          <w:szCs w:val="18"/>
          <w:color w:val="auto"/>
        </w:rPr>
        <w:t>” means the regulations promulgated under the Code by the United States Treasury Department,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1.3.1            The Compensation Committee of the Board (as constituted from time to time, and including any successor committee, the “</w:t>
      </w:r>
      <w:r>
        <w:rPr>
          <w:rFonts w:ascii="Times New Roman" w:cs="Times New Roman" w:eastAsia="Times New Roman" w:hAnsi="Times New Roman"/>
          <w:sz w:val="17"/>
          <w:szCs w:val="17"/>
          <w:b w:val="1"/>
          <w:bCs w:val="1"/>
          <w:u w:val="single" w:color="auto"/>
          <w:color w:val="auto"/>
        </w:rPr>
        <w:t>Committee</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administer the Plan. In particular, the Committee will have the authority in its sole discretion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exercise all of the powers granted to it, and make all determinations, under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construe, interpret and implement and correct any defect, supply any omission and reconcile any inconsistency in the Plan and all Award Agreements and determine disputed facts related thereto;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with respect to all claims or disputes arising out of any determination of the Committee that materially adversely affects a Grantee’s Award, (i) the affected Grantee shall file a written claim with the Committee for review, explaining the reasons for such claim, and (ii) the Committee’s decision must be written and must explain the decision;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prescribe, amend and rescind rules and regulations relating to the Plan, including rules governing the Committee’s own operations;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grant, or recommend to the Board for approval to grant, Awards and determine who will receive Awards, when such Awards will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granted and the terms of such Awards, including setting forth provisions with regard to the effect of a termination of Employment on such Awards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conditioning the vesting of, or the lapsing of any applicable vesting restrictions or other vesting conditions on, Awards upon the attainment of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Goals and/or upon continued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amend the Plan or any outstanding Award Agreement in any respect, including, without limitation,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60" w:hanging="648"/>
        <w:spacing w:after="0" w:line="250" w:lineRule="auto"/>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or times at which the Award becomes vested, unrestricted or may be exercised (and, in connection with such acceleration, the Committee may provide that any Shares acquired pursuant to such Award will be restricted shares, which are subject to vesting, transfer, forfeiture or repayment provisions similar to those in the Grantee’s underlying Award);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line="250" w:lineRule="auto"/>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or times at which Shares are delivered under the Award (and, without limitation on the Committee’s rights, in connection with such acceleration, the Committee may provide that any Shares delivered pursuant to such Award will be restricted shares, which are subject to vesting, transfer, forfeiture or repayment provisions similar to those in the Grantee’s underlying Award);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60" w:hanging="648"/>
        <w:spacing w:after="0" w:line="250" w:lineRule="auto"/>
        <w:tabs>
          <w:tab w:leader="none" w:pos="2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goals, restrictions, vesting provisions or conditions set forth in such Award Agreement, or impose new goals, restrictions, vesting provisions and conditions;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80" w:hanging="648"/>
        <w:spacing w:after="0" w:line="250" w:lineRule="auto"/>
        <w:tabs>
          <w:tab w:leader="none" w:pos="2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a change in the Grantee’s circumstances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change to part-time employment status or a change in position, duties or responsibilities);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determine at any time whether, to what extent and under what circumstances and method or methods, subject to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Awards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right="180" w:hanging="640"/>
        <w:spacing w:after="0" w:line="250" w:lineRule="auto"/>
        <w:tabs>
          <w:tab w:leader="none" w:pos="3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in cash, Shares, other securities, other Awards or other property (in which event, the Committee may specify what other effects such settlement will have on the Grantee’s Award, including the effect on any repayment provisions under the Plan or Award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exercised;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canceled, forfeited or suspended;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20" w:hanging="648"/>
        <w:spacing w:after="0" w:line="250" w:lineRule="auto"/>
        <w:tabs>
          <w:tab w:leader="none" w:pos="2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other securities, other Awards or other property and other amounts payable with respect to an Award may be deferred either automatically or at the election of the Grantee thereof or of the Committee;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line="250" w:lineRule="auto"/>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applicable law, loans (whether or not secured by Common Stock) may be extended by the Company with respect to any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hanging="648"/>
        <w:spacing w:after="0"/>
        <w:tabs>
          <w:tab w:leader="none" w:pos="2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settled by First Hawaiian, any of its Subsidiaries or affiliates or any of their designees;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340" w:hanging="648"/>
        <w:spacing w:after="0" w:line="265" w:lineRule="auto"/>
        <w:tabs>
          <w:tab w:leader="none" w:pos="2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for any stock option (other than an Incentive Stock Option, unless the Committee determines that such a stock option will no longer constitute an Incentive Stock Option) or stock appreciation right may be reset.</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1.3.2            Actions of the Committee may be taken by the vote of a majority of its members present at a meeting (which may be held telephonically). Any action may be taken by a written instrument signed by a majority of the Committee members, and action so taken will be as fully effective as if it had been taken by a vote at a meeting. The determination of the Committee on all matters relating to the Plan or any Award Agreement will be entitled to the maximum deference permitted by law and will be final, binding and conclusive and non-reviewable and non-appealable and may be entered as a final judgment in any court having jurisdiction. The Committee may delegate (either generally or specifically) the powers, authorities and discretions conferred on it under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as it deems appropriate in its sole discretion in accordance with applicable law. The Committee may allocate among its members and delegate to any person who is not a member of the Committee, or to any administrative group within the Company, any of its powers, responsibilities or duties. In delegating its authority, the Committee will consider the extent to which any delegation may cause Awards to fail to meet the requirements of Rule 16(b)-3(d)(1) or Rule 16(b)-3(e) under the Exchange Act. Except as specifically provided to the contrary, references to the Committee include any administrative group, individual or individuals to whom the Committee has delegated its duties and powers.  </w:t>
      </w:r>
    </w:p>
    <w:p>
      <w:pPr>
        <w:spacing w:after="0" w:line="211"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8"/>
          <w:szCs w:val="18"/>
          <w:color w:val="auto"/>
        </w:rPr>
        <w:t>1.3.3            Notwithstanding anything to the contrary contained herein, the Board may, in its sole discretion, at any time and from time to time, grant Awards or administer the Plan. In any such case, the Board will have all of the authority and responsibility granted to the Committee herein.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1.3.4            No member of the Board or Committee or any person to whom the Board or Committee delegates its powers, responsibilities or duties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including by resolution (each such person, a “</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will have any liability to any person (including any Grantee) for any action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omitted to be taken or any determination made with respect to the Plan or any Award, except as expressly provided by statute. Each Covered Person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indemnified and held harmless by the Company against and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300" w:firstLine="1296"/>
        <w:spacing w:after="0" w:line="255" w:lineRule="auto"/>
        <w:rPr>
          <w:sz w:val="20"/>
          <w:szCs w:val="20"/>
          <w:color w:val="auto"/>
        </w:rPr>
      </w:pPr>
      <w:r>
        <w:rPr>
          <w:rFonts w:ascii="Times New Roman" w:cs="Times New Roman" w:eastAsia="Times New Roman" w:hAnsi="Times New Roman"/>
          <w:sz w:val="18"/>
          <w:szCs w:val="18"/>
          <w:color w:val="auto"/>
        </w:rPr>
        <w:t>(a)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any and all amounts paid by such Covered Person, with the Company’s approval, in settlement thereof, or paid by such Covered Person in satisfaction of any judgment in any such action, suit or proceeding against such Covered Person,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Company will have the right, at its own expense, to assume and defend any such action, suit or proceeding and, once the Company gives notice of its intent to assume the defense, the Company will have sole control over such defense with counsel of the Company’s choice.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The foregoing right of indemnification will not be exclusive of any other rights of indemnification to which Covered Persons may be entitled under First Hawaiian’s Amended and Restated Certificate of Incorporation or Amended and Restated Bylaws, pursuant to any individual indemnification agreements between such Covered Person and the Company, as a matter of law, or otherwise, or any other power that the Company may have to indemnify such persons or hold them harmless.  </w:t>
      </w: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Persons Eligible for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Awards under the Plan may be made to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Types of Awards Under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Awards may be made under the Plan in the form of cash-based or stock-based Awards. Stock-based Awards may be in the form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in each case in respect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stock appreciation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restricted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dividend equivalent rights;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1296"/>
        <w:spacing w:after="0" w:line="260" w:lineRule="auto"/>
        <w:rPr>
          <w:sz w:val="20"/>
          <w:szCs w:val="20"/>
          <w:color w:val="auto"/>
        </w:rPr>
      </w:pPr>
      <w:r>
        <w:rPr>
          <w:rFonts w:ascii="Times New Roman" w:cs="Times New Roman" w:eastAsia="Times New Roman" w:hAnsi="Times New Roman"/>
          <w:sz w:val="18"/>
          <w:szCs w:val="18"/>
          <w:color w:val="auto"/>
        </w:rPr>
        <w:t xml:space="preserve">(f)             Performance-based shares or other equity-based or equity-related Awards (as further described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that the Committee determines to be consistent with the purposes of the Plan and the interests of the Company.  </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Shares of Common Stock Available for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Common Stock Subject to the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the total number of Shares that may be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Plan will be 4,750,000 (the “</w:t>
      </w:r>
      <w:r>
        <w:rPr>
          <w:rFonts w:ascii="Times New Roman" w:cs="Times New Roman" w:eastAsia="Times New Roman" w:hAnsi="Times New Roman"/>
          <w:sz w:val="18"/>
          <w:szCs w:val="18"/>
          <w:b w:val="1"/>
          <w:bCs w:val="1"/>
          <w:u w:val="single" w:color="auto"/>
          <w:color w:val="auto"/>
        </w:rPr>
        <w:t>Share Limit</w:t>
      </w:r>
      <w:r>
        <w:rPr>
          <w:rFonts w:ascii="Times New Roman" w:cs="Times New Roman" w:eastAsia="Times New Roman" w:hAnsi="Times New Roman"/>
          <w:sz w:val="18"/>
          <w:szCs w:val="18"/>
          <w:color w:val="auto"/>
        </w:rPr>
        <w:t>”). Shares of Common Stock subject to awards that are assumed, converted or substituted under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Company’s acquisition of another company (including by way of merger, combination or similar transaction) (“</w:t>
      </w:r>
      <w:r>
        <w:rPr>
          <w:rFonts w:ascii="Times New Roman" w:cs="Times New Roman" w:eastAsia="Times New Roman" w:hAnsi="Times New Roman"/>
          <w:sz w:val="18"/>
          <w:szCs w:val="18"/>
          <w:b w:val="1"/>
          <w:bCs w:val="1"/>
          <w:u w:val="single" w:color="auto"/>
          <w:color w:val="auto"/>
        </w:rPr>
        <w:t>Acquisition Awards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not count against the number of shares that may be granted under the Plan. Available shares under a stockholder approved plan of an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appropriately adjusted to reflect the transaction) may be used for Awards under the Plan and do not reduce the maximum 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grant under the Plan, subject to applicable stock exchange requirements. With respect to Awards of stock-settled share appreciation rights,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Limit will be reduced by the full number of Shares underlying the exercised portion of such Award (rather than only the Shares actually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Replacement of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Shares subject to an Award that is forfeited (including any restricted shares repurchased by the Company at the same price paid by the Grantee so that such Shares are returned to the Company), expires or is settled for cash (in whole or in part), to the extent of such forfeiture, expiration or cash settlement, will be available for future grants of Awards under the Plan and will be added back in the same number of Shares as were deducted in respect of the grant of such Award. The payment of dividend equivalent rights in cash in conjunction with any outstanding Awards will not be counted against the Shares available for issuance under the Plan. Shares tendered by a Grantee or withheld by the Company in payment of the exercise price of a stock option or to satisfy any tax withholding obligation with respect to an Award will not again be available for Awards.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adjust the type of property or securities and the number authorized pursuant to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adjust the type of property or securities and the number set forth in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xml:space="preserve"> that can be issued through Incentive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adjust any other terms of the Plan and the terms of any outstanding Awards (including, without limitation, the number of Shares covered by each outstanding Award, the type of property or securities to which the Award relates and the exercise or strike price of any Award), in such manner as it deems appropriate (including, without limitation, by payment of cash or other property or securities) to prevent the enlargement or dilution of rights, as a result of any increase or decrease in the number of issued Shares (or issuance of shares of stock or other property or securities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adjustment may be made if or to the extent that it would cause an outstanding Award to cease to be exempt from, or to fail to comply with, Section 409A of the Code.  </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AWARDS UNDER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Agreements Evidencing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Award granted under the Plan will be evidenced by an Award Agreement that will contain such provisions and conditions as the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deems appropriate. Unless otherwise provided herein, the Committee may grant Awards in tandem with or, subject to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in substitution for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of any other Award or Awards granted under the Plan or any award granted under any other plan of the Company. By accepting an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Plan, a Grantee thereby agrees that the Award will be subject to all of the terms and provisions of the Plan and the applicable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 Rights as a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 Grantee (or other person having rights pursuant to an Award) will have any of the rights of a stockholder of First Hawaiian with respect to Shares subject to an Award until the delivery of such Shares. Except as otherwise provided in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no adjustments will be made for dividends, distributions or other rights (whether ordinary or extraordinary, and whether in cash, Common Stock, other securities or other property) for which the record date is before the date the Certificates for the Shares are delivered, or in the event the Committee elects to use another system, such as book entries by the transfer agent, before the date in which such system evidences the Grantee’s ownership of such Shares.  </w:t>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Grant</w:t>
      </w:r>
      <w:r>
        <w:rPr>
          <w:rFonts w:ascii="Times New Roman" w:cs="Times New Roman" w:eastAsia="Times New Roman" w:hAnsi="Times New Roman"/>
          <w:sz w:val="17"/>
          <w:szCs w:val="17"/>
          <w:color w:val="auto"/>
        </w:rPr>
        <w:t>. Stock options may be granted to eligible recipients in such number and at such times during the term of the Plan as the Committee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determine.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Incentive Stock Options</w:t>
      </w:r>
      <w:r>
        <w:rPr>
          <w:rFonts w:ascii="Times New Roman" w:cs="Times New Roman" w:eastAsia="Times New Roman" w:hAnsi="Times New Roman"/>
          <w:sz w:val="18"/>
          <w:szCs w:val="18"/>
          <w:color w:val="auto"/>
        </w:rPr>
        <w:t>. At the time of grant, the Committee will determine: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            whether all or any part of a stock option granted to an eligible Employee will be an Incentive Stock Option;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number of Shares subject to such Incentive Stock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 w:hanging="648"/>
        <w:spacing w:after="0" w:line="265" w:lineRule="auto"/>
        <w:tabs>
          <w:tab w:leader="none" w:pos="2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Fair Market Value (determined as of the time the option is granted) of the stock with respect to which Incentive Stock Options are exercisable for the first time by an eligible Employee during any fiscal year (under all such plans of First Hawaiian and of any Subsidiary or parent corporation of First Hawaiian) may not exceed $100,000; and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300" w:hanging="648"/>
        <w:spacing w:after="0" w:line="250" w:lineRule="auto"/>
        <w:tabs>
          <w:tab w:leader="none" w:pos="2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(other than an Incentive Stock Option that may be assumed or issued by the Company in connection with a transaction to which Section 424(a) of the Code applies) may be granted to a person who is not eligible to receive an Incentive Stock Option under the 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form of any stock option which is entirely or in part an Incentive Stock Option will clearly indicate that such stock option is an Incentive Stock Option or, if applicable, the number of Shares subject to the Incentive Stock Option. No more than 500,000 Shares (as adjusted pursuant to the provisions of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that can be delivered under the Plan may be issued through Incentive Stock Options.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exercise price per share with respect to each stock option will be determined by the Committee but, except as otherwise permitted by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may never be less than the Fair Market Value of a share of Common Stock (or, in the case of an Incentive Stock Option granted to a Ten Percent Stockholder, 110% of the Fair Market Value). Unless otherwise noted in the Award Agreement, the Fair Market Value of the Common Stock will be its Fair Market Value on the date of grant of the Award of stock options.  </w:t>
      </w:r>
    </w:p>
    <w:p>
      <w:pPr>
        <w:spacing w:after="0" w:line="207" w:lineRule="exact"/>
        <w:rPr>
          <w:sz w:val="20"/>
          <w:szCs w:val="20"/>
          <w:color w:val="auto"/>
        </w:rPr>
      </w:pPr>
    </w:p>
    <w:p>
      <w:pPr>
        <w:ind w:right="260" w:firstLine="648"/>
        <w:spacing w:after="0" w:line="260"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 of Stock Option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no event will any stock option be exercisable after the expiration of 10 years (or, in the case of an Incentive Stock Option granted to a Ten Percent Stockholder, five (5) years) from the date on which the stock option is granted.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Vesting and Exercise of Stock Option and Payment for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stock option may vest and be exercised at such time or times and subject to such terms and conditions as will be determined by the Committee at the time the stock option is granted and set forth in the Award Agreement,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Subject to any limitations in the applicable Award Agreement, any Shares not acquired pursuant to the exercise of a stock option on the applicable vesting date may be acquired thereafter at any time before the final expiration of the stock option.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exercise a stock option, the Grantee must give written notice to the Company specifying the number of Shares to be acquired and accompanied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payment of the full purchase price therefor in cash or by certified or official bank check or in another form as determined by the Company,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personal check;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Shares, based on the Fair Market Value as of the exercise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other form of consideration approved by the Company and permitted by applicable law;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combination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Committee may also make arrangements for the cashless exercise of a stock option. Any person exercising a stock option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Grantee so requests, Shares acquired pursuant to the exercise of a stock option may be issued in the name of the Grantee and another jointly with the right of survivorship.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2.3.6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Repricing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as otherwise permitted by </w:t>
      </w:r>
      <w:r>
        <w:rPr>
          <w:rFonts w:ascii="Times New Roman" w:cs="Times New Roman" w:eastAsia="Times New Roman" w:hAnsi="Times New Roman"/>
          <w:sz w:val="17"/>
          <w:szCs w:val="17"/>
          <w:u w:val="single" w:color="auto"/>
          <w:color w:val="auto"/>
        </w:rPr>
        <w:t>Section 1.6.3</w:t>
      </w:r>
      <w:r>
        <w:rPr>
          <w:rFonts w:ascii="Times New Roman" w:cs="Times New Roman" w:eastAsia="Times New Roman" w:hAnsi="Times New Roman"/>
          <w:sz w:val="17"/>
          <w:szCs w:val="17"/>
          <w:color w:val="auto"/>
        </w:rPr>
        <w:t>, reducing the exercise price of stock options issued and outstanding under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including through amendment, cancellation in exchange for the grant of a substitute Award or repurchase for cash or other consideration (in each case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has the effect of reducing the exercise price), will require approval of First Hawaiian’s stockholders. The Company will not grant any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automatic reload features.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Stock Appreciation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2.4.1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Grant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Stock appreciation rights may be granted to eligible recipients in such number and at such times during the term of the Plan as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may determine.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exercise price per share with respect to each stock appreciation right will be determined by the Committee but, except as otherwise permitted by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may never be less than the Fair Market Value of the Common Stock. Unless otherwise noted in the Award Agreement, the Fair Market Value of the Common Stock will be its Fair Market Value on the date of grant of the Award of stock appreciation rights.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2.4.3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Term of Stock Appreciation Right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no event will any stock appreciation right be exercisable after the expiration of 10 years from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on which the stock appreciation right is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2.4.4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Vesting and Exercise of Stock Appreciation Right and Delivery of Shares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stock appreciation right may vest and be exercised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installments as may be determined in the Award Agreement at the time the stock appreciation right is granted,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Subject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limitations in the applicable Award Agreement, any stock appreciation rights not exercised on the applicable vesting date may be exercised thereafter at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before the final expiration of the stock appreciation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exercise a stock appreciation right, the Grantee must give written notice to the Company specifying the number of stock appreciation rights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exercised. Upon exercise of stock appreciation rights, Shares, cash or other securities or property, or a combination thereof, as specified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equal in value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Fair Market Value of the Common Stock on the date of exercise </w:t>
      </w:r>
      <w:r>
        <w:rPr>
          <w:rFonts w:ascii="Times New Roman" w:cs="Times New Roman" w:eastAsia="Times New Roman" w:hAnsi="Times New Roman"/>
          <w:sz w:val="18"/>
          <w:szCs w:val="18"/>
          <w:i w:val="1"/>
          <w:iCs w:val="1"/>
          <w:color w:val="auto"/>
        </w:rPr>
        <w:t>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price of such stock appreciation right </w:t>
      </w:r>
      <w:r>
        <w:rPr>
          <w:rFonts w:ascii="Times New Roman" w:cs="Times New Roman" w:eastAsia="Times New Roman" w:hAnsi="Times New Roman"/>
          <w:sz w:val="18"/>
          <w:szCs w:val="18"/>
          <w:i w:val="1"/>
          <w:iCs w:val="1"/>
          <w:color w:val="auto"/>
        </w:rPr>
        <w:t>multiplied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number of stock appreciation rights exercised, will be delivered to the Grantee.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person exercising a stock appreciation right will make such representations and agreements and furnish such information as the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in its sole discretion, deem necessary or desirable to effect or assure compliance by the Company on terms acceptable to the Company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Securities Act, the Exchange Act and any other applicable legal requirements. If a Grantee so requests, Shares purchased may be issued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Grantee and another jointly with the right of survivorship.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2.4.5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Repricing</w:t>
      </w:r>
      <w:r>
        <w:rPr>
          <w:rFonts w:ascii="Times New Roman" w:cs="Times New Roman" w:eastAsia="Times New Roman" w:hAnsi="Times New Roman"/>
          <w:sz w:val="17"/>
          <w:szCs w:val="17"/>
          <w:color w:val="auto"/>
        </w:rPr>
        <w:t xml:space="preserve">. Except as otherwise permitted by </w:t>
      </w:r>
      <w:r>
        <w:rPr>
          <w:rFonts w:ascii="Times New Roman" w:cs="Times New Roman" w:eastAsia="Times New Roman" w:hAnsi="Times New Roman"/>
          <w:sz w:val="17"/>
          <w:szCs w:val="17"/>
          <w:u w:val="single" w:color="auto"/>
          <w:color w:val="auto"/>
        </w:rPr>
        <w:t>Section 1.6.3</w:t>
      </w:r>
      <w:r>
        <w:rPr>
          <w:rFonts w:ascii="Times New Roman" w:cs="Times New Roman" w:eastAsia="Times New Roman" w:hAnsi="Times New Roman"/>
          <w:sz w:val="17"/>
          <w:szCs w:val="17"/>
          <w:color w:val="auto"/>
        </w:rPr>
        <w:t>, reducing the exercise price of stock appreciation rights issued and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Plan, including through amendment, cancellation in exchange for the grant of a substitute Award or repurchase for cash or other consideration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that has the effect of reducing the exercise price), will require approval of First Hawaiian’s stockholders. The Company will not grant any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appreciation rights with automatic reload features.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Restricted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may grant or offer for sale restricted shares in such amounts and subject to such terms and conditions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Committee may determine,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Upon the delivery of such shares, the Grantee will have the rights of a stockholder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shares, subject to any other restrictions and conditions as the Committee may include in the applicable Award Agreement. Each Grantee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of restricted shares will be issued a Certificate in respect of such shares, unless the Committee elects to use another system, such as book entries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as evidencing ownership of such shares. In the event that a Certificate is issued in respect of restricted shares, such Certificate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in the name of the Grantee, and will, in addition to such legends required by applicable securities laws, bear an appropriate legend referring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conditions, and restrictions applicable to such Award, but will be held by the Company or its designated agent until the time the restrictions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lapse.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18"/>
          <w:szCs w:val="18"/>
          <w:color w:val="auto"/>
        </w:rPr>
        <w:t>2.5.2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 to Vote and Receive Dividends on Restricted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ordinary cash dividends or other ordinary distributions paid upon any restricted share will be retained by the Company and will be paid to the relevant Grantee (without interest) when the Award of restricted shares vests and will revert back to the Company if for any reason the restricted share upon which such dividends or other distributions were paid reverts back to the Company (any extraordinary dividends or other extraordinary distributions will be treated in accordance with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Committee may grant Awards of restricted stock units in such amounts and subject to such terms and conditions as the Committee may determine,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 Grantee of a restricted stock unit will have only the rights of a general unsecured creditor of First Hawaiian, until delivery of Shares, cash or other securities or property is made as specified in the applicable Award Agreement. On the delivery date specified in the Award Agreement, the Grantee of each restricted stock unit not previously forfeited or terminated will receive one share of Common Stock, cash or other securities or property equal in value to a share of Common Stock or a combination thereof, as specified by the Committee.  </w:t>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Dividend Equivalent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Committee may include in the Award Agreement with respect to any Award a dividend equivalent right entitling the Grantee to receive amounts equal to all or any portion of the regular cash dividends that would be paid on the Shares covered by such Award if such Shares had been delivered pursuant to such Award. The grantee of a dividend equivalent right will have only the rights of a general unsecured creditor of First Hawaiian until payment of such amounts is made as specified in the applicable Award Agreement. In the event such a provision is included in an Award Agreement, the Committee will determine whether such payments will be made in cash, in Shares or in another form, whether they will be conditioned upon the exercise of the Award to which they relate (subject to compliance with Section 409A of the Code), the time or times at which they will be made, and such other terms and conditions as the Committee will deem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may such payments be made unless and until the Award to which they relate vests.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Performance-Based Shares and Other Stock-Based or Cash-Based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2.8.1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Grant</w:t>
      </w:r>
      <w:r>
        <w:rPr>
          <w:rFonts w:ascii="Times New Roman" w:cs="Times New Roman" w:eastAsia="Times New Roman" w:hAnsi="Times New Roman"/>
          <w:sz w:val="17"/>
          <w:szCs w:val="17"/>
          <w:color w:val="auto"/>
        </w:rPr>
        <w:t>. The Committee may grant other types of equity-based, equity-related or cash-based Awards (including the grant or offer for sale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unrestricted Shares, performance share awards, performance units settled in cash) (“</w:t>
      </w:r>
      <w:r>
        <w:rPr>
          <w:rFonts w:ascii="Times New Roman" w:cs="Times New Roman" w:eastAsia="Times New Roman" w:hAnsi="Times New Roman"/>
          <w:sz w:val="18"/>
          <w:szCs w:val="18"/>
          <w:b w:val="1"/>
          <w:bCs w:val="1"/>
          <w:u w:val="single" w:color="auto"/>
          <w:color w:val="auto"/>
        </w:rPr>
        <w:t>Other Stock-Based or Cash-Based Awards</w:t>
      </w:r>
      <w:r>
        <w:rPr>
          <w:rFonts w:ascii="Times New Roman" w:cs="Times New Roman" w:eastAsia="Times New Roman" w:hAnsi="Times New Roman"/>
          <w:sz w:val="18"/>
          <w:szCs w:val="18"/>
          <w:color w:val="auto"/>
        </w:rPr>
        <w:t>”) in such amounts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such terms and conditions as the Committee may determine,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The terms and conditions set forth by the Committee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Award Agreement may relate to the achievement of Performance Goals, as determined by the Committee at the time of grant. Such Awards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entail the transfer of actual Shares to Award recipients and may include Awards designed to comply with or take advantage of the applicable local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other than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Performance-Based Awards</w:t>
      </w:r>
      <w:r>
        <w:rPr>
          <w:rFonts w:ascii="Times New Roman" w:cs="Times New Roman" w:eastAsia="Times New Roman" w:hAnsi="Times New Roman"/>
          <w:sz w:val="18"/>
          <w:szCs w:val="18"/>
          <w:color w:val="auto"/>
        </w:rPr>
        <w:t>. Notwithstanding anything to the contrary herein, Other Stock-Based or Cash-Based Awards may,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discretion of the Committee, relate to the achievement of performance goals or Performance Criteria for an applicable performance period as determined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1296"/>
        <w:spacing w:after="0" w:line="265"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Performance Criteria</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Performance Criteria</w:t>
      </w:r>
      <w:r>
        <w:rPr>
          <w:rFonts w:ascii="Times New Roman" w:cs="Times New Roman" w:eastAsia="Times New Roman" w:hAnsi="Times New Roman"/>
          <w:sz w:val="17"/>
          <w:szCs w:val="17"/>
          <w:color w:val="auto"/>
        </w:rPr>
        <w:t>” shall mean goals based on the achievement of one or more performance criteria (either separately or in combination) with regard to First Hawaiian (or a Subsidiary, division, other operational unit or administrative department of First Hawaiian) selected by the Committee in its discretion, including, without limitation: measures of efficiency (including operating efficiency, productivity ratios or other similar measures); measures of achievement of expense targets, costs reductions or general expense ratios; earnings per share; value creation targets; income or operating income measures; net income, before or after taxes; return measures (including return on capital, total capital, tangible capital equity, net assets or total shareholder return); increase in the Fair Market Value of Common Stock; credit quality; loan growth; deposit growth; loan portfolio performance; tangible book value or tangible book value growth and strategic business objectives, consisting of one or more objectives based on meeting specified cost targets; business expansion goals and goals relating to joint venture collaborations (including objective project milestones).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Except as otherwise expressly provided, all financial terms are used as defined under Generally Accepted Accounting Principles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or such other objective principles, as may be designated by the Committee. To the extent financial terms are defined under GAAP, all determinations will be made in accordance with GAAP, as applied by the Company in the preparation of its periodic reports to stockholders.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any Performance Criteria may be measured in absolute terms or relative to historic performance or the performance of other companies or an index. The Committee may (i) designate additional business criteria on which the Performance Criteria may be based or (ii) adjust, modify or amend the aforementioned business criteria. The Performance Criteria may incorporate provisions for disregarding (or adjusting for) changes in accounting methods, corporate transaction (including, without limitation, dispositions and acquisitions) and other similar type events or circumstances.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Committee Determinations</w:t>
      </w:r>
      <w:r>
        <w:rPr>
          <w:rFonts w:ascii="Times New Roman" w:cs="Times New Roman" w:eastAsia="Times New Roman" w:hAnsi="Times New Roman"/>
          <w:sz w:val="17"/>
          <w:szCs w:val="17"/>
          <w:color w:val="auto"/>
        </w:rPr>
        <w:t>. Following the completion of each performance period, the Committee will have the sole discretion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determine whether the applicable Performance Goals have been met with respect to a given Grantee and ascertain the amount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Award. The Committee, in its sole discretion, may make adjustments to the Performance Goals applicable to Performance-Based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and to the amounts payable in respect of the applicable Performance Goals, to the extent consistent with the terms of the applicable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amount of the Performance-Based Award determined by the Committee for a performance period will be paid to the Grantee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determined by the Committee in its sole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Repayment if Conditions Not Met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If the Committee determines that all terms and conditions of the Plan and a Grantee’s Award Agreement were not satisfied, and that the failure to satisfy such terms and conditions is material, then the Grantee will be obligated to pay the Company immediately upon demand therefor, (a) with respect to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 (b) with respect to restricted shares, an amount equal to the Fair Market Value (determined at the time such shares became vested) of such restricted shares and (c) with respect to restricted stock units, an amount equal to the Fair Market Value (determined at the time of delivery) of the Shares delivered with respect to the applicable delivery date, in each case with respect to clauses (a), (b) and (c) of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without reduction for any amount applied to satisfy withholding tax or other obligations in respect of such Award.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Minimum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All Awards shall be subject to a minimum vesting schedule of at least twelve (12) months following the date of grant of the Award,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vesting may accelerate in connection with death, retirement, a Change in Control or involuntary termination. Notwithstanding the foregoing, up to 5% of the Shares available for grant under the Plan may be granted with a minimum vesting schedule that is shorter than that mandated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Amendment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3.1.1            Unless otherwise provided in the Plan or in an Award Agreement, the Board may at any time and from time to time suspend, discontinue, revise or amend the Plan in any respect whatsoever but, subject to </w:t>
      </w:r>
      <w:r>
        <w:rPr>
          <w:rFonts w:ascii="Times New Roman" w:cs="Times New Roman" w:eastAsia="Times New Roman" w:hAnsi="Times New Roman"/>
          <w:sz w:val="18"/>
          <w:szCs w:val="18"/>
          <w:u w:val="single" w:color="auto"/>
          <w:color w:val="auto"/>
        </w:rPr>
        <w:t>Sections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no such amendment may materially adversely impair the rights of the Grantee of any Award without the Grantee’s consent. Subject to </w:t>
      </w:r>
      <w:r>
        <w:rPr>
          <w:rFonts w:ascii="Times New Roman" w:cs="Times New Roman" w:eastAsia="Times New Roman" w:hAnsi="Times New Roman"/>
          <w:sz w:val="18"/>
          <w:szCs w:val="18"/>
          <w:u w:val="single" w:color="auto"/>
          <w:color w:val="auto"/>
        </w:rPr>
        <w:t>Sections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an Award Agreement may not be amended to materially adversely impair the rights of a Grantee without the Grantee’s consent.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and to the extent the Board determines it is appropriate for the Plan to comply with the provisions of Section 422 of the Code, no amendment that would require stockholder approval under Section 422 of the Code will be effective without the approval of First Hawaiian’s stockholders.  </w:t>
      </w:r>
    </w:p>
    <w:p>
      <w:pPr>
        <w:spacing w:after="0" w:line="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Tax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Company may deduct or withhold (or cause to be deducted or withheld) from any payment or distribution to a Grantee whether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not pursuant to the Plan (including Shares otherwise deliverable);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Committee will be entitled to require that the Grantee remit cash to the Company (through payroll deduction or otherwise);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 Company may enter into any other suitable arrangements to withhold, in each case in an amount not to exceed in the opinion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the minimum amounts of such taxes required by law to be withheld (or, if provided in an Award Agreement, such other rate that will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an adverse accounting consequence or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Required Consents and Legends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18"/>
          <w:szCs w:val="18"/>
          <w:color w:val="auto"/>
        </w:rPr>
        <w:t>3.3.1            If the Committee at any time determines that any Consent (as hereinafter defined)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 w:cs="Times New Roman" w:eastAsia="Times New Roman" w:hAnsi="Times New Roman"/>
          <w:sz w:val="18"/>
          <w:szCs w:val="18"/>
          <w:b w:val="1"/>
          <w:bCs w:val="1"/>
          <w:u w:val="single" w:color="auto"/>
          <w:color w:val="auto"/>
        </w:rPr>
        <w:t>Plan Action</w:t>
      </w:r>
      <w:r>
        <w:rPr>
          <w:rFonts w:ascii="Times New Roman" w:cs="Times New Roman" w:eastAsia="Times New Roman" w:hAnsi="Times New Roman"/>
          <w:sz w:val="18"/>
          <w:szCs w:val="18"/>
          <w:color w:val="auto"/>
        </w:rPr>
        <w:t xml:space="preserve">”), then, subject to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such Plan Action will not be taken, in whole or in part, unless and until such Consent will have been effected or obtained to the full satisfaction of the Committee.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3.3.2            The term “</w:t>
      </w:r>
      <w:r>
        <w:rPr>
          <w:rFonts w:ascii="Times New Roman" w:cs="Times New Roman" w:eastAsia="Times New Roman" w:hAnsi="Times New Roman"/>
          <w:sz w:val="18"/>
          <w:szCs w:val="18"/>
          <w:b w:val="1"/>
          <w:bCs w:val="1"/>
          <w:u w:val="single" w:color="auto"/>
          <w:color w:val="auto"/>
        </w:rPr>
        <w:t>Consent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with respect to any Plan Action includes: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80" w:firstLine="1296"/>
        <w:spacing w:after="0" w:line="260" w:lineRule="auto"/>
        <w:rPr>
          <w:sz w:val="20"/>
          <w:szCs w:val="20"/>
          <w:color w:val="auto"/>
        </w:rPr>
      </w:pPr>
      <w:r>
        <w:rPr>
          <w:rFonts w:ascii="Times New Roman" w:cs="Times New Roman" w:eastAsia="Times New Roman" w:hAnsi="Times New Roman"/>
          <w:sz w:val="18"/>
          <w:szCs w:val="18"/>
          <w:color w:val="auto"/>
        </w:rPr>
        <w:t>(a)            any and all listings, registrations or qualifications in respect thereof upon any securities exchange or under any federal, state or local law, or law, rule or regulation, of a jurisdiction outside the United States;  </w:t>
      </w:r>
    </w:p>
    <w:p>
      <w:pPr>
        <w:spacing w:after="0" w:line="200" w:lineRule="exact"/>
        <w:rPr>
          <w:sz w:val="20"/>
          <w:szCs w:val="20"/>
          <w:color w:val="auto"/>
        </w:rPr>
      </w:pPr>
    </w:p>
    <w:p>
      <w:pPr>
        <w:jc w:val="both"/>
        <w:ind w:right="80" w:firstLine="1296"/>
        <w:spacing w:after="0" w:line="255" w:lineRule="auto"/>
        <w:rPr>
          <w:sz w:val="20"/>
          <w:szCs w:val="20"/>
          <w:color w:val="auto"/>
        </w:rPr>
      </w:pPr>
      <w:r>
        <w:rPr>
          <w:rFonts w:ascii="Times New Roman" w:cs="Times New Roman" w:eastAsia="Times New Roman" w:hAnsi="Times New Roman"/>
          <w:sz w:val="18"/>
          <w:szCs w:val="18"/>
          <w:color w:val="auto"/>
        </w:rPr>
        <w:t>(b)            any and all written agreements and representations by the Grantee with respect to the disposition of Shares, or with respect to any other matter, which the Committee may deem necessary or desirable to comply with the terms of any such listing, registration or qualification or to obtain an exemption from the requirement that any such listing, qualification or registration be made;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any and all other consents, clearances and approvals in respect of a Plan Action by any governmental or other regulatory body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stock exchange or self-regulatory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and all consents by the Grantee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400" w:hanging="648"/>
        <w:spacing w:after="0" w:line="250" w:lineRule="auto"/>
        <w:tabs>
          <w:tab w:leader="none" w:pos="2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supplying to any third-party recordkeeper of the Plan such personal information as the Committee deems advisable to administer the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40" w:hanging="648"/>
        <w:spacing w:after="0" w:line="250" w:lineRule="auto"/>
        <w:tabs>
          <w:tab w:leader="none" w:pos="2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deducting amounts from the Grantee’s wages, or another arrangement satisfactory to the Committee, to reimburse the Company for advances made on the Grantee’s behalf to satisfy certain withholding and other tax obligations in connection with an Award;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60" w:hanging="648"/>
        <w:spacing w:after="0" w:line="250" w:lineRule="auto"/>
        <w:tabs>
          <w:tab w:leader="none" w:pos="2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imposing sales and transfer procedures and restrictions and hedging restrictions on Shares delivered under the Plan;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1296"/>
        <w:spacing w:after="0" w:line="260" w:lineRule="auto"/>
        <w:rPr>
          <w:sz w:val="20"/>
          <w:szCs w:val="20"/>
          <w:color w:val="auto"/>
        </w:rPr>
      </w:pPr>
      <w:r>
        <w:rPr>
          <w:rFonts w:ascii="Times New Roman" w:cs="Times New Roman" w:eastAsia="Times New Roman" w:hAnsi="Times New Roman"/>
          <w:sz w:val="18"/>
          <w:szCs w:val="18"/>
          <w:color w:val="auto"/>
        </w:rPr>
        <w:t>(e)            any and all consents or authorizations required to comply with, or required to be obtained under, applicable local law or otherwise required by the Committee. Nothing herein will require the Company to list, register or qualify the Shares on any securities exchange.  </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Right of Offset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Grantee then owes to the Company and any amounts the Committee otherwise deems appropriate pursuant to any tax equalization policy or agreement. Notwithstanding the foregoing, if an Award provides for the deferral of compensation within the meaning of Section 409A of the Code, the Committee will have no right to offset against its obligation to deliver Shares (or other property or cash) under the Plan or any Award Agreement if such offset could subject the Grantee to the additional tax imposed under Section 409A of the Code in respect of an outstanding Award.  </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Nonassignability; No Hedging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Unless otherwise provided in an Award Agreement, 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Notwithstanding the foregoing, the Committee may permit, under such terms and conditions that it deems appropriate in its sole discretion, a Grantee to transfer any Award to any person or entity that the Committee so determines;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under no circumstances will a Grantee be permitted to transfer an Award to a third-party financial institution without prior stockholder approval. Any sale, exchange, transfer, assignment, pledge, hypothecation or other disposition in violation of the provisions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will be null and void and any Award which is hedged in any manner will immediately be forfeited. All of the terms and conditions of the Plan and the Award Agreements will be binding upon any permitted successors and assigns.  </w:t>
      </w:r>
    </w:p>
    <w:p>
      <w:pPr>
        <w:spacing w:after="0" w:line="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3.6.1            Unless the Committee determines otherwise or as otherwise provided in the applicable Award Agreement, if a Grantee’s Employment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by the Company or any successor entity thereto without Cause, or the Grantee resigns his or her Employment for Good Reason, in either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within two (2) years after a Change in Control, (i) each Award granted to such Grantee prior to such Change in Control will become fully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lapsing of all restrictions and conditions) and, as applicable, exercisable, (ii) any outstanding Performance-Based Awards will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at the greater of the target level and the actual performance level at the date of the Change in Control with respect to all open performance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will cease to be subject to any further performance conditions but will continue to be subject to time-based vesting following the Change in Control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original performance period and (iii) any Shares deliverable pursuant to restricted stock units will be delivered promptly (but no later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15 days) following such Grantee’s termination of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3.6.2            In the event of a Change in Control, a Grantee’s Award will be treated, to the extent determined by the Committee to be permitted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409A, in accordance with one or more of the following methods as determined by the Committee in its sole discretion: (i) settle such Awards for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(as determined in the sole discretion of the Committee) of cash or securities, where in the case of stock options and stock appreciation rights,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such amount, if any, will be equal to the in-the-money spread value (if any) of such awards; (ii) provide for the assumption of or the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awards that will substantially preserve the otherwise applicable terms of any affected Awards previously granted under the Plan, as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Committee in its sole discretion; (iii) modify the terms of such awards to add events, conditions or circumstances (including termination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within a specified period after a Change in Control) upon which the vesting of such Awards or lapse of restrictions thereon will accelerate;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deem any performance conditions satisfied at target, maximum or actual performance through closing or provide for the performance conditions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(as is or as adjusted by the Committee) after closing; or (v) provide that for a period of at least 20 days prior to the Change in Control, any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or stock appreciation rights that would not otherwise become exercisable prior to the Change in Control will be exercisable as to all Shares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(but any such exercise will be contingent upon and subject to the occurrence of the Change in Control and if the Change in Control does not 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within a specified period after giving such notice for any reason whatsoever, the exercise will be null and void) and that any stock options or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appreciation rights not exercised prior to the consummation of the Change in Control will terminate and be of no further force and effect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Change in Control. In the event that the consideration paid in the Change in Control includes contingent value rights, earnout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payments or similar payments, then the Committee will determine if Awards settled under clause (i) above are (a) valued at closing taking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such contingent consideration (with the value determined by the Committee in its sole discretion) or (b) entitled to a share of such contingent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For the avoidance of doubt, in the event of a Change in Control where all stock options and stock appreciation rights are settled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(as determined in the sole discretion of the Committee) of cash or securities, the Committee may, in its sole discretion, terminate any stock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stock appreciation right for which the exercise price is equal to or exceeds the per share value of the consideration to be paid in the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transaction without payment of consideration therefor. Similar actions to those specified in this </w:t>
      </w:r>
      <w:r>
        <w:rPr>
          <w:rFonts w:ascii="Times New Roman" w:cs="Times New Roman" w:eastAsia="Times New Roman" w:hAnsi="Times New Roman"/>
          <w:sz w:val="18"/>
          <w:szCs w:val="18"/>
          <w:u w:val="single" w:color="auto"/>
          <w:color w:val="auto"/>
        </w:rPr>
        <w:t>Section 3.6.2 </w:t>
      </w:r>
      <w:r>
        <w:rPr>
          <w:rFonts w:ascii="Times New Roman" w:cs="Times New Roman" w:eastAsia="Times New Roman" w:hAnsi="Times New Roman"/>
          <w:sz w:val="18"/>
          <w:szCs w:val="18"/>
          <w:color w:val="auto"/>
        </w:rPr>
        <w:t>may be taken in the event of a merger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reorganization that does not constitute a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No Continued Employment or Engagement; Right of Discharge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Neither the adoption of the Plan nor the grant of any Award (or any provision in the Plan or Award Agreement) will confer upon any Grantee any right to continued Employment, or other engagement, with the Company, nor will it interfere in any way with the right of the Company to terminate, or alter the terms and conditions of, such Employment or other engagement at any time.  </w:t>
      </w:r>
    </w:p>
    <w:p>
      <w:pPr>
        <w:spacing w:after="0" w:line="20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7"/>
          <w:szCs w:val="17"/>
          <w:b w:val="1"/>
          <w:bCs w:val="1"/>
          <w:color w:val="auto"/>
        </w:rPr>
        <w:t>Nature of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3.8.1            Any and all grants of Awards and deliveries of Common Stock, cash, securities or other property under the Plan will be in consideration of services performed or to be performed for the Company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3.8.2            All such grants and deliveries of Shares, cash, securities or other property under the Plan will constitute a special discretionary incentive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to the Grantee, will not entitle the Grantee to the grant of any future Awards and will not be required to be taken into account in computing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salary or compensation of the Grantee for the purpose of determining any contributions to or any benefits under any pension, retirement,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sharing, bonus, life insurance, severance or other benefit plan of the Company or under any agreement with the Grantee, unless the Company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7"/>
          <w:szCs w:val="17"/>
          <w:b w:val="1"/>
          <w:bCs w:val="1"/>
          <w:color w:val="auto"/>
        </w:rPr>
        <w:t>Non-Uniform Determinations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3.9.1            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has been terminated for purposes of the Plan.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3.9.2            To the extent the Committee deems it necessary, appropriate or desirable to comply with foreign law or practices and to further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the Plan, the Committee may, in its sole discretion and without amending the Plan, (a) establish special rules applicable to Awards to Grantees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are foreign nationals, are employed outside the United States or both and grant Awards (or amend existing Awards) in accordance with those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cause First Hawaiian to enter into an agreement with any local Subsidiary pursuant to which such Subsidiary will reimburse the Company for the cost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equity incentives.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3.10</w:t>
      </w:r>
      <w:r>
        <w:rPr>
          <w:sz w:val="20"/>
          <w:szCs w:val="20"/>
          <w:color w:val="auto"/>
        </w:rPr>
        <w:tab/>
      </w:r>
      <w:r>
        <w:rPr>
          <w:rFonts w:ascii="Times New Roman" w:cs="Times New Roman" w:eastAsia="Times New Roman" w:hAnsi="Times New Roman"/>
          <w:sz w:val="17"/>
          <w:szCs w:val="17"/>
          <w:b w:val="1"/>
          <w:bCs w:val="1"/>
          <w:color w:val="auto"/>
        </w:rPr>
        <w:t>Other Payments or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Nothing contained in the Plan will be deemed in any way to limit or restrict the Company from making any award or payment to any person under any other plan, arrangement or understanding, whether now existing or hereafter in effect.  </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b w:val="1"/>
          <w:bCs w:val="1"/>
          <w:color w:val="auto"/>
        </w:rPr>
        <w:t>Plan Headings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headings in the Plan are for the purpose of convenience only and are not intended to define or limit the construction of the provisions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7"/>
          <w:szCs w:val="17"/>
          <w:b w:val="1"/>
          <w:bCs w:val="1"/>
          <w:color w:val="auto"/>
        </w:rPr>
        <w:t>Termination of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Board reserves the right to terminate the Plan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case, the Plan will terminate on the day before the tenth anniversary of the Effective Date,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Awards made under the Plan before its termination will remain in effect until such Awards have been satisfied or terminated in accordance with the terms and provisions of the Plan and the applicable Award Agreements.  </w:t>
      </w:r>
    </w:p>
    <w:p>
      <w:pPr>
        <w:spacing w:after="0" w:line="20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7"/>
          <w:szCs w:val="17"/>
          <w:b w:val="1"/>
          <w:bCs w:val="1"/>
          <w:color w:val="auto"/>
        </w:rPr>
        <w:t>Clawback/Recapture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Awards under the Plan will be subject to any clawback or recapture policy that the Company may adopt from time to time (including, without limitation, the First Hawaiian, Inc. Amended and Restated Clawback Policy and the First Hawaiian, Inc. Clawback Policy for the Mandatory Recoupment of Erroneously Awarded Incentive Compensation) to the extent provided in such policy and, in accordance with such policy, may be subject to the requirement that the Awards be repaid to the Company after they have been distributed to the Grantee.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FDIC Limits on Golden Parachute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the Company will not be required to make any payment or grant any Award under the Plan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Agreement that would otherwise be a prohibited golden parachute payment within the meaning of Section 18(k) of the Federal Deposit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3.15.1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with respect to an Award, the Plan will govern.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3.15.2          Without limiting the generality of </w:t>
      </w:r>
      <w:r>
        <w:rPr>
          <w:rFonts w:ascii="Times New Roman" w:cs="Times New Roman" w:eastAsia="Times New Roman" w:hAnsi="Times New Roman"/>
          <w:sz w:val="17"/>
          <w:szCs w:val="17"/>
          <w:u w:val="single" w:color="auto"/>
          <w:color w:val="auto"/>
        </w:rPr>
        <w:t>Section 3.15.1</w:t>
      </w:r>
      <w:r>
        <w:rPr>
          <w:rFonts w:ascii="Times New Roman" w:cs="Times New Roman" w:eastAsia="Times New Roman" w:hAnsi="Times New Roman"/>
          <w:sz w:val="17"/>
          <w:szCs w:val="17"/>
          <w:color w:val="auto"/>
        </w:rPr>
        <w:t>, with respect to any Award made under the Plan that is “deferred compensation”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409A in each case to the extent required to comply with 409A: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any payment due upon a Grantee’s termination of Employment will be paid only upon such Grantee’s separation from service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within the meaning of Section 409A;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1296"/>
        <w:spacing w:after="0" w:line="253" w:lineRule="auto"/>
        <w:rPr>
          <w:sz w:val="20"/>
          <w:szCs w:val="20"/>
          <w:color w:val="auto"/>
        </w:rPr>
      </w:pPr>
      <w:r>
        <w:rPr>
          <w:rFonts w:ascii="Times New Roman" w:cs="Times New Roman" w:eastAsia="Times New Roman" w:hAnsi="Times New Roman"/>
          <w:sz w:val="18"/>
          <w:szCs w:val="18"/>
          <w:color w:val="auto"/>
        </w:rPr>
        <w:t>(b)            any payment due upon a Change in Control of the Company will be paid only if such Change in 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will vest upon the Change in Control and any payment will be delayed until the first compliant date under Section 409A;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if the Grantee is a “specified employee” within the meaning of Section 409A, any payment to be made with respect to such Award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Grantee’s separation from service from the Company within the meaning of Section 409A (and any other payment that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limitations in Section 409A(a)(2)(B) of the Code) will be delayed until six months after the Grantee’s separation from service (or earlier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death) in accordance with the requirements of Section 409A;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(d)            any other securities, other Awards or other property that the Company may deliver in lieu of Shares in respect of an Award will not have the effect of deferring delivery or payment beyond the date on which such delivery or payment would occur with respect to the Shares that would otherwise have been deliverable (unless the Committee elects a later date for this purpose in accordance with the requirements of Section 409A);  </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with respect to any required Consent described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the applicable Award Agreement, if such Consent has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effected or obtained as of the latest date provided by such Award Agreement for payment in respect of such Award and further delay of payment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in accordance with the requirements of Section 409A, such Award or portion thereof, as applicable, will be forfeited and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prior earning or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if the Award includes a “series of installment payments” (within the meaning of Section 1.409A-2(b)(2)(iii) of the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the Grantee’s right to the series of installment payments will be treated as a right to a series of separate payments and not as a right to a single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40" w:firstLine="1296"/>
        <w:spacing w:after="0" w:line="260" w:lineRule="auto"/>
        <w:rPr>
          <w:sz w:val="20"/>
          <w:szCs w:val="20"/>
          <w:color w:val="auto"/>
        </w:rPr>
      </w:pPr>
      <w:r>
        <w:rPr>
          <w:rFonts w:ascii="Times New Roman" w:cs="Times New Roman" w:eastAsia="Times New Roman" w:hAnsi="Times New Roman"/>
          <w:sz w:val="18"/>
          <w:szCs w:val="18"/>
          <w:color w:val="auto"/>
        </w:rPr>
        <w:t>(g)            if the Award includes “dividend equivalents” (within the meaning of Section 1.409A-3(e) of the Treasury Regulations), the Grantee’s right to the dividend equivalents will be treated separately from the right to other amounts under the Award; and  </w:t>
      </w:r>
    </w:p>
    <w:p>
      <w:pPr>
        <w:spacing w:after="0" w:line="200"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(h)            for purposes of determining whether the Grantee has experienced a separation from service from the Company within the meaning of Section 409A, “subsidiary” will mean a corporation or other entity in a chain of corporations or other entities in which each corporation or other entity, starting with First Hawaiian,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language “at least 20 percent” is used instead of “at least 80 percent” each place it appears in Section 1.414(c)-2(b)(2)(i) of the Treasury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3.16</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80" w:firstLine="648"/>
        <w:spacing w:after="0" w:line="260" w:lineRule="auto"/>
        <w:rPr>
          <w:sz w:val="20"/>
          <w:szCs w:val="20"/>
          <w:color w:val="auto"/>
        </w:rPr>
      </w:pPr>
      <w:r>
        <w:rPr>
          <w:rFonts w:ascii="Times New Roman" w:cs="Times New Roman" w:eastAsia="Times New Roman" w:hAnsi="Times New Roman"/>
          <w:sz w:val="18"/>
          <w:szCs w:val="18"/>
          <w:color w:val="auto"/>
        </w:rPr>
        <w:t>THE PLAN AND ALL AWARDS MADE AND ACTIONS TAKEN THEREUNDER WILL BE GOVERNED BY AND CONSTRUED IN ACCORDANCE WITH THE LAWS OF THE STATE OF HAWAII, WITHOUT REFERENCE TO PRINCIPLES OF CONFLICT OF LAWS.  </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3.17</w:t>
      </w:r>
      <w:r>
        <w:rPr>
          <w:sz w:val="20"/>
          <w:szCs w:val="20"/>
          <w:color w:val="auto"/>
        </w:rPr>
        <w:tab/>
      </w:r>
      <w:r>
        <w:rPr>
          <w:rFonts w:ascii="Times New Roman" w:cs="Times New Roman" w:eastAsia="Times New Roman" w:hAnsi="Times New Roman"/>
          <w:sz w:val="17"/>
          <w:szCs w:val="17"/>
          <w:b w:val="1"/>
          <w:bCs w:val="1"/>
          <w:color w:val="auto"/>
        </w:rPr>
        <w:t>Disputes; Choice of Forum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3.17.1            The Company and each Grantee, as a condition to such Grantee’s participation in the Plan, hereby irrevocably submit to the 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of any state or federal court located in the County of Honolulu, State of Hawaii, over any suit, action or proceeding arising out of or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concerning the Plan or, to the extent not otherwise specified in any individual agreement between the Company and the Grantee, any aspect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Grantee’s Employment with the Company or the termination of that Employment. The Company and each Grantee, as a condition to such Grantee’s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participation in the Plan, acknowledge that the forum designated by this </w:t>
      </w:r>
      <w:r>
        <w:rPr>
          <w:rFonts w:ascii="Times New Roman" w:cs="Times New Roman" w:eastAsia="Times New Roman" w:hAnsi="Times New Roman"/>
          <w:sz w:val="18"/>
          <w:szCs w:val="18"/>
          <w:u w:val="single" w:color="auto"/>
          <w:color w:val="auto"/>
        </w:rPr>
        <w:t>Section 3.17.1</w:t>
      </w:r>
      <w:r>
        <w:rPr>
          <w:rFonts w:ascii="Times New Roman" w:cs="Times New Roman" w:eastAsia="Times New Roman" w:hAnsi="Times New Roman"/>
          <w:sz w:val="18"/>
          <w:szCs w:val="18"/>
          <w:color w:val="auto"/>
        </w:rPr>
        <w:t xml:space="preserve"> has a reasonable relation to the Plan and to the relationship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Grantee and the Company. Notwithstanding the foregoing, nothing herein will preclude the Company from bringing any action or proceeding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court for the purpose of enforcing the provisions of this </w:t>
      </w:r>
      <w:r>
        <w:rPr>
          <w:rFonts w:ascii="Times New Roman" w:cs="Times New Roman" w:eastAsia="Times New Roman" w:hAnsi="Times New Roman"/>
          <w:sz w:val="18"/>
          <w:szCs w:val="18"/>
          <w:u w:val="single" w:color="auto"/>
          <w:color w:val="auto"/>
        </w:rPr>
        <w:t>Section 3.17.1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3.17.2            The agreement by the Company and each Grantee as to forum is independent of the law that may be applied in the action, and the Company and each Grantee, as a condition to such Grantee’s participation in the Plan, (i) agree to such forum even if the forum may under applicable law choose to apply non-forum law, (ii) hereby waive, to the fullest extent permitted by applicable law, any objection which the Company or such Grantee now or hereafter may have to personal jurisdiction or to the laying of venue of any such suit, action or proceeding in any court referred to in </w:t>
      </w:r>
      <w:r>
        <w:rPr>
          <w:rFonts w:ascii="Times New Roman" w:cs="Times New Roman" w:eastAsia="Times New Roman" w:hAnsi="Times New Roman"/>
          <w:sz w:val="18"/>
          <w:szCs w:val="18"/>
          <w:u w:val="single" w:color="auto"/>
          <w:color w:val="auto"/>
        </w:rPr>
        <w:t>Section 3.17.1</w:t>
      </w:r>
      <w:r>
        <w:rPr>
          <w:rFonts w:ascii="Times New Roman" w:cs="Times New Roman" w:eastAsia="Times New Roman" w:hAnsi="Times New Roman"/>
          <w:sz w:val="18"/>
          <w:szCs w:val="18"/>
          <w:color w:val="auto"/>
        </w:rPr>
        <w:t xml:space="preserve">, (iii) undertake not to commence any action arising out of or relating to or concerning the Plan in any forum other than the forum described in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(iv) agree that, to the fullest extent permitted by applicable law, a final and non-appealable judgment in any such suit, action or proceeding in any such court will be conclusive and binding upon the Company and each Grantee.  </w:t>
      </w:r>
    </w:p>
    <w:p>
      <w:pPr>
        <w:spacing w:after="0" w:line="207" w:lineRule="exact"/>
        <w:rPr>
          <w:sz w:val="20"/>
          <w:szCs w:val="20"/>
          <w:color w:val="auto"/>
        </w:rPr>
      </w:pPr>
    </w:p>
    <w:p>
      <w:pPr>
        <w:ind w:right="360" w:firstLine="648"/>
        <w:spacing w:after="0" w:line="255" w:lineRule="auto"/>
        <w:rPr>
          <w:sz w:val="20"/>
          <w:szCs w:val="20"/>
          <w:color w:val="auto"/>
        </w:rPr>
      </w:pPr>
      <w:r>
        <w:rPr>
          <w:rFonts w:ascii="Times New Roman" w:cs="Times New Roman" w:eastAsia="Times New Roman" w:hAnsi="Times New Roman"/>
          <w:sz w:val="18"/>
          <w:szCs w:val="18"/>
          <w:color w:val="auto"/>
        </w:rPr>
        <w:t>3.17.3            Each Grantee, as a condition to such Grantee’s participation in the Plan, hereby irrevocably appoints the General Counsel of the Company as such Grantee’s agent for service of process in connection with any action, suit or proceeding arising out of or relating to or concerning the Plan, who will promptly advise such Grantee of any such service of process.  </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3.17.4            Each Grantee, as a condition to such Grantee’s participation in the Plan, agrees to keep confidential the existence of, and any information concerning, a dispute, controversy or claim described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except that a Grantee may disclose information concerning such dispute, controversy or claim to the court that is considering such dispute, controversy or claim or to such Grantee’s legal counsel (provided that such counsel agrees not to disclose any such information other than as necessary to the prosecution or defense of the dispute, controversy or claim). In addition, a Grantee may provide information to, file a charge with or participate in an investigation conducted by any governmental entity, and a Grantee does not need the Company’s permission to do so. Furthermore, a Grantee is not required to notify the Company of a request for information from any governmental entity or of such Grantee’s decision to file a charge with or participate in an investigation conducted by any governmental entity.  </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3.18</w:t>
      </w:r>
      <w:r>
        <w:rPr>
          <w:sz w:val="20"/>
          <w:szCs w:val="20"/>
          <w:color w:val="auto"/>
        </w:rPr>
        <w:tab/>
      </w:r>
      <w:r>
        <w:rPr>
          <w:rFonts w:ascii="Times New Roman" w:cs="Times New Roman" w:eastAsia="Times New Roman" w:hAnsi="Times New Roman"/>
          <w:sz w:val="17"/>
          <w:szCs w:val="17"/>
          <w:b w:val="1"/>
          <w:bCs w:val="1"/>
          <w:color w:val="auto"/>
        </w:rPr>
        <w:t>Waiver of Jury Trial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EACH GRANTEE WAIVES ANY RIGHT IT MAY HAVE TO TRIAL BY JURY IN RESPECT OF ANY LITIGATION BASED ON, ARISING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OF, UNDER OR IN CONNECTION WITH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3.19</w:t>
      </w:r>
      <w:r>
        <w:rPr>
          <w:sz w:val="20"/>
          <w:szCs w:val="20"/>
          <w:color w:val="auto"/>
        </w:rPr>
        <w:tab/>
      </w:r>
      <w:r>
        <w:rPr>
          <w:rFonts w:ascii="Times New Roman" w:cs="Times New Roman" w:eastAsia="Times New Roman" w:hAnsi="Times New Roman"/>
          <w:sz w:val="17"/>
          <w:szCs w:val="17"/>
          <w:b w:val="1"/>
          <w:bCs w:val="1"/>
          <w:color w:val="auto"/>
        </w:rPr>
        <w:t>Waiver of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Grantee. The Plan is not intended to be subject to the Employee Retirement Income Security Act of 1974 (ERISA), as amended.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3.20</w:t>
      </w:r>
      <w:r>
        <w:rPr>
          <w:sz w:val="20"/>
          <w:szCs w:val="20"/>
          <w:color w:val="auto"/>
        </w:rPr>
        <w:tab/>
      </w:r>
      <w:r>
        <w:rPr>
          <w:rFonts w:ascii="Times New Roman" w:cs="Times New Roman" w:eastAsia="Times New Roman" w:hAnsi="Times New Roman"/>
          <w:sz w:val="17"/>
          <w:szCs w:val="17"/>
          <w:b w:val="1"/>
          <w:bCs w:val="1"/>
          <w:color w:val="auto"/>
        </w:rPr>
        <w:t>Severability; Entire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If any provision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any of such provision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7"/>
          <w:szCs w:val="17"/>
          <w:b w:val="1"/>
          <w:bCs w:val="1"/>
          <w:color w:val="auto"/>
        </w:rPr>
        <w:t>No Liability with Respect to Tax Qualification or Adverse Tax Treatment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 in no event will the Company be liable to a Grantee on account of an Award’s failure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qualify for favorable United States or foreign tax treatment or (b) avoid adverse tax treatment under United States or foreign law,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Section 409A.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7"/>
          <w:szCs w:val="17"/>
          <w:b w:val="1"/>
          <w:bCs w:val="1"/>
          <w:color w:val="auto"/>
        </w:rPr>
        <w:t>No Third-Party Beneficiaries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expressly provided in an Award Agreement, neither the Plan nor any Award Agreement will confer on any person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and the Grantee of any Award any rights or remedies thereunder. The exculpation and indemnification provisions of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will inure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of a Covered Person’s estate and beneficiaries and legatees.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8"/>
          <w:szCs w:val="18"/>
          <w:b w:val="1"/>
          <w:bCs w:val="1"/>
          <w:color w:val="auto"/>
        </w:rPr>
        <w:t>Successors and Assigns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of the Plan will be binding upon and inure to the benefit of the Company and any successor entity, including as contemplated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7"/>
          <w:szCs w:val="17"/>
          <w:b w:val="1"/>
          <w:bCs w:val="1"/>
          <w:color w:val="auto"/>
        </w:rPr>
        <w:t>Date of Adoption and Approval of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was adopted by the Board on February 26, 2025 and was approved by First Hawaiian’s stockholders on April 22, 2025 (the “</w:t>
      </w:r>
      <w:r>
        <w:rPr>
          <w:rFonts w:ascii="Times New Roman" w:cs="Times New Roman" w:eastAsia="Times New Roman" w:hAnsi="Times New Roman"/>
          <w:sz w:val="18"/>
          <w:szCs w:val="18"/>
          <w:b w:val="1"/>
          <w:bCs w:val="1"/>
          <w:u w:val="single" w:color="auto"/>
          <w:color w:val="auto"/>
        </w:rPr>
        <w:t>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180"/>
          </w:cols>
          <w:pgMar w:left="320" w:top="220" w:right="3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[Letterhead of Sullivan &amp; Cromwell LLP]</w:t>
      </w:r>
    </w:p>
    <w:p>
      <w:pPr>
        <w:spacing w:after="0" w:line="242"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May 19,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Hawaiian,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999 Bishop Street, 29th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Honolulu, Hawaii 96813.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4,750,000 shares (the “Securities”) of Common Stock, par value $0.01 per share, of First Hawaiian, Inc., a Delaware corporation (the “Company”), issuable under the First Hawaiian, Inc. 2025 Omnibus Incentive Compensation Plan (the “Plan”), we, as your counsel, have examined such corporate records, certificates and other documents, and such questions of law, as we have considered necessary or appropriate for the purposes of this opinion.</w:t>
      </w:r>
    </w:p>
    <w:p>
      <w:pPr>
        <w:spacing w:after="0" w:line="180" w:lineRule="exact"/>
        <w:rPr>
          <w:sz w:val="20"/>
          <w:szCs w:val="20"/>
          <w:color w:val="auto"/>
        </w:rPr>
      </w:pPr>
    </w:p>
    <w:p>
      <w:pPr>
        <w:ind w:right="380" w:firstLine="1296"/>
        <w:spacing w:after="0" w:line="261"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the terms of the sale of the Securities have been duly established in conformity with the Company’s amended and restated certificate of incorporation and the Plan, and the Securities have been duly issued and sold as contemplated by the Registration Statement and the Plan, the Securities will be validly issued, fully paid and nonassessable.</w:t>
      </w:r>
    </w:p>
    <w:p>
      <w:pPr>
        <w:spacing w:after="0" w:line="180"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First Hawaiian, Inc.</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Sullivan &amp; Cromwell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28, 2025 relating to the financial statements of First Hawaiian, Inc. (“the Company”) and the effectiveness of the Company’s internal control over financial reporting, appearing in the Annual Report on Form 10-K of the Company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Honolulu, Hawaii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ind w:left="3580"/>
        <w:spacing w:after="0"/>
        <w:rPr>
          <w:sz w:val="20"/>
          <w:szCs w:val="20"/>
          <w:color w:val="auto"/>
        </w:rPr>
      </w:pPr>
      <w:r>
        <w:rPr>
          <w:rFonts w:ascii="Arial" w:cs="Arial" w:eastAsia="Arial" w:hAnsi="Arial"/>
          <w:sz w:val="36"/>
          <w:szCs w:val="36"/>
          <w:b w:val="1"/>
          <w:bCs w:val="1"/>
          <w:color w:val="auto"/>
        </w:rPr>
        <w:t>FIRST HAWAIIAN,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2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vMerge w:val="restart"/>
            <w:shd w:val="clear" w:color="auto" w:fill="9ADAF6"/>
          </w:tcPr>
          <w:p>
            <w:pPr>
              <w:ind w:left="20"/>
              <w:spacing w:after="0"/>
              <w:rPr>
                <w:sz w:val="20"/>
                <w:szCs w:val="20"/>
                <w:color w:val="auto"/>
              </w:rPr>
            </w:pPr>
            <w:r>
              <w:rPr>
                <w:rFonts w:ascii="Arial" w:cs="Arial" w:eastAsia="Arial" w:hAnsi="Arial"/>
                <w:sz w:val="22"/>
                <w:szCs w:val="22"/>
                <w:b w:val="1"/>
                <w:bCs w:val="1"/>
                <w:color w:val="auto"/>
                <w:w w:val="96"/>
              </w:rPr>
              <w:t>Security</w:t>
            </w:r>
          </w:p>
        </w:tc>
        <w:tc>
          <w:tcPr>
            <w:tcW w:w="20" w:type="dxa"/>
            <w:vAlign w:val="bottom"/>
          </w:tcPr>
          <w:p>
            <w:pPr>
              <w:spacing w:after="0"/>
              <w:rPr>
                <w:sz w:val="21"/>
                <w:szCs w:val="21"/>
                <w:color w:val="auto"/>
              </w:rPr>
            </w:pPr>
          </w:p>
        </w:tc>
        <w:tc>
          <w:tcPr>
            <w:tcW w:w="1440" w:type="dxa"/>
            <w:vAlign w:val="bottom"/>
            <w:vMerge w:val="restart"/>
            <w:shd w:val="clear" w:color="auto" w:fill="9ADAF6"/>
          </w:tcPr>
          <w:p>
            <w:pPr>
              <w:ind w:left="300"/>
              <w:spacing w:after="0"/>
              <w:rPr>
                <w:sz w:val="20"/>
                <w:szCs w:val="20"/>
                <w:color w:val="auto"/>
              </w:rPr>
            </w:pPr>
            <w:r>
              <w:rPr>
                <w:rFonts w:ascii="Arial" w:cs="Arial" w:eastAsia="Arial" w:hAnsi="Arial"/>
                <w:sz w:val="22"/>
                <w:szCs w:val="22"/>
                <w:b w:val="1"/>
                <w:bCs w:val="1"/>
                <w:color w:val="auto"/>
              </w:rPr>
              <w:t>Security</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Fee</w:t>
            </w:r>
          </w:p>
        </w:tc>
        <w:tc>
          <w:tcPr>
            <w:tcW w:w="40" w:type="dxa"/>
            <w:vAlign w:val="bottom"/>
          </w:tcPr>
          <w:p>
            <w:pPr>
              <w:spacing w:after="0"/>
              <w:rPr>
                <w:sz w:val="21"/>
                <w:szCs w:val="21"/>
                <w:color w:val="auto"/>
              </w:rPr>
            </w:pPr>
          </w:p>
        </w:tc>
        <w:tc>
          <w:tcPr>
            <w:tcW w:w="114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20" w:type="dxa"/>
            <w:vAlign w:val="bottom"/>
          </w:tcPr>
          <w:p>
            <w:pPr>
              <w:spacing w:after="0"/>
              <w:rPr>
                <w:sz w:val="21"/>
                <w:szCs w:val="21"/>
                <w:color w:val="auto"/>
              </w:rPr>
            </w:pPr>
          </w:p>
        </w:tc>
        <w:tc>
          <w:tcPr>
            <w:tcW w:w="108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1"/>
                <w:szCs w:val="21"/>
                <w:color w:val="auto"/>
              </w:rPr>
            </w:pPr>
          </w:p>
        </w:tc>
        <w:tc>
          <w:tcPr>
            <w:tcW w:w="15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Calculation</w:t>
            </w: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Offering</w:t>
            </w:r>
          </w:p>
        </w:tc>
        <w:tc>
          <w:tcPr>
            <w:tcW w:w="20" w:type="dxa"/>
            <w:vAlign w:val="bottom"/>
          </w:tcPr>
          <w:p>
            <w:pPr>
              <w:spacing w:after="0"/>
              <w:rPr>
                <w:sz w:val="18"/>
                <w:szCs w:val="18"/>
                <w:color w:val="auto"/>
              </w:rPr>
            </w:pPr>
          </w:p>
        </w:tc>
        <w:tc>
          <w:tcPr>
            <w:tcW w:w="154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18"/>
                <w:szCs w:val="18"/>
                <w:color w:val="auto"/>
              </w:rPr>
            </w:pPr>
          </w:p>
        </w:tc>
        <w:tc>
          <w:tcPr>
            <w:tcW w:w="134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0" w:type="dxa"/>
            <w:vAlign w:val="bottom"/>
            <w:tcBorders>
              <w:left w:val="single" w:sz="8" w:color="auto"/>
            </w:tcBorders>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shd w:val="clear" w:color="auto" w:fill="9ADAF6"/>
          </w:tcPr>
          <w:p>
            <w:pPr>
              <w:ind w:left="200"/>
              <w:spacing w:after="0"/>
              <w:rPr>
                <w:sz w:val="20"/>
                <w:szCs w:val="20"/>
                <w:color w:val="auto"/>
              </w:rPr>
            </w:pPr>
            <w:r>
              <w:rPr>
                <w:rFonts w:ascii="Arial" w:cs="Arial" w:eastAsia="Arial" w:hAnsi="Arial"/>
                <w:sz w:val="22"/>
                <w:szCs w:val="22"/>
                <w:b w:val="1"/>
                <w:bCs w:val="1"/>
                <w:color w:val="auto"/>
              </w:rPr>
              <w:t>Type</w:t>
            </w:r>
          </w:p>
        </w:tc>
        <w:tc>
          <w:tcPr>
            <w:tcW w:w="20" w:type="dxa"/>
            <w:vAlign w:val="bottom"/>
          </w:tcPr>
          <w:p>
            <w:pPr>
              <w:spacing w:after="0"/>
              <w:rPr>
                <w:sz w:val="23"/>
                <w:szCs w:val="23"/>
                <w:color w:val="auto"/>
              </w:rPr>
            </w:pPr>
          </w:p>
        </w:tc>
        <w:tc>
          <w:tcPr>
            <w:tcW w:w="1440" w:type="dxa"/>
            <w:vAlign w:val="bottom"/>
            <w:shd w:val="clear" w:color="auto" w:fill="9ADAF6"/>
          </w:tcPr>
          <w:p>
            <w:pPr>
              <w:ind w:left="180"/>
              <w:spacing w:after="0"/>
              <w:rPr>
                <w:sz w:val="20"/>
                <w:szCs w:val="20"/>
                <w:color w:val="auto"/>
              </w:rPr>
            </w:pPr>
            <w:r>
              <w:rPr>
                <w:rFonts w:ascii="Arial" w:cs="Arial" w:eastAsia="Arial" w:hAnsi="Arial"/>
                <w:sz w:val="22"/>
                <w:szCs w:val="22"/>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Rule</w:t>
            </w:r>
          </w:p>
        </w:tc>
        <w:tc>
          <w:tcPr>
            <w:tcW w:w="4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2"/>
                <w:szCs w:val="22"/>
                <w:b w:val="1"/>
                <w:bCs w:val="1"/>
                <w:color w:val="auto"/>
                <w:w w:val="96"/>
              </w:rPr>
              <w:t>Registered</w:t>
            </w:r>
          </w:p>
        </w:tc>
        <w:tc>
          <w:tcPr>
            <w:tcW w:w="20" w:type="dxa"/>
            <w:vAlign w:val="bottom"/>
          </w:tcPr>
          <w:p>
            <w:pPr>
              <w:spacing w:after="0"/>
              <w:rPr>
                <w:sz w:val="23"/>
                <w:szCs w:val="23"/>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Price Per</w:t>
            </w:r>
          </w:p>
        </w:tc>
        <w:tc>
          <w:tcPr>
            <w:tcW w:w="20" w:type="dxa"/>
            <w:vAlign w:val="bottom"/>
          </w:tcPr>
          <w:p>
            <w:pPr>
              <w:spacing w:after="0"/>
              <w:rPr>
                <w:sz w:val="23"/>
                <w:szCs w:val="23"/>
                <w:color w:val="auto"/>
              </w:rPr>
            </w:pPr>
          </w:p>
        </w:tc>
        <w:tc>
          <w:tcPr>
            <w:tcW w:w="15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20" w:type="dxa"/>
            <w:vAlign w:val="bottom"/>
          </w:tcPr>
          <w:p>
            <w:pPr>
              <w:spacing w:after="0"/>
              <w:rPr>
                <w:sz w:val="24"/>
                <w:szCs w:val="24"/>
                <w:color w:val="auto"/>
              </w:rPr>
            </w:pPr>
          </w:p>
        </w:tc>
        <w:tc>
          <w:tcPr>
            <w:tcW w:w="15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ind w:left="20"/>
              <w:spacing w:after="0" w:line="230" w:lineRule="exact"/>
              <w:rPr>
                <w:sz w:val="20"/>
                <w:szCs w:val="20"/>
                <w:color w:val="auto"/>
              </w:rPr>
            </w:pPr>
            <w:r>
              <w:rPr>
                <w:rFonts w:ascii="Arial" w:cs="Arial" w:eastAsia="Arial" w:hAnsi="Arial"/>
                <w:sz w:val="22"/>
                <w:szCs w:val="22"/>
                <w:color w:val="auto"/>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 par</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value $0.01</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per share,</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w w:val="98"/>
              </w:rPr>
              <w:t>under the First</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81"/>
              </w:rPr>
              <w:t>1</w:t>
            </w:r>
          </w:p>
        </w:tc>
        <w:tc>
          <w:tcPr>
            <w:tcW w:w="4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Equity</w:t>
            </w:r>
          </w:p>
        </w:tc>
        <w:tc>
          <w:tcPr>
            <w:tcW w:w="20" w:type="dxa"/>
            <w:vAlign w:val="bottom"/>
          </w:tcPr>
          <w:p>
            <w:pPr>
              <w:spacing w:after="0"/>
              <w:rPr>
                <w:sz w:val="10"/>
                <w:szCs w:val="10"/>
                <w:color w:val="auto"/>
              </w:rPr>
            </w:pPr>
          </w:p>
        </w:tc>
        <w:tc>
          <w:tcPr>
            <w:tcW w:w="14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Hawaiian, Inc.</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Other</w:t>
            </w:r>
          </w:p>
        </w:tc>
        <w:tc>
          <w:tcPr>
            <w:tcW w:w="4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4,750,000</w:t>
            </w:r>
          </w:p>
        </w:tc>
        <w:tc>
          <w:tcPr>
            <w:tcW w:w="20" w:type="dxa"/>
            <w:vAlign w:val="bottom"/>
          </w:tcPr>
          <w:p>
            <w:pPr>
              <w:spacing w:after="0"/>
              <w:rPr>
                <w:sz w:val="10"/>
                <w:szCs w:val="10"/>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$ 24.5125</w:t>
            </w:r>
          </w:p>
        </w:tc>
        <w:tc>
          <w:tcPr>
            <w:tcW w:w="20" w:type="dxa"/>
            <w:vAlign w:val="bottom"/>
          </w:tcPr>
          <w:p>
            <w:pPr>
              <w:spacing w:after="0"/>
              <w:rPr>
                <w:sz w:val="10"/>
                <w:szCs w:val="10"/>
                <w:color w:val="auto"/>
              </w:rPr>
            </w:pPr>
          </w:p>
        </w:tc>
        <w:tc>
          <w:tcPr>
            <w:tcW w:w="1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$ 17,826.10</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w w:val="98"/>
              </w:rPr>
              <w:t>116,434,375.00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ind w:left="20"/>
              <w:spacing w:after="0" w:line="149" w:lineRule="exact"/>
              <w:rPr>
                <w:sz w:val="20"/>
                <w:szCs w:val="20"/>
                <w:color w:val="auto"/>
              </w:rPr>
            </w:pPr>
            <w:r>
              <w:rPr>
                <w:rFonts w:ascii="Arial" w:cs="Arial" w:eastAsia="Arial" w:hAnsi="Arial"/>
                <w:sz w:val="17"/>
                <w:szCs w:val="17"/>
                <w:color w:val="auto"/>
              </w:rPr>
              <w:t>2025</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Omnibus</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Incentive</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w w:val="98"/>
              </w:rPr>
              <w:t>Compensation</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ind w:left="20"/>
              <w:spacing w:after="0"/>
              <w:rPr>
                <w:sz w:val="20"/>
                <w:szCs w:val="20"/>
                <w:color w:val="auto"/>
              </w:rPr>
            </w:pPr>
            <w:r>
              <w:rPr>
                <w:rFonts w:ascii="Arial" w:cs="Arial" w:eastAsia="Arial" w:hAnsi="Arial"/>
                <w:sz w:val="22"/>
                <w:szCs w:val="22"/>
                <w:color w:val="auto"/>
              </w:rPr>
              <w:t>Plan</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$ 17,826.10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w w:val="99"/>
              </w:rPr>
              <w:t>116,434,375.00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$ 17,826.10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240" w:right="100"/>
        <w:spacing w:after="0" w:line="238" w:lineRule="auto"/>
        <w:rPr>
          <w:sz w:val="20"/>
          <w:szCs w:val="20"/>
          <w:color w:val="auto"/>
        </w:rPr>
      </w:pPr>
      <w:r>
        <w:rPr>
          <w:rFonts w:ascii="Arial" w:cs="Arial" w:eastAsia="Arial" w:hAnsi="Arial"/>
          <w:sz w:val="22"/>
          <w:szCs w:val="22"/>
          <w:color w:val="auto"/>
        </w:rPr>
        <w:t>Pursuant to Rule 416(a) under the Securities Act, the registration statement on Form S-8 to which this exhibit relates also covers an indeterminate number of additional shares of the common stock, par value $0.01 (the "Common Stock") of First Hawaiian, Inc. (the "Registrant"), which may become issuable under the 2025 Omnibus Incentive Compensation Plan (the "2025 Equity Plan") to prevent dilution resulting from adjustments as a result of stock dividends, stock splits, reverse stock splits and other anti-dilution provisions.</w:t>
      </w:r>
    </w:p>
    <w:p>
      <w:pPr>
        <w:spacing w:after="0" w:line="204" w:lineRule="exact"/>
        <w:rPr>
          <w:sz w:val="20"/>
          <w:szCs w:val="20"/>
          <w:color w:val="auto"/>
        </w:rPr>
      </w:pPr>
    </w:p>
    <w:p>
      <w:pPr>
        <w:jc w:val="both"/>
        <w:ind w:left="240" w:right="240"/>
        <w:spacing w:after="0"/>
        <w:rPr>
          <w:sz w:val="20"/>
          <w:szCs w:val="20"/>
          <w:color w:val="auto"/>
        </w:rPr>
      </w:pPr>
      <w:r>
        <w:rPr>
          <w:rFonts w:ascii="Arial" w:cs="Arial" w:eastAsia="Arial" w:hAnsi="Arial"/>
          <w:sz w:val="22"/>
          <w:szCs w:val="22"/>
          <w:color w:val="auto"/>
        </w:rPr>
        <w:t>Amount Registered: Represents 4,750,000 shares of the Common Stock reserved for issuance under the 2025 Equity Plan. Shares subject to awards under the 2025 Equity Plan that subsequently expire unexercised or that are forfeited or settled in cash will be added to the share maximum available for issuance under the 2025 Equity Plan.</w:t>
      </w:r>
    </w:p>
    <w:p>
      <w:pPr>
        <w:spacing w:after="0" w:line="203" w:lineRule="exact"/>
        <w:rPr>
          <w:sz w:val="20"/>
          <w:szCs w:val="20"/>
          <w:color w:val="auto"/>
        </w:rPr>
      </w:pPr>
    </w:p>
    <w:p>
      <w:pPr>
        <w:jc w:val="both"/>
        <w:ind w:left="240"/>
        <w:spacing w:after="0"/>
        <w:rPr>
          <w:sz w:val="20"/>
          <w:szCs w:val="20"/>
          <w:color w:val="auto"/>
        </w:rPr>
      </w:pPr>
      <w:r>
        <w:rPr>
          <w:rFonts w:ascii="Arial" w:cs="Arial" w:eastAsia="Arial" w:hAnsi="Arial"/>
          <w:sz w:val="22"/>
          <w:szCs w:val="22"/>
          <w:color w:val="auto"/>
        </w:rPr>
        <w:t>Proposed Maximum Offering Price Per Unit: Pursuant to Rule 457(c) and Rule 457(h) under the Securities Act, the offering price is estimated solely for the purpose of calculating the registration fee on the basis of $24.5125, which is the average of the high and low prices of the Common Stock on the NASDAQ Global Select Market on May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97738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60"/>
      </w:cols>
      <w:pgMar w:left="360" w:top="14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abstractNum>
  <w:abstractNum w:abstractNumId="1">
    <w:nsid w:val="3352255A"/>
    <w:multiLevelType w:val="hybridMultilevel"/>
    <w:lvl w:ilvl="0">
      <w:lvlJc w:val="left"/>
      <w:lvlText w:val="(%1)"/>
      <w:numFmt w:val="lowerLetter"/>
      <w:start w:val="2"/>
    </w:lvl>
  </w:abstractNum>
  <w:abstractNum w:abstractNumId="2">
    <w:nsid w:val="109CF92E"/>
    <w:multiLevelType w:val="hybridMultilevel"/>
    <w:lvl w:ilvl="0">
      <w:lvlJc w:val="left"/>
      <w:lvlText w:val="(%1)"/>
      <w:numFmt w:val="lowerLetter"/>
      <w:start w:val="3"/>
    </w:lvl>
  </w:abstractNum>
  <w:abstractNum w:abstractNumId="3">
    <w:nsid w:val="DED7263"/>
    <w:multiLevelType w:val="hybridMultilevel"/>
    <w:lvl w:ilvl="0">
      <w:lvlJc w:val="left"/>
      <w:lvlText w:val="(%1)"/>
      <w:numFmt w:val="lowerLetter"/>
      <w:start w:val="4"/>
    </w:lvl>
  </w:abstractNum>
  <w:abstractNum w:abstractNumId="4">
    <w:nsid w:val="7FDCC233"/>
    <w:multiLevelType w:val="hybridMultilevel"/>
    <w:lvl w:ilvl="0">
      <w:lvlJc w:val="left"/>
      <w:lvlText w:val=" "/>
      <w:numFmt w:val="bullet"/>
      <w:start w:val="1"/>
    </w:lvl>
  </w:abstractNum>
  <w:abstractNum w:abstractNumId="5">
    <w:nsid w:val="1BEFD79F"/>
    <w:multiLevelType w:val="hybridMultilevel"/>
    <w:lvl w:ilvl="0">
      <w:lvlJc w:val="left"/>
      <w:lvlText w:val=" "/>
      <w:numFmt w:val="bullet"/>
      <w:start w:val="1"/>
    </w:lvl>
  </w:abstractNum>
  <w:abstractNum w:abstractNumId="6">
    <w:nsid w:val="41A7C4C9"/>
    <w:multiLevelType w:val="hybridMultilevel"/>
    <w:lvl w:ilvl="0">
      <w:lvlJc w:val="left"/>
      <w:lvlText w:val=" "/>
      <w:numFmt w:val="bullet"/>
      <w:start w:val="1"/>
    </w:lvl>
  </w:abstractNum>
  <w:abstractNum w:abstractNumId="7">
    <w:nsid w:val="6B68079A"/>
    <w:multiLevelType w:val="hybridMultilevel"/>
    <w:lvl w:ilvl="0">
      <w:lvlJc w:val="left"/>
      <w:lvlText w:val="%1"/>
      <w:numFmt w:val="decimal"/>
      <w:start w:val="107"/>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decimal"/>
      <w:start w:val="3"/>
    </w:lvl>
  </w:abstractNum>
  <w:abstractNum w:abstractNumId="11">
    <w:nsid w:val="431BD7B7"/>
    <w:multiLevelType w:val="hybridMultilevel"/>
    <w:lvl w:ilvl="0">
      <w:lvlJc w:val="left"/>
      <w:lvlText w:val="(%1)"/>
      <w:numFmt w:val="decimal"/>
      <w:start w:val="4"/>
    </w:lvl>
  </w:abstractNum>
  <w:abstractNum w:abstractNumId="12">
    <w:nsid w:val="3F2DBA31"/>
    <w:multiLevelType w:val="hybridMultilevel"/>
    <w:lvl w:ilvl="0">
      <w:lvlJc w:val="left"/>
      <w:lvlText w:val="(%1)"/>
      <w:numFmt w:val="upperLetter"/>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4"/>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2"/>
    </w:lvl>
  </w:abstractNum>
  <w:abstractNum w:abstractNumId="21">
    <w:nsid w:val="2D1D5AE9"/>
    <w:multiLevelType w:val="hybridMultilevel"/>
    <w:lvl w:ilvl="0">
      <w:lvlJc w:val="left"/>
      <w:lvlText w:val="(%1)"/>
      <w:numFmt w:val="lowerRoman"/>
      <w:start w:val="1"/>
    </w:lvl>
  </w:abstractNum>
  <w:abstractNum w:abstractNumId="22">
    <w:nsid w:val="6763845E"/>
    <w:multiLevelType w:val="hybridMultilevel"/>
    <w:lvl w:ilvl="0">
      <w:lvlJc w:val="left"/>
      <w:lvlText w:val="(%1)"/>
      <w:numFmt w:val="lowerRoman"/>
      <w:start w:val="2"/>
    </w:lvl>
  </w:abstractNum>
  <w:abstractNum w:abstractNumId="23">
    <w:nsid w:val="75A2A8D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17" Type="http://schemas.openxmlformats.org/officeDocument/2006/relationships/hyperlink" Target="https://www.sec.gov/ix?doc=/Archives/edgar/data/36377/000155837025001943/fhb-20241231x10k.htm" TargetMode="External"/><Relationship Id="rId18" Type="http://schemas.openxmlformats.org/officeDocument/2006/relationships/hyperlink" Target="https://www.sec.gov/ix?doc=/Archives/edgar/data/36377/000110465925022789/tm2424185d5_def14a.htm" TargetMode="External"/><Relationship Id="rId19" Type="http://schemas.openxmlformats.org/officeDocument/2006/relationships/hyperlink" Target="https://www.sec.gov/ix?doc=/Archives/edgar/data/36377/000155837025006291/fhb-20250331x10q.htm" TargetMode="External"/><Relationship Id="rId20" Type="http://schemas.openxmlformats.org/officeDocument/2006/relationships/hyperlink" Target="https://www.sec.gov/ix?doc=/Archives/edgar/data/36377/000110465925038102/tm2512978d1_8k.htm" TargetMode="External"/><Relationship Id="rId21" Type="http://schemas.openxmlformats.org/officeDocument/2006/relationships/hyperlink" Target="https://www.sec.gov/Archives/edgar/data/36377/000110465916136689/a16-5174_68a12b.htm" TargetMode="External"/><Relationship Id="rId27" Type="http://schemas.openxmlformats.org/officeDocument/2006/relationships/hyperlink" Target="https://www.sec.gov/Archives/edgar/data/36377/000110465916138673/a16-5174_8ex3d1.htm" TargetMode="External"/><Relationship Id="rId28" Type="http://schemas.openxmlformats.org/officeDocument/2006/relationships/hyperlink" Target="https://www.sec.gov/Archives/edgar/data/36377/000155837018003359/fhb-20180331ex31a779200.htm" TargetMode="External"/><Relationship Id="rId29" Type="http://schemas.openxmlformats.org/officeDocument/2006/relationships/hyperlink" Target="https://www.sec.gov/Archives/edgar/data/36377/000155837020001695/ex-3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2025-05-19T06:46:48Z</dcterms:created>
  <dcterms:modified xsi:type="dcterms:W3CDTF">2025-05-19T06:46:48Z</dcterms:modified>
</cp:coreProperties>
</file>